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김영희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Younghee Kim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890711 - 2234567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34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010-9876-5432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younghee_kim@example.com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서울특별시 종로구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이화여자대학교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2009.03 ~ 2013.02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이화여자대학교 경영학과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4.15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2006.03 ~ 2009.02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서울여자고등학교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2010.03 ~ 2010.12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경영학과 학회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학회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이화여자대학교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2012.01 ~ 2012.12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사회봉사단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종로구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영어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930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2011.06 ~ 2011.12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Business English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University of Sydney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2013.04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교내 창업경진대회 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이화여자대학교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2015.09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경영지도사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한국산업인력공단 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김영희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네이버 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2015.11 ~ 2022.06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마케팅 매니저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마케팅 전략 수립 및 실행, 시장 조사와 고객 분석, 매출 목표 달성을 위한 캠페인 기획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캠페인 참여율 25% 증가, 고객 만족도 10% 상승, 매출 15% 증가에 기여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3C4F7541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1599C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39BB1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5979B5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18B4A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424F1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3ABBAE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2E232C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A675F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58264E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66D6C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2FEEB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9CCD1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16E3A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F8234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4E6484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6E0F4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39DA51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4A7ACD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72A42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36682B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5821B2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73FC0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8B5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3A9A7F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4216AE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22C8E3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531DAC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7EC7A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26414B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408E4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13DDD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F9BF0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2DD65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509F39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2CDAC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547DB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42B30F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5FBA7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0E116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371E5A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D2132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24FBF5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2EB9DF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5E9CD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4014F3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EED58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2BEAD4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22F6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A4003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A448C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5B21D7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EDF7D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D0A26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5CE58A0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D578C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69732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231E9B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81867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3E1574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4C5C37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17FBB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529352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429A21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DA11D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565F91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575A93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4B4859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424D6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4A27FD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4C7F1B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2E0CE4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2DA58A5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4EA427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4A2BB3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282EC0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594B65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63B21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23CEDA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532FF1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31388A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3BB38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997C4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3F5E162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2E53A8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AC62C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2E91F7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7FB91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D7B70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4DC22D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391545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31CBE2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30E7F8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3B2A7A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4BB5B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3653A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F32A4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20691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5E7F23D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284043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43B05E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28F627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5AB0E6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56C945B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5B253C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2744F8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32C9EE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31ADC3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590BC2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5A5442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