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박수민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Sumin Park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960811 - 2239876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27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010-8765-4321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sumin_park@example.com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대전광역시 유성구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충남대학교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2014.03 ~ 2018.02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충남대학교 화학공학과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4.00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2011.03 ~ 2014.02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대전고등학교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2015.01 ~ 2015.12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화학공학과 학회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학회 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충남대학교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2017.03 ~ 2017.12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지역 과학 교육 봉사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대전시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중국어  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HSK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4급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공자학원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-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박수민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1-1.</w:t>
            </w:r>
            <w:r>
              <w:rPr>
                <w:b w:val="1"/>
                <w:shd w:val="clear" w:color="auto" w:fill="auto"/>
              </w:rPr>
              <w:t xml:space="preserve"> LG화학    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2020.03 ~ 2020.08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신소재 개발 연구 프로젝트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신소재 분석과 실험 설계, 데이터 정리 및 연구 보고서 작성, 연구 결과 발표</w:t>
            </w:r>
          </w:p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성과</w:t>
            </w:r>
            <w:r>
              <w:rPr>
                <w:shd w:val="clear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신소재의 내구성 30% 향상, 연구 보고서 품질 개선, 발표를 통한 협업 능력 향상</w:t>
            </w:r>
          </w:p>
          <w:p>
            <w:pPr>
              <w:ind w:left="360" w:firstLine="0"/>
              <w:rPr>
                <w:shd w:val="clear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30D13B7F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52CC76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2A51D8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3B4ABA6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3065E9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395AACF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26CA3D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52BF7F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20ACAB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34BAF2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5B7663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5D27975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45EF7EB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2ED43F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24CEB2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35780F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5D946D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47955D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5ED4E8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32B8CBB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4A825FF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32E95E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4D2D97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5AC1C5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20CB23E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4BAA4A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402B48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394445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4AE5DA9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349209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598193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2C74F1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52564C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269B7E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317B02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2367BB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4076A48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4828D8F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44B9CE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5BD582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5A1AAC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4CA260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532A22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220F774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3A7F48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371525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59C0D8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3B0D2A0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44C3EE9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2052BD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432776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5D12F73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530F49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3DDECD2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4A4E99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263455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59B0F49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5BEEBF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330308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3A355A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4B2748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57007D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47A1A8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3A31AAB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3B80F2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3F56B5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415883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225597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31723B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4D01E0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4FB7A2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3222A7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4B3A02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359E88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5635F7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53C18A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2471C7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3AB9F0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5B30C6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4E59CC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376317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217D28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32DF858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5B28E78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5134E7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5BF293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1FEE9C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50AD3B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46F3BD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3D7B82E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50D031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5BDBA3B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5132D4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46994B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249BC3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5AB1D6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39E6EB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419490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595A93B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500C79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291F83A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5C8525A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42E9A0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1FE81E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3BDDC5F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38AA995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22E1DD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50ED1B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5C81B5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31A7791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550BBD1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2D9F699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37FE72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2FD241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2E356E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5BD0A89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571325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4DFBC3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57C563A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4AAF0E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549CEA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4836992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3CE7E8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5C3392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