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aps/>
          <w:color w:val="888888"/>
          <w:sz w:val="28"/>
          <w:szCs w:val="28"/>
        </w:rPr>
        <w:t xml:space="preserve">THE SALT EFFECT</w:t>
      </w:r>
    </w:p>
    <w:p>
      <w:pPr>
        <w:pBdr>
          <w:bottom w:val="single" w:color="2E4057" w:sz="6" w:space="1"/>
        </w:pBdr>
        <w:spacing w:after="600" w:before="0"/>
        <w:jc w:val="center"/>
      </w:pPr>
      <w:r>
        <w:rPr>
          <w:rFonts w:ascii="Georgia" w:cs="Georgia" w:eastAsia="Georgia" w:hAnsi="Georgia"/>
          <w:b/>
          <w:bCs/>
          <w:color w:val="2E4057"/>
          <w:sz w:val="32"/>
          <w:szCs w:val="32"/>
        </w:rPr>
        <w:t xml:space="preserve">SECTION ONE: THE PHYSICS OF INFLUENCE</w:t>
      </w:r>
    </w:p>
    <w:p>
      <w:pPr>
        <w:spacing w:after="80" w:before="480"/>
        <w:jc w:val="center"/>
      </w:pPr>
      <w:r>
        <w:rPr>
          <w:rFonts w:ascii="Arial" w:cs="Arial" w:eastAsia="Arial" w:hAnsi="Arial"/>
          <w:b/>
          <w:bCs/>
          <w:caps/>
          <w:color w:val="888888"/>
          <w:sz w:val="24"/>
          <w:szCs w:val="24"/>
        </w:rPr>
        <w:t xml:space="preserve">CHAPTER ONE</w:t>
      </w:r>
    </w:p>
    <w:p>
      <w:pPr>
        <w:pStyle w:val="Heading1"/>
        <w:spacing w:after="120" w:before="80"/>
        <w:jc w:val="center"/>
      </w:pPr>
      <w:r>
        <w:rPr>
          <w:rFonts w:ascii="Georgia" w:cs="Georgia" w:eastAsia="Georgia" w:hAnsi="Georgia"/>
          <w:b/>
          <w:bCs/>
          <w:sz w:val="40"/>
          <w:szCs w:val="40"/>
        </w:rPr>
        <w:t xml:space="preserve">The Triple-Edge Blade</w:t>
      </w:r>
    </w:p>
    <w:p>
      <w:pPr>
        <w:spacing w:after="480" w:before="0"/>
        <w:jc w:val="center"/>
      </w:pPr>
      <w:r>
        <w:rPr>
          <w:rFonts w:ascii="Georgia" w:cs="Georgia" w:eastAsia="Georgia" w:hAnsi="Georgia"/>
          <w:i/>
          <w:iCs/>
          <w:color w:val="555555"/>
          <w:sz w:val="26"/>
          <w:szCs w:val="26"/>
        </w:rPr>
        <w:t xml:space="preserve">Preservation, the Antiseptic Sting, and Flavor</w:t>
      </w:r>
    </w:p>
    <w:p>
      <w:pPr>
        <w:pBdr>
          <w:top w:val="single" w:color="2E4057" w:sz="6" w:space="6"/>
          <w:bottom w:val="single" w:color="2E4057" w:sz="6" w:space="6"/>
        </w:pBdr>
        <w:spacing w:after="280" w:before="280"/>
        <w:ind w:left="720" w:right="720"/>
        <w:jc w:val="center"/>
      </w:pPr>
      <w:r>
        <w:rPr>
          <w:rFonts w:ascii="Georgia" w:cs="Georgia" w:eastAsia="Georgia" w:hAnsi="Georgia"/>
          <w:i/>
          <w:iCs/>
          <w:color w:val="2E4057"/>
          <w:sz w:val="26"/>
          <w:szCs w:val="26"/>
        </w:rPr>
        <w:t xml:space="preserve">“Salt does not merely season the world—it wars against its decay. The question is whether you have the constitution to wield it.”</w:t>
      </w:r>
    </w:p>
    <w:p>
      <w:pPr>
        <w:pStyle w:val="Heading2"/>
        <w:spacing w:after="180" w:before="360"/>
      </w:pPr>
      <w:r>
        <w:rPr>
          <w:rFonts w:ascii="Georgia" w:cs="Georgia" w:eastAsia="Georgia" w:hAnsi="Georgia"/>
          <w:b/>
          <w:bCs/>
          <w:color w:val="2E4057"/>
          <w:sz w:val="28"/>
          <w:szCs w:val="28"/>
        </w:rPr>
        <w:t xml:space="preserve">The Panel Convenes</w:t>
      </w:r>
    </w:p>
    <w:p>
      <w:pPr>
        <w:spacing w:after="160" w:before="120"/>
        <w:jc w:val="both"/>
      </w:pPr>
      <w:r>
        <w:rPr>
          <w:rFonts w:ascii="Georgia" w:cs="Georgia" w:eastAsia="Georgia" w:hAnsi="Georgia"/>
          <w:sz w:val="24"/>
          <w:szCs w:val="24"/>
        </w:rPr>
        <w:t xml:space="preserve">Picture a room where two scholars have been arguing the same question for a decade. On one side sits the Folklorist—a woman with ink-stained fingers and a scholar’s habit of seeing the world through story and symbol. On the other, the Theologian—a man whose certainty is anchored in ancient covenant texts and the weight of divine imperative. Between them, one compound sits at the center of the table like a silent referee: sodium chloride.</w:t>
      </w:r>
    </w:p>
    <w:p>
      <w:pPr>
        <w:spacing w:after="160" w:before="120"/>
        <w:jc w:val="both"/>
      </w:pPr>
      <w:r>
        <w:rPr>
          <w:rFonts w:ascii="Georgia" w:cs="Georgia" w:eastAsia="Georgia" w:hAnsi="Georgia"/>
          <w:sz w:val="24"/>
          <w:szCs w:val="24"/>
        </w:rPr>
        <w:t xml:space="preserve">The Folklorist’s position is intuitive and humane: salt, she argues, is a passive agent. It waits. It draws moisture toward itself, pulling impurity out of meat, tears out of wounds, bitterness out of the earth. Its genius is in its receptivity. It is the great absorber, the generous sponge of the mineral world. The cultures that understood salt best—from the ancient Celts to the traders of the Sahara—revered it as a symbol of hospitality precisely because it takes in rather than pushes out.</w:t>
      </w:r>
    </w:p>
    <w:p>
      <w:pPr>
        <w:spacing w:after="160" w:before="120"/>
        <w:jc w:val="both"/>
      </w:pPr>
      <w:r>
        <w:rPr>
          <w:rFonts w:ascii="Georgia" w:cs="Georgia" w:eastAsia="Georgia" w:hAnsi="Georgia"/>
          <w:sz w:val="24"/>
          <w:szCs w:val="24"/>
        </w:rPr>
        <w:t xml:space="preserve">The Theologian will not yield. “You are confusing mechanism with nature,” he tells her. “Yes, salt draws out—but it draws out in order to destroy. It is not a sponge. A sponge retains what it absorbs. Salt renders it inert. Salt in an open wound is not sympathetic—it is aggressive. Deliberately, medicinally, mercifully aggressive.” He taps the table: “The Covenant of Salt in Numbers is not a covenant of passivity. It is a covenant forged in permanence because salt itself is permanent. It does not compromise. It does not dilute. It does not eventually become whatever it soaks.”</w:t>
      </w:r>
    </w:p>
    <w:p>
      <w:pPr>
        <w:spacing w:after="160" w:before="120"/>
        <w:jc w:val="both"/>
      </w:pPr>
      <w:r>
        <w:rPr>
          <w:rFonts w:ascii="Georgia" w:cs="Georgia" w:eastAsia="Georgia" w:hAnsi="Georgia"/>
          <w:sz w:val="24"/>
          <w:szCs w:val="24"/>
        </w:rPr>
        <w:t xml:space="preserve">Both scholars are right. And the tension between their positions is precisely where this book lives.</w:t>
      </w:r>
    </w:p>
    <w:p>
      <w:pPr>
        <w:pStyle w:val="Heading2"/>
        <w:spacing w:after="180" w:before="360"/>
      </w:pPr>
      <w:r>
        <w:rPr>
          <w:rFonts w:ascii="Georgia" w:cs="Georgia" w:eastAsia="Georgia" w:hAnsi="Georgia"/>
          <w:b/>
          <w:bCs/>
          <w:color w:val="2E4057"/>
          <w:sz w:val="28"/>
          <w:szCs w:val="28"/>
        </w:rPr>
        <w:t xml:space="preserve">The Absorbent Personality Syndrome</w:t>
      </w:r>
    </w:p>
    <w:p>
      <w:pPr>
        <w:spacing w:after="160" w:before="120"/>
        <w:jc w:val="both"/>
      </w:pPr>
      <w:r>
        <w:rPr>
          <w:rFonts w:ascii="Georgia" w:cs="Georgia" w:eastAsia="Georgia" w:hAnsi="Georgia"/>
          <w:sz w:val="24"/>
          <w:szCs w:val="24"/>
        </w:rPr>
        <w:t xml:space="preserve">Before we resolve the scholars’ debate, we must first understand why it matters for those of us who are not scholars at all—for the executive running an organization that has started to smell faintly of rot, for the physician who wakes at three in the morning unable to stop carrying the weight of her patients, for the parent who looks at their teenager and wonders when the house became a stranger’s country.</w:t>
      </w:r>
    </w:p>
    <w:p>
      <w:pPr>
        <w:spacing w:after="160" w:before="120"/>
        <w:jc w:val="both"/>
      </w:pPr>
      <w:r>
        <w:rPr>
          <w:rFonts w:ascii="Georgia" w:cs="Georgia" w:eastAsia="Georgia" w:hAnsi="Georgia"/>
          <w:sz w:val="24"/>
          <w:szCs w:val="24"/>
        </w:rPr>
        <w:t xml:space="preserve">Modern psychology has a name for what happens when a person operates like the Folklorist’s sponge. We call it porous ego boundary disorder—a condition in which the individual’s sense of self is so permeable that the emotional and moral atmosphere of their environment saturates directly into their cognition. They do not merely perceive the chaos around them. They become it.</w:t>
      </w:r>
    </w:p>
    <w:p>
      <w:pPr>
        <w:spacing w:after="160" w:before="120"/>
        <w:jc w:val="both"/>
      </w:pPr>
      <w:r>
        <w:rPr>
          <w:rFonts w:ascii="Georgia" w:cs="Georgia" w:eastAsia="Georgia" w:hAnsi="Georgia"/>
          <w:sz w:val="24"/>
          <w:szCs w:val="24"/>
        </w:rPr>
        <w:t xml:space="preserve">The symptom set is recognizable: decision fatigue that arrives by midmorning, a persistent low-grade anxiety that the psychologist’s couch identifies as “environmental” but never quite resolves, a creeping cynicism that feels like wisdom but functions like surrender. These individuals are not weak. They are often the most empathetic people in any room—the ones who feel the organization’s dysfunction most acutely precisely because they care most deeply. The very quality that makes them extraordinary as human beings becomes the mechanism of their cognitive decay.</w:t>
      </w:r>
    </w:p>
    <w:p>
      <w:pPr>
        <w:spacing w:after="160" w:before="120"/>
        <w:jc w:val="both"/>
      </w:pPr>
      <w:r>
        <w:rPr>
          <w:rFonts w:ascii="Georgia" w:cs="Georgia" w:eastAsia="Georgia" w:hAnsi="Georgia"/>
          <w:sz w:val="24"/>
          <w:szCs w:val="24"/>
        </w:rPr>
        <w:t xml:space="preserve">This is the Absorbent Personality Syndrome. And it is epidemic.</w:t>
      </w:r>
    </w:p>
    <w:p>
      <w:pPr>
        <w:pBdr>
          <w:top w:val="single" w:color="4A6741" w:sz="6"/>
          <w:bottom w:val="single" w:color="4A6741" w:sz="6"/>
        </w:pBdr>
        <w:shd w:fill="F0F4F8" w:val="clear"/>
        <w:spacing w:after="80" w:before="280"/>
        <w:ind w:left="360" w:right="360"/>
      </w:pPr>
      <w:r>
        <w:rPr>
          <w:rFonts w:ascii="Arial" w:cs="Arial" w:eastAsia="Arial" w:hAnsi="Arial"/>
          <w:b/>
          <w:bCs/>
          <w:color w:val="4A6741"/>
          <w:sz w:val="22"/>
          <w:szCs w:val="22"/>
        </w:rPr>
        <w:t xml:space="preserve">CLINICAL NOTE — Absorbent Personality Syndrome</w:t>
      </w:r>
    </w:p>
    <w:p>
      <w:pPr>
        <w:spacing w:after="280" w:before="80"/>
        <w:ind w:left="360" w:right="360"/>
      </w:pPr>
      <w:r>
        <w:rPr>
          <w:rFonts w:ascii="Arial" w:cs="Arial" w:eastAsia="Arial" w:hAnsi="Arial"/>
          <w:sz w:val="22"/>
          <w:szCs w:val="22"/>
        </w:rPr>
        <w:t xml:space="preserve">APS is not a clinical diagnosis in the DSM-V, but its symptoms map closely onto what researchers call ‘secondary traumatic stress’ or ‘compassion fatigue.’ What distinguishes it from those frameworks is its mechanism: absorption. The individual does not merely witness dysfunction—they internalize it, integrate it, and eventually replicate it in their own behavior and judgment. Chapter 23 provides the full Salinity Assessment Protocol.</w:t>
      </w:r>
    </w:p>
    <w:p>
      <w:pPr>
        <w:pStyle w:val="Heading2"/>
        <w:spacing w:after="180" w:before="360"/>
      </w:pPr>
      <w:r>
        <w:rPr>
          <w:rFonts w:ascii="Georgia" w:cs="Georgia" w:eastAsia="Georgia" w:hAnsi="Georgia"/>
          <w:b/>
          <w:bCs/>
          <w:color w:val="2E4057"/>
          <w:sz w:val="28"/>
          <w:szCs w:val="28"/>
        </w:rPr>
        <w:t xml:space="preserve">Introducing Active Resonance</w:t>
      </w:r>
    </w:p>
    <w:p>
      <w:pPr>
        <w:spacing w:after="160" w:before="120"/>
        <w:jc w:val="both"/>
      </w:pPr>
      <w:r>
        <w:rPr>
          <w:rFonts w:ascii="Georgia" w:cs="Georgia" w:eastAsia="Georgia" w:hAnsi="Georgia"/>
          <w:sz w:val="24"/>
          <w:szCs w:val="24"/>
        </w:rPr>
        <w:t xml:space="preserve">The antidote is not the emotional armor that management consultants call “resilience”—a word so bleached of content by overuse that it now functions as a synonym for endurance rather than transformation. The antidote is something far more interesting, and far more demanding. It is Active Resonance.</w:t>
      </w:r>
    </w:p>
    <w:p>
      <w:pPr>
        <w:spacing w:after="160" w:before="120"/>
        <w:jc w:val="both"/>
      </w:pPr>
      <w:r>
        <w:rPr>
          <w:rFonts w:ascii="Georgia" w:cs="Georgia" w:eastAsia="Georgia" w:hAnsi="Georgia"/>
          <w:sz w:val="24"/>
          <w:szCs w:val="24"/>
        </w:rPr>
        <w:t xml:space="preserve">In physics, resonance occurs when a system vibrates at its natural frequency in response to an external oscillation. Active Resonance, as we will use the term throughout this book, describes the condition of a human being or institution that is so precisely calibrated to its own foundational frequency that it cannot be overwritten by ambient noise. It does not absorb its environment. It projects into it.</w:t>
      </w:r>
    </w:p>
    <w:p>
      <w:pPr>
        <w:spacing w:after="160" w:before="120"/>
        <w:jc w:val="both"/>
      </w:pPr>
      <w:r>
        <w:rPr>
          <w:rFonts w:ascii="Georgia" w:cs="Georgia" w:eastAsia="Georgia" w:hAnsi="Georgia"/>
          <w:sz w:val="24"/>
          <w:szCs w:val="24"/>
        </w:rPr>
        <w:t xml:space="preserve">Salt does not become the medium it enters. Whether it falls into water or meat or wound, it remains sodium chloride. Its molecular structure does not renegotiate with its context. This is not stubbornness—it is identity integrity. And it is from this integrity that its power flows. The water becomes salted. The meat becomes preserved. The wound becomes antiseptic. The environment changes—but salt does not.</w:t>
      </w:r>
    </w:p>
    <w:p>
      <w:pPr>
        <w:pBdr>
          <w:top w:val="single" w:color="2E4057" w:sz="6" w:space="6"/>
          <w:bottom w:val="single" w:color="2E4057" w:sz="6" w:space="6"/>
        </w:pBdr>
        <w:spacing w:after="280" w:before="280"/>
        <w:ind w:left="720" w:right="720"/>
        <w:jc w:val="center"/>
      </w:pPr>
      <w:r>
        <w:rPr>
          <w:rFonts w:ascii="Georgia" w:cs="Georgia" w:eastAsia="Georgia" w:hAnsi="Georgia"/>
          <w:i/>
          <w:iCs/>
          <w:color w:val="2E4057"/>
          <w:sz w:val="26"/>
          <w:szCs w:val="26"/>
        </w:rPr>
        <w:t xml:space="preserve">“The person who has mastered Active Resonance does not ask: ‘How is this environment affecting me?’ They ask: ‘What effect am I having on this environment?’ The question itself restructures everything.”</w:t>
      </w:r>
    </w:p>
    <w:p>
      <w:pPr>
        <w:pStyle w:val="Heading2"/>
        <w:spacing w:after="180" w:before="360"/>
      </w:pPr>
      <w:r>
        <w:rPr>
          <w:rFonts w:ascii="Georgia" w:cs="Georgia" w:eastAsia="Georgia" w:hAnsi="Georgia"/>
          <w:b/>
          <w:bCs/>
          <w:color w:val="2E4057"/>
          <w:sz w:val="28"/>
          <w:szCs w:val="28"/>
        </w:rPr>
        <w:t xml:space="preserve">The Triple-Edge Blueprint</w:t>
      </w:r>
    </w:p>
    <w:p>
      <w:pPr>
        <w:spacing w:after="160" w:before="120"/>
        <w:jc w:val="both"/>
      </w:pPr>
      <w:r>
        <w:rPr>
          <w:rFonts w:ascii="Georgia" w:cs="Georgia" w:eastAsia="Georgia" w:hAnsi="Georgia"/>
          <w:sz w:val="24"/>
          <w:szCs w:val="24"/>
        </w:rPr>
        <w:t xml:space="preserve">Salt’s influence operates along three distinct and irreducible axes. These are not metaphors. They are operational categories—and this book will return to them in every professional domain, every institutional context, every stage of human development that we examine.</w:t>
      </w:r>
    </w:p>
    <w:p>
      <w:pPr>
        <w:spacing w:after="100" w:before="200"/>
      </w:pPr>
      <w:r>
        <w:rPr>
          <w:rFonts w:ascii="Georgia" w:cs="Georgia" w:eastAsia="Georgia" w:hAnsi="Georgia"/>
          <w:b/>
          <w:bCs/>
          <w:color w:val="2E4057"/>
          <w:sz w:val="26"/>
          <w:szCs w:val="26"/>
        </w:rPr>
        <w:t xml:space="preserve">1.  PRESERVATION</w:t>
      </w:r>
    </w:p>
    <w:p>
      <w:pPr>
        <w:spacing w:after="160" w:before="120"/>
        <w:jc w:val="both"/>
      </w:pPr>
      <w:r>
        <w:rPr>
          <w:rFonts w:ascii="Georgia" w:cs="Georgia" w:eastAsia="Georgia" w:hAnsi="Georgia"/>
          <w:sz w:val="24"/>
          <w:szCs w:val="24"/>
        </w:rPr>
        <w:t xml:space="preserve">Salt’s oldest function is the arrest of entropy. In the pre-refrigeration world, salt was the difference between food and poison, between surviving winter and starving. The preservative leader does the same in their domain—not by freezing an organization in amber, but by holding its core identity intact against the corrupting pressures of trend, panic, and short-term incentive. Preservation is not conservatism. It is the active maintenance of what is worth keeping.</w:t>
      </w:r>
    </w:p>
    <w:p>
      <w:pPr>
        <w:spacing w:after="100" w:before="200"/>
      </w:pPr>
      <w:r>
        <w:rPr>
          <w:rFonts w:ascii="Georgia" w:cs="Georgia" w:eastAsia="Georgia" w:hAnsi="Georgia"/>
          <w:b/>
          <w:bCs/>
          <w:color w:val="C0392B"/>
          <w:sz w:val="26"/>
          <w:szCs w:val="26"/>
        </w:rPr>
        <w:t xml:space="preserve">2.  THE ANTISEPTIC STING</w:t>
      </w:r>
    </w:p>
    <w:p>
      <w:pPr>
        <w:spacing w:after="160" w:before="120"/>
        <w:jc w:val="both"/>
      </w:pPr>
      <w:r>
        <w:rPr>
          <w:rFonts w:ascii="Georgia" w:cs="Georgia" w:eastAsia="Georgia" w:hAnsi="Georgia"/>
          <w:sz w:val="24"/>
          <w:szCs w:val="24"/>
        </w:rPr>
        <w:t xml:space="preserve">Salt in an open wound is not kind in the conventional sense. It burns. It draws out pus and toxin and buried infection that would otherwise kill the patient. This is the function that comfortable leadership refuses to perform and that principled leadership cannot avoid. The antiseptic leader names what is rotting. They refuse the analgesic lie of false harmony. They understand that genuine care for an organization or a person sometimes requires the infliction of precisely measured, purposeful discomfort. The Theologian was right: this is not cruelty—it is medicine.</w:t>
      </w:r>
    </w:p>
    <w:p>
      <w:pPr>
        <w:spacing w:after="100" w:before="200"/>
      </w:pPr>
      <w:r>
        <w:rPr>
          <w:rFonts w:ascii="Georgia" w:cs="Georgia" w:eastAsia="Georgia" w:hAnsi="Georgia"/>
          <w:b/>
          <w:bCs/>
          <w:color w:val="4A6741"/>
          <w:sz w:val="26"/>
          <w:szCs w:val="26"/>
        </w:rPr>
        <w:t xml:space="preserve">3.  FLAVOR</w:t>
      </w:r>
    </w:p>
    <w:p>
      <w:pPr>
        <w:spacing w:after="160" w:before="120"/>
        <w:jc w:val="both"/>
      </w:pPr>
      <w:r>
        <w:rPr>
          <w:rFonts w:ascii="Georgia" w:cs="Georgia" w:eastAsia="Georgia" w:hAnsi="Georgia"/>
          <w:sz w:val="24"/>
          <w:szCs w:val="24"/>
        </w:rPr>
        <w:t xml:space="preserve">The least discussed of salt’s properties and perhaps the most subversive is this: without salt, food is technically nutritious but humanly inedible. Salt does not add caloric value. It does not add vitamins. What it adds is the precise neurological signal that transforms sustenance into experience—that makes eating worth remembering. The flavoring leader does the equivalent in every context they enter: they do not merely perform their function, they make their presence worth remembering. They alter the qualitative experience of working in their organization, studying in their classroom, or being raised in their home.</w:t>
      </w:r>
    </w:p>
    <w:p>
      <w:pPr>
        <w:spacing w:after="160" w:before="120"/>
        <w:jc w:val="both"/>
      </w:pPr>
      <w:r>
        <w:rPr>
          <w:rFonts w:ascii="Georgia" w:cs="Georgia" w:eastAsia="Georgia" w:hAnsi="Georgia"/>
          <w:sz w:val="24"/>
          <w:szCs w:val="24"/>
        </w:rPr>
        <w:t xml:space="preserve">These three functions rarely operate in isolation. The master practitioner of salt’s art understands when to preserve, when to sting, and when to simply make the world taste better—and they understand that the courage to choose between them is itself the rarest seasoning of all.</w:t>
      </w:r>
    </w:p>
    <w:p>
      <w:pPr>
        <w:pBdr>
          <w:top w:val="single" w:color="4A6741" w:sz="6"/>
          <w:bottom w:val="single" w:color="4A6741" w:sz="6"/>
        </w:pBdr>
        <w:shd w:fill="F0F4F8" w:val="clear"/>
        <w:spacing w:after="80" w:before="280"/>
        <w:ind w:left="360" w:right="360"/>
      </w:pPr>
      <w:r>
        <w:rPr>
          <w:rFonts w:ascii="Arial" w:cs="Arial" w:eastAsia="Arial" w:hAnsi="Arial"/>
          <w:b/>
          <w:bCs/>
          <w:color w:val="4A6741"/>
          <w:sz w:val="22"/>
          <w:szCs w:val="22"/>
        </w:rPr>
        <w:t xml:space="preserve">CHAPTER SUMMARY — The Triple-Edge Blade</w:t>
      </w:r>
    </w:p>
    <w:p>
      <w:pPr>
        <w:spacing w:after="280" w:before="80"/>
        <w:ind w:left="360" w:right="360"/>
      </w:pPr>
      <w:r>
        <w:rPr>
          <w:rFonts w:ascii="Arial" w:cs="Arial" w:eastAsia="Arial" w:hAnsi="Arial"/>
          <w:sz w:val="22"/>
          <w:szCs w:val="22"/>
        </w:rPr>
        <w:t xml:space="preserve">Salt’s power flows from three irreducible functions: Preservation (arresting entropy and holding core identity), the Antiseptic Sting (the principled disruption of hidden rot), and Flavor (the qualitative transformation of every environment entered). The failure to engage any one of these edges is the failure of influence. The practitioner who only preserves becomes a museum. The one who only stings becomes a tyrant. The one who only flavors becomes entertainment. Mastery requires all three.</w:t>
      </w:r>
    </w:p>
    <w:p>
      <w:r>
        <w:br w:type="page"/>
      </w:r>
    </w:p>
    <w:p>
      <w:pPr>
        <w:spacing w:after="80" w:before="480"/>
        <w:jc w:val="center"/>
      </w:pPr>
      <w:r>
        <w:rPr>
          <w:rFonts w:ascii="Arial" w:cs="Arial" w:eastAsia="Arial" w:hAnsi="Arial"/>
          <w:b/>
          <w:bCs/>
          <w:caps/>
          <w:color w:val="888888"/>
          <w:sz w:val="24"/>
          <w:szCs w:val="24"/>
        </w:rPr>
        <w:t xml:space="preserve">CHAPTER TWO</w:t>
      </w:r>
    </w:p>
    <w:p>
      <w:pPr>
        <w:pStyle w:val="Heading1"/>
        <w:spacing w:after="120" w:before="80"/>
        <w:jc w:val="center"/>
      </w:pPr>
      <w:r>
        <w:rPr>
          <w:rFonts w:ascii="Georgia" w:cs="Georgia" w:eastAsia="Georgia" w:hAnsi="Georgia"/>
          <w:b/>
          <w:bCs/>
          <w:sz w:val="40"/>
          <w:szCs w:val="40"/>
        </w:rPr>
        <w:t xml:space="preserve">B’rit Melach—The Architecture of Permanence</w:t>
      </w:r>
    </w:p>
    <w:p>
      <w:pPr>
        <w:spacing w:after="480" w:before="0"/>
        <w:jc w:val="center"/>
      </w:pPr>
      <w:r>
        <w:rPr>
          <w:rFonts w:ascii="Georgia" w:cs="Georgia" w:eastAsia="Georgia" w:hAnsi="Georgia"/>
          <w:i/>
          <w:iCs/>
          <w:color w:val="555555"/>
          <w:sz w:val="26"/>
          <w:szCs w:val="26"/>
        </w:rPr>
        <w:t xml:space="preserve">The Unbreakable Bond in a Disposable Economy</w:t>
      </w:r>
    </w:p>
    <w:p>
      <w:pPr>
        <w:pBdr>
          <w:top w:val="single" w:color="2E4057" w:sz="6" w:space="6"/>
          <w:bottom w:val="single" w:color="2E4057" w:sz="6" w:space="6"/>
        </w:pBdr>
        <w:spacing w:after="280" w:before="280"/>
        <w:ind w:left="720" w:right="720"/>
        <w:jc w:val="center"/>
      </w:pPr>
      <w:r>
        <w:rPr>
          <w:rFonts w:ascii="Georgia" w:cs="Georgia" w:eastAsia="Georgia" w:hAnsi="Georgia"/>
          <w:i/>
          <w:iCs/>
          <w:color w:val="2E4057"/>
          <w:sz w:val="26"/>
          <w:szCs w:val="26"/>
        </w:rPr>
        <w:t xml:space="preserve">“It is a covenant of salt forever before the Lord, for you and for your offspring with you.” — Numbers 18:19</w:t>
      </w:r>
    </w:p>
    <w:p>
      <w:pPr>
        <w:pStyle w:val="Heading2"/>
        <w:spacing w:after="180" w:before="360"/>
      </w:pPr>
      <w:r>
        <w:rPr>
          <w:rFonts w:ascii="Georgia" w:cs="Georgia" w:eastAsia="Georgia" w:hAnsi="Georgia"/>
          <w:b/>
          <w:bCs/>
          <w:color w:val="2E4057"/>
          <w:sz w:val="28"/>
          <w:szCs w:val="28"/>
        </w:rPr>
        <w:t xml:space="preserve">The Theology of the Unbreakable Bond</w:t>
      </w:r>
    </w:p>
    <w:p>
      <w:pPr>
        <w:spacing w:after="160" w:before="120"/>
        <w:jc w:val="both"/>
      </w:pPr>
      <w:r>
        <w:rPr>
          <w:rFonts w:ascii="Georgia" w:cs="Georgia" w:eastAsia="Georgia" w:hAnsi="Georgia"/>
          <w:sz w:val="24"/>
          <w:szCs w:val="24"/>
        </w:rPr>
        <w:t xml:space="preserve">The ancient Hebraic legal corpus contains two categories of covenant. The first is b’rit—a conditional agreement, enforceable, revocable, and contingent on performance. The second, rarer, category is b’rit melach—a covenant of salt. The distinction is absolute. Where a b’rit can be renegotiated, nullified, or voided through breach of terms, a b’rit melach cannot. It is irrevocable not because of legal technicality but because of its very material metaphor: salt does not dissolve back into its original chemical components once it has done its work. The bond it represents is as permanent as the mineral itself.</w:t>
      </w:r>
    </w:p>
    <w:p>
      <w:pPr>
        <w:spacing w:after="160" w:before="120"/>
        <w:jc w:val="both"/>
      </w:pPr>
      <w:r>
        <w:rPr>
          <w:rFonts w:ascii="Georgia" w:cs="Georgia" w:eastAsia="Georgia" w:hAnsi="Georgia"/>
          <w:sz w:val="24"/>
          <w:szCs w:val="24"/>
        </w:rPr>
        <w:t xml:space="preserve">In Numbers 18:19, the priestly covenant between Aaron’s descendants and the God of Israel is sealed not with blood—the common covenantal currency of the ancient world—but with salt. The implication is deliberate and theologically precise: blood can be shed, contracts can be burned, oaths can be forsworn. But what has been salted has been preserved against the corrosion of time, circumstance, and human weakness. In 2 Chronicles 13:5, King Abijah invokes this same language to describe the Davidic covenant: “Do you not know that the Lord God of Israel gave the kingship of Israel forever to David and his sons by a covenant of salt?”</w:t>
      </w:r>
    </w:p>
    <w:p>
      <w:pPr>
        <w:spacing w:after="160" w:before="120"/>
        <w:jc w:val="both"/>
      </w:pPr>
      <w:r>
        <w:rPr>
          <w:rFonts w:ascii="Georgia" w:cs="Georgia" w:eastAsia="Georgia" w:hAnsi="Georgia"/>
          <w:sz w:val="24"/>
          <w:szCs w:val="24"/>
        </w:rPr>
        <w:t xml:space="preserve">This is not archaic religious language with no modern application. It is a structural description of a kind of commitment that the contemporary world has nearly forgotten how to make.</w:t>
      </w:r>
    </w:p>
    <w:p>
      <w:pPr>
        <w:pStyle w:val="Heading2"/>
        <w:spacing w:after="180" w:before="360"/>
      </w:pPr>
      <w:r>
        <w:rPr>
          <w:rFonts w:ascii="Georgia" w:cs="Georgia" w:eastAsia="Georgia" w:hAnsi="Georgia"/>
          <w:b/>
          <w:bCs/>
          <w:color w:val="2E4057"/>
          <w:sz w:val="28"/>
          <w:szCs w:val="28"/>
        </w:rPr>
        <w:t xml:space="preserve">The Folklore of Shared Minerals: Hospitality Equity</w:t>
      </w:r>
    </w:p>
    <w:p>
      <w:pPr>
        <w:spacing w:after="160" w:before="120"/>
        <w:jc w:val="both"/>
      </w:pPr>
      <w:r>
        <w:rPr>
          <w:rFonts w:ascii="Georgia" w:cs="Georgia" w:eastAsia="Georgia" w:hAnsi="Georgia"/>
          <w:sz w:val="24"/>
          <w:szCs w:val="24"/>
        </w:rPr>
        <w:t xml:space="preserve">While the Theologian grounds the covenant of salt in sacred text, the Folklorist locates its meaning in the universal human practice of sharing bread and salt with a stranger. Across cultures as geographically and chronologically distant as ancient Arabia, medieval Poland, pre-colonial West Africa, and the mountain communities of the Caucasus, the act of placing salt and bread before a guest constituted an inviolable social contract. Having eaten another’s salt, you were bound. You could not betray. You could not deceive. You could not harm.</w:t>
      </w:r>
    </w:p>
    <w:p>
      <w:pPr>
        <w:spacing w:after="160" w:before="120"/>
        <w:jc w:val="both"/>
      </w:pPr>
      <w:r>
        <w:rPr>
          <w:rFonts w:ascii="Georgia" w:cs="Georgia" w:eastAsia="Georgia" w:hAnsi="Georgia"/>
          <w:sz w:val="24"/>
          <w:szCs w:val="24"/>
        </w:rPr>
        <w:t xml:space="preserve">The Arabic phrase “we have eaten salt together” (akaltu milhahu) remains in use today as an expression of loyalty that supersedes ordinary obligation. In Polish wedding tradition, the hosting of guests was formalized with bread and salt—the two essential provisions that every household, however humble, could offer. The symbolism is layered: bread represents the labor and abundance of the earth, salt represents durability, the refusal of decay. Together they communicate: what we give you is not merely food but the promise of permanence.</w:t>
      </w:r>
    </w:p>
    <w:p>
      <w:pPr>
        <w:spacing w:after="160" w:before="120"/>
        <w:jc w:val="both"/>
      </w:pPr>
      <w:r>
        <w:rPr>
          <w:rFonts w:ascii="Georgia" w:cs="Georgia" w:eastAsia="Georgia" w:hAnsi="Georgia"/>
          <w:sz w:val="24"/>
          <w:szCs w:val="24"/>
        </w:rPr>
        <w:t xml:space="preserve">This matters for leadership because it identifies a fundamental distinction between transaction and covenant. A transaction is an exchange of agreed-upon value, terminable when either party finds a better offer. A covenant is a bond of mutual obligation that does not depend on the market conditions of the moment. In a world organized almost entirely around transactional logic—quarterly earnings, contract terms, at-will employment, algorithmic loyalty programs—the person or institution capable of offering a true covenant of salt becomes extraordinary by default.</w:t>
      </w:r>
    </w:p>
    <w:p>
      <w:pPr>
        <w:pBdr>
          <w:top w:val="single" w:color="2E4057" w:sz="6" w:space="6"/>
          <w:bottom w:val="single" w:color="2E4057" w:sz="6" w:space="6"/>
        </w:pBdr>
        <w:spacing w:after="280" w:before="280"/>
        <w:ind w:left="720" w:right="720"/>
        <w:jc w:val="center"/>
      </w:pPr>
      <w:r>
        <w:rPr>
          <w:rFonts w:ascii="Georgia" w:cs="Georgia" w:eastAsia="Georgia" w:hAnsi="Georgia"/>
          <w:i/>
          <w:iCs/>
          <w:color w:val="2E4057"/>
          <w:sz w:val="26"/>
          <w:szCs w:val="26"/>
        </w:rPr>
        <w:t xml:space="preserve">“In a disposable economy, permanence is not merely valuable—it is the rarest premium on the market. The covenant of salt is not a moral luxury. It is your competitive moat.”</w:t>
      </w:r>
    </w:p>
    <w:p>
      <w:pPr>
        <w:pStyle w:val="Heading2"/>
        <w:spacing w:after="180" w:before="360"/>
      </w:pPr>
      <w:r>
        <w:rPr>
          <w:rFonts w:ascii="Georgia" w:cs="Georgia" w:eastAsia="Georgia" w:hAnsi="Georgia"/>
          <w:b/>
          <w:bCs/>
          <w:color w:val="2E4057"/>
          <w:sz w:val="28"/>
          <w:szCs w:val="28"/>
        </w:rPr>
        <w:t xml:space="preserve">Executive Application: From Contract to Covenant</w:t>
      </w:r>
    </w:p>
    <w:p>
      <w:pPr>
        <w:spacing w:after="160" w:before="120"/>
        <w:jc w:val="both"/>
      </w:pPr>
      <w:r>
        <w:rPr>
          <w:rFonts w:ascii="Georgia" w:cs="Georgia" w:eastAsia="Georgia" w:hAnsi="Georgia"/>
          <w:sz w:val="24"/>
          <w:szCs w:val="24"/>
        </w:rPr>
        <w:t xml:space="preserve">The practical application of b’rit melach thinking requires a fundamental reexamination of what you are actually offering to the people who work for you, buy from you, are treated by you, or are raised by you. Most organizations offer contracts. They outline duties, compensation, notice periods, and non-disclosure requirements. These are not covenants. They are transactions dressed in legal language, and every party who signs them knows, on some level, that they are terminable.</w:t>
      </w:r>
    </w:p>
    <w:p>
      <w:pPr>
        <w:spacing w:after="160" w:before="120"/>
        <w:jc w:val="both"/>
      </w:pPr>
      <w:r>
        <w:rPr>
          <w:rFonts w:ascii="Georgia" w:cs="Georgia" w:eastAsia="Georgia" w:hAnsi="Georgia"/>
          <w:sz w:val="24"/>
          <w:szCs w:val="24"/>
        </w:rPr>
        <w:t xml:space="preserve">The covenant model asks a harder question: what am I willing to commit to that does not depend on performance metrics? What do I offer that cannot be revoked when the market turns, when the person disappoints, when the terms no longer serve my interest? This is not naivety. It is strategy. The leaders, families, and institutions that operate on covenant logic attract a quality of loyalty and investment that transactional logic cannot purchase at any price.</w:t>
      </w:r>
    </w:p>
    <w:p>
      <w:pPr>
        <w:spacing w:after="160" w:before="120"/>
        <w:jc w:val="both"/>
      </w:pPr>
      <w:r>
        <w:rPr>
          <w:rFonts w:ascii="Georgia" w:cs="Georgia" w:eastAsia="Georgia" w:hAnsi="Georgia"/>
          <w:sz w:val="24"/>
          <w:szCs w:val="24"/>
        </w:rPr>
        <w:t xml:space="preserve">Consider the organizational evidence. The companies with the lowest voluntary attrition—and therefore the lowest cost per productive employee—are overwhelmingly those where employees report a sense of being genuinely valued beyond their current output. This is not a soft-skills observation. It is a hard economic one. The covenant of salt is, among other things, the most effective retention strategy available to any leader.</w:t>
      </w:r>
    </w:p>
    <w:p>
      <w:pPr>
        <w:pBdr>
          <w:top w:val="single" w:color="4A6741" w:sz="6"/>
          <w:bottom w:val="single" w:color="4A6741" w:sz="6"/>
        </w:pBdr>
        <w:shd w:fill="F0F4F8" w:val="clear"/>
        <w:spacing w:after="80" w:before="280"/>
        <w:ind w:left="360" w:right="360"/>
      </w:pPr>
      <w:r>
        <w:rPr>
          <w:rFonts w:ascii="Arial" w:cs="Arial" w:eastAsia="Arial" w:hAnsi="Arial"/>
          <w:b/>
          <w:bCs/>
          <w:color w:val="4A6741"/>
          <w:sz w:val="22"/>
          <w:szCs w:val="22"/>
        </w:rPr>
        <w:t xml:space="preserve">EXECUTIVE EXERCISE — The Covenant Audit</w:t>
      </w:r>
    </w:p>
    <w:p>
      <w:pPr>
        <w:spacing w:after="280" w:before="80"/>
        <w:ind w:left="360" w:right="360"/>
      </w:pPr>
      <w:r>
        <w:rPr>
          <w:rFonts w:ascii="Arial" w:cs="Arial" w:eastAsia="Arial" w:hAnsi="Arial"/>
          <w:sz w:val="22"/>
          <w:szCs w:val="22"/>
        </w:rPr>
        <w:t xml:space="preserve">List the five most important relationships in your professional life—direct reports, clients, partners, or colleagues. For each, honestly assess: are you in a contract or a covenant? What would it take to move from the former to the latter? What would you need to offer that is not currently on the table? What would you need to stop offering that creates the illusion of covenant while remaining purely transactional?</w:t>
      </w:r>
    </w:p>
    <w:p>
      <w:pPr>
        <w:spacing w:after="160" w:before="120"/>
        <w:jc w:val="both"/>
      </w:pPr>
      <w:r>
        <w:rPr>
          <w:rFonts w:ascii="Georgia" w:cs="Georgia" w:eastAsia="Georgia" w:hAnsi="Georgia"/>
          <w:sz w:val="24"/>
          <w:szCs w:val="24"/>
        </w:rPr>
        <w:t xml:space="preserve">The covenant leader is not a pushover. The b’rit melach is not unconditional in the sense of being without standards—it is unconditional in the sense of being without escape. The ancient priestly covenant bound both parties: the priests to their obligations and God to his. Permanence is demanding. It asks you to build something worthy of lasting—and then to stand behind it without the option of exit.</w:t>
      </w:r>
    </w:p>
    <w:p>
      <w:pPr>
        <w:spacing w:after="160" w:before="120"/>
        <w:jc w:val="both"/>
      </w:pPr>
      <w:r>
        <w:rPr>
          <w:rFonts w:ascii="Georgia" w:cs="Georgia" w:eastAsia="Georgia" w:hAnsi="Georgia"/>
          <w:sz w:val="24"/>
          <w:szCs w:val="24"/>
        </w:rPr>
        <w:t xml:space="preserve">In the chapters ahead, we will see how this covenant architecture applies to every domain examined in this book—from the corporate boardroom to the family dinner table to the contested terrain of democratic governance. The principle is the same in each context: the person who offers salt in a world that offers sugar becomes indispensable. And the person who has tasted the difference cannot go back.</w:t>
      </w:r>
    </w:p>
    <w:p>
      <w:r>
        <w:br w:type="page"/>
      </w:r>
    </w:p>
    <w:p>
      <w:pPr>
        <w:spacing w:after="80" w:before="480"/>
        <w:jc w:val="center"/>
      </w:pPr>
      <w:r>
        <w:rPr>
          <w:rFonts w:ascii="Arial" w:cs="Arial" w:eastAsia="Arial" w:hAnsi="Arial"/>
          <w:b/>
          <w:bCs/>
          <w:caps/>
          <w:color w:val="888888"/>
          <w:sz w:val="24"/>
          <w:szCs w:val="24"/>
        </w:rPr>
        <w:t xml:space="preserve">CHAPTER THREE</w:t>
      </w:r>
    </w:p>
    <w:p>
      <w:pPr>
        <w:pStyle w:val="Heading1"/>
        <w:spacing w:after="120" w:before="80"/>
        <w:jc w:val="center"/>
      </w:pPr>
      <w:r>
        <w:rPr>
          <w:rFonts w:ascii="Georgia" w:cs="Georgia" w:eastAsia="Georgia" w:hAnsi="Georgia"/>
          <w:b/>
          <w:bCs/>
          <w:sz w:val="40"/>
          <w:szCs w:val="40"/>
        </w:rPr>
        <w:t xml:space="preserve">The Energy Exchange</w:t>
      </w:r>
    </w:p>
    <w:p>
      <w:pPr>
        <w:spacing w:after="480" w:before="0"/>
        <w:jc w:val="center"/>
      </w:pPr>
      <w:r>
        <w:rPr>
          <w:rFonts w:ascii="Georgia" w:cs="Georgia" w:eastAsia="Georgia" w:hAnsi="Georgia"/>
          <w:i/>
          <w:iCs/>
          <w:color w:val="555555"/>
          <w:sz w:val="26"/>
          <w:szCs w:val="26"/>
        </w:rPr>
        <w:t xml:space="preserve">Resonance vs. Absorption</w:t>
      </w:r>
    </w:p>
    <w:p>
      <w:pPr>
        <w:pBdr>
          <w:top w:val="single" w:color="2E4057" w:sz="6" w:space="6"/>
          <w:bottom w:val="single" w:color="2E4057" w:sz="6" w:space="6"/>
        </w:pBdr>
        <w:spacing w:after="280" w:before="280"/>
        <w:ind w:left="720" w:right="720"/>
        <w:jc w:val="center"/>
      </w:pPr>
      <w:r>
        <w:rPr>
          <w:rFonts w:ascii="Georgia" w:cs="Georgia" w:eastAsia="Georgia" w:hAnsi="Georgia"/>
          <w:i/>
          <w:iCs/>
          <w:color w:val="2E4057"/>
          <w:sz w:val="26"/>
          <w:szCs w:val="26"/>
        </w:rPr>
        <w:t xml:space="preserve">“The environment does not change the mineral. The mineral changes the environment. This is the entire curriculum.”</w:t>
      </w:r>
    </w:p>
    <w:p>
      <w:pPr>
        <w:pStyle w:val="Heading2"/>
        <w:spacing w:after="180" w:before="360"/>
      </w:pPr>
      <w:r>
        <w:rPr>
          <w:rFonts w:ascii="Georgia" w:cs="Georgia" w:eastAsia="Georgia" w:hAnsi="Georgia"/>
          <w:b/>
          <w:bCs/>
          <w:color w:val="2E4057"/>
          <w:sz w:val="28"/>
          <w:szCs w:val="28"/>
        </w:rPr>
        <w:t xml:space="preserve">The Metaphysical Law of Resonance</w:t>
      </w:r>
    </w:p>
    <w:p>
      <w:pPr>
        <w:spacing w:after="160" w:before="120"/>
        <w:jc w:val="both"/>
      </w:pPr>
      <w:r>
        <w:rPr>
          <w:rFonts w:ascii="Georgia" w:cs="Georgia" w:eastAsia="Georgia" w:hAnsi="Georgia"/>
          <w:sz w:val="24"/>
          <w:szCs w:val="24"/>
        </w:rPr>
        <w:t xml:space="preserve">Every system in nature—from a vibrating guitar string to the orbit of a planet—has a natural frequency: the rate at which it oscillates when left to its own dynamics. In classical physics, resonance is the phenomenon that occurs when an external oscillation matches a system’s natural frequency and the amplitude of vibration increases dramatically. A trained singer can shatter a crystal glass not by hitting it but by producing the precise frequency at which the glass vibrates—and then sustaining it until the glass can no longer contain the energy.</w:t>
      </w:r>
    </w:p>
    <w:p>
      <w:pPr>
        <w:spacing w:after="160" w:before="120"/>
        <w:jc w:val="both"/>
      </w:pPr>
      <w:r>
        <w:rPr>
          <w:rFonts w:ascii="Georgia" w:cs="Georgia" w:eastAsia="Georgia" w:hAnsi="Georgia"/>
          <w:sz w:val="24"/>
          <w:szCs w:val="24"/>
        </w:rPr>
        <w:t xml:space="preserve">This principle operates with equal precision in human psychology and organizational dynamics. Every person has a natural frequency—a baseline state of being that reflects their deepest values, their formed identity, their non-negotiable commitments. When that frequency is strong and stable, external chaos does not absorb into the person. It interacts with them. They may be moved—they may even be rattled—but they return to their baseline. They are not remade by their environment.</w:t>
      </w:r>
    </w:p>
    <w:p>
      <w:pPr>
        <w:spacing w:after="160" w:before="120"/>
        <w:jc w:val="both"/>
      </w:pPr>
      <w:r>
        <w:rPr>
          <w:rFonts w:ascii="Georgia" w:cs="Georgia" w:eastAsia="Georgia" w:hAnsi="Georgia"/>
          <w:sz w:val="24"/>
          <w:szCs w:val="24"/>
        </w:rPr>
        <w:t xml:space="preserve">Most people, unfortunately, have never discovered what their natural frequency actually is. They have spent so many years calibrating themselves to the expectations of employers, families, social media algorithms, and cultural moment that their baseline is not a frequency at all—it is static. And static is the acoustical definition of noise: a signal with no coherent pattern. Noise cannot resonate. Noise can only be absorbed.</w:t>
      </w:r>
    </w:p>
    <w:p>
      <w:pPr>
        <w:pStyle w:val="Heading2"/>
        <w:spacing w:after="180" w:before="360"/>
      </w:pPr>
      <w:r>
        <w:rPr>
          <w:rFonts w:ascii="Georgia" w:cs="Georgia" w:eastAsia="Georgia" w:hAnsi="Georgia"/>
          <w:b/>
          <w:bCs/>
          <w:color w:val="2E4057"/>
          <w:sz w:val="28"/>
          <w:szCs w:val="28"/>
        </w:rPr>
        <w:t xml:space="preserve">Active Resonance vs. Environmental Down-Synchronization</w:t>
      </w:r>
    </w:p>
    <w:p>
      <w:pPr>
        <w:spacing w:after="160" w:before="120"/>
        <w:jc w:val="both"/>
      </w:pPr>
      <w:r>
        <w:rPr>
          <w:rFonts w:ascii="Georgia" w:cs="Georgia" w:eastAsia="Georgia" w:hAnsi="Georgia"/>
          <w:sz w:val="24"/>
          <w:szCs w:val="24"/>
        </w:rPr>
        <w:t xml:space="preserve">The psychologist Elaine Hatfield’s research on emotional contagion established that human beings have a powerful and largely automatic tendency to synchronize their emotional states with those of the people around them. We unconsciously mimic facial expressions, posture, and vocal tone—and the feedback from those physical mimicries generates the corresponding emotional state in ourselves. This is not weakness—it is the neurological infrastructure of empathy, and it is essential for human social functioning.</w:t>
      </w:r>
    </w:p>
    <w:p>
      <w:pPr>
        <w:spacing w:after="160" w:before="120"/>
        <w:jc w:val="both"/>
      </w:pPr>
      <w:r>
        <w:rPr>
          <w:rFonts w:ascii="Georgia" w:cs="Georgia" w:eastAsia="Georgia" w:hAnsi="Georgia"/>
          <w:sz w:val="24"/>
          <w:szCs w:val="24"/>
        </w:rPr>
        <w:t xml:space="preserve">The problem arises when this mechanism operates without awareness or discipline. When a chronically anxious leader walks into a meeting, the team’s autonomic nervous systems begin synchronizing with his before he has spoken a word. When a culture of cynicism pervades an organization, new employees who arrive with genuine enthusiasm find themselves, within months, speaking and thinking in the flat, exhausted register of the people they work beside. This is not weakness of character. It is physics—the physics of unmanaged resonance.</w:t>
      </w:r>
    </w:p>
    <w:p>
      <w:pPr>
        <w:spacing w:after="160" w:before="120"/>
        <w:jc w:val="both"/>
      </w:pPr>
      <w:r>
        <w:rPr>
          <w:rFonts w:ascii="Georgia" w:cs="Georgia" w:eastAsia="Georgia" w:hAnsi="Georgia"/>
          <w:sz w:val="24"/>
          <w:szCs w:val="24"/>
        </w:rPr>
        <w:t xml:space="preserve">Active Resonance is the disciplined inversion of this process. Rather than unconsciously synchronizing downward to the frequency of one’s environment, the Active Resonant individual maintains and projects their own frequency with enough consistency and amplitude that the environment begins to synchronize upward to them. They do not suppress their awareness of the room—they do not become emotionally isolated or disconnected. They perceive the ambient frequency clearly, and they answer it with something stronger.</w:t>
      </w:r>
    </w:p>
    <w:p>
      <w:pPr>
        <w:pBdr>
          <w:top w:val="single" w:color="2E4057" w:sz="6" w:space="6"/>
          <w:bottom w:val="single" w:color="2E4057" w:sz="6" w:space="6"/>
        </w:pBdr>
        <w:spacing w:after="280" w:before="280"/>
        <w:ind w:left="720" w:right="720"/>
        <w:jc w:val="center"/>
      </w:pPr>
      <w:r>
        <w:rPr>
          <w:rFonts w:ascii="Georgia" w:cs="Georgia" w:eastAsia="Georgia" w:hAnsi="Georgia"/>
          <w:i/>
          <w:iCs/>
          <w:color w:val="2E4057"/>
          <w:sz w:val="26"/>
          <w:szCs w:val="26"/>
        </w:rPr>
        <w:t xml:space="preserve">“Down-synchronization is not empathy. Empathy requires that you know where you stand before you enter the wound.”</w:t>
      </w:r>
    </w:p>
    <w:p>
      <w:pPr>
        <w:pStyle w:val="Heading2"/>
        <w:spacing w:after="180" w:before="360"/>
      </w:pPr>
      <w:r>
        <w:rPr>
          <w:rFonts w:ascii="Georgia" w:cs="Georgia" w:eastAsia="Georgia" w:hAnsi="Georgia"/>
          <w:b/>
          <w:bCs/>
          <w:color w:val="2E4057"/>
          <w:sz w:val="28"/>
          <w:szCs w:val="28"/>
        </w:rPr>
        <w:t xml:space="preserve">The Vacuum Phenomenon</w:t>
      </w:r>
    </w:p>
    <w:p>
      <w:pPr>
        <w:spacing w:after="160" w:before="120"/>
        <w:jc w:val="both"/>
      </w:pPr>
      <w:r>
        <w:rPr>
          <w:rFonts w:ascii="Georgia" w:cs="Georgia" w:eastAsia="Georgia" w:hAnsi="Georgia"/>
          <w:sz w:val="24"/>
          <w:szCs w:val="24"/>
        </w:rPr>
        <w:t xml:space="preserve">Physics teaches us that nature abhors a vacuum—when any region of space is emptied of matter, surrounding matter rushes in to fill it. The social analogue is equally reliable: when a principled, stabilizing presence withdraws from any human system—a family, an organization, a community, a nation—the psychological and moral space they occupied does not remain empty. It is filled immediately, and it is filled by whatever is moving fastest in the vicinity.</w:t>
      </w:r>
    </w:p>
    <w:p>
      <w:pPr>
        <w:spacing w:after="160" w:before="120"/>
        <w:jc w:val="both"/>
      </w:pPr>
      <w:r>
        <w:rPr>
          <w:rFonts w:ascii="Georgia" w:cs="Georgia" w:eastAsia="Georgia" w:hAnsi="Georgia"/>
          <w:sz w:val="24"/>
          <w:szCs w:val="24"/>
        </w:rPr>
        <w:t xml:space="preserve">In most environments, what moves fastest is not what is best. Anxiety moves faster than deliberation. Cynicism spreads faster than hope. Corruption outpaces integrity. Not because dark forces are inherently more powerful, but because they are less encumbered—they have no standards to maintain, no covenants to honor, no constituencies to serve. The principled actor is necessarily slower. This is why withdrawal, however tempting, however justified by exhaustion or disillusionment, is never merely personal. When the salt removes itself from the wound, the wound does not remain in its current state. It deteriorates.</w:t>
      </w:r>
    </w:p>
    <w:p>
      <w:pPr>
        <w:spacing w:after="160" w:before="120"/>
        <w:jc w:val="both"/>
      </w:pPr>
      <w:r>
        <w:rPr>
          <w:rFonts w:ascii="Georgia" w:cs="Georgia" w:eastAsia="Georgia" w:hAnsi="Georgia"/>
          <w:sz w:val="24"/>
          <w:szCs w:val="24"/>
        </w:rPr>
        <w:t xml:space="preserve">The implication for those who are reading this book is serious and ought to be received that way. The question is not whether you will influence your environment. The question is whether that influence will be Active Resonance or, by default, passive contamination. The parent who disengages from their child’s digital life does not leave a neutral space. They leave a vacuum. The executive who avoids the difficult conversation about organizational culture does not maintain the status quo. They accelerate its decay. There is no neutral option.</w:t>
      </w:r>
    </w:p>
    <w:p>
      <w:pPr>
        <w:pStyle w:val="Heading2"/>
        <w:spacing w:after="180" w:before="360"/>
      </w:pPr>
      <w:r>
        <w:rPr>
          <w:rFonts w:ascii="Georgia" w:cs="Georgia" w:eastAsia="Georgia" w:hAnsi="Georgia"/>
          <w:b/>
          <w:bCs/>
          <w:color w:val="2E4057"/>
          <w:sz w:val="28"/>
          <w:szCs w:val="28"/>
        </w:rPr>
        <w:t xml:space="preserve">The Daily Brine: A 4-Step Protocol for Mental Hygiene</w:t>
      </w:r>
    </w:p>
    <w:p>
      <w:pPr>
        <w:spacing w:after="160" w:before="120"/>
        <w:jc w:val="both"/>
      </w:pPr>
      <w:r>
        <w:rPr>
          <w:rFonts w:ascii="Georgia" w:cs="Georgia" w:eastAsia="Georgia" w:hAnsi="Georgia"/>
          <w:sz w:val="24"/>
          <w:szCs w:val="24"/>
        </w:rPr>
        <w:t xml:space="preserve">The metaphysics of Active Resonance requires a practical infrastructure. Without daily discipline, even the most clearly understood principle atrophies—the frequency drifts, the boundary becomes porous again, and the person who yesterday understood themselves with clarity wakes tomorrow unable to locate the signal beneath the noise.</w:t>
      </w:r>
    </w:p>
    <w:p>
      <w:pPr>
        <w:spacing w:after="160" w:before="120"/>
        <w:jc w:val="both"/>
      </w:pPr>
      <w:r>
        <w:rPr>
          <w:rFonts w:ascii="Georgia" w:cs="Georgia" w:eastAsia="Georgia" w:hAnsi="Georgia"/>
          <w:sz w:val="24"/>
          <w:szCs w:val="24"/>
        </w:rPr>
        <w:t xml:space="preserve">The Daily Brine protocol is designed as a morning practice—a structured sequence of four disciplines that, performed consistently, maintain the psychological salinity required for Active Resonance. Each pillar corresponds to one of salt’s core properties. (This protocol is elaborated in clinical detail in Chapter 18.)</w:t>
      </w:r>
    </w:p>
    <w:p>
      <w:pPr>
        <w:spacing w:after="100" w:before="180"/>
      </w:pPr>
      <w:r>
        <w:rPr>
          <w:rFonts w:ascii="Georgia" w:cs="Georgia" w:eastAsia="Georgia" w:hAnsi="Georgia"/>
          <w:b/>
          <w:bCs/>
          <w:color w:val="2E4057"/>
          <w:sz w:val="24"/>
          <w:szCs w:val="24"/>
        </w:rPr>
        <w:t xml:space="preserve">Pillar One: Lattice Calibration (10 minutes)</w:t>
      </w:r>
    </w:p>
    <w:p>
      <w:pPr>
        <w:spacing w:after="160" w:before="120"/>
        <w:jc w:val="both"/>
      </w:pPr>
      <w:r>
        <w:rPr>
          <w:rFonts w:ascii="Georgia" w:cs="Georgia" w:eastAsia="Georgia" w:hAnsi="Georgia"/>
          <w:sz w:val="24"/>
          <w:szCs w:val="24"/>
        </w:rPr>
        <w:t xml:space="preserve">Before the first notification, before the first conversation, before any external frequency has an opportunity to begin its synchronization, sit with the foundational question: What do I actually believe? What are the non-negotiables—the covenants—that define me regardless of what today’s environment demands? Write them. Speak them. Make them concrete and present.</w:t>
      </w:r>
    </w:p>
    <w:p>
      <w:pPr>
        <w:spacing w:after="100" w:before="180"/>
      </w:pPr>
      <w:r>
        <w:rPr>
          <w:rFonts w:ascii="Georgia" w:cs="Georgia" w:eastAsia="Georgia" w:hAnsi="Georgia"/>
          <w:b/>
          <w:bCs/>
          <w:color w:val="2E4057"/>
          <w:sz w:val="24"/>
          <w:szCs w:val="24"/>
        </w:rPr>
        <w:t xml:space="preserve">Pillar Two: Threshold Salting (5 minutes)</w:t>
      </w:r>
    </w:p>
    <w:p>
      <w:pPr>
        <w:spacing w:after="160" w:before="120"/>
        <w:jc w:val="both"/>
      </w:pPr>
      <w:r>
        <w:rPr>
          <w:rFonts w:ascii="Georgia" w:cs="Georgia" w:eastAsia="Georgia" w:hAnsi="Georgia"/>
          <w:sz w:val="24"/>
          <w:szCs w:val="24"/>
        </w:rPr>
        <w:t xml:space="preserve">Before entering any high-stakes environment—a meeting, a difficult conversation, a crowded commute—consciously identify the specific ambient frequencies you will encounter and articulate your intended response to them. Not suppression, not avoidance—response. The prepared mind is not swept away. It engages.</w:t>
      </w:r>
    </w:p>
    <w:p>
      <w:pPr>
        <w:spacing w:after="100" w:before="180"/>
      </w:pPr>
      <w:r>
        <w:rPr>
          <w:rFonts w:ascii="Georgia" w:cs="Georgia" w:eastAsia="Georgia" w:hAnsi="Georgia"/>
          <w:b/>
          <w:bCs/>
          <w:color w:val="C0392B"/>
          <w:sz w:val="24"/>
          <w:szCs w:val="24"/>
        </w:rPr>
        <w:t xml:space="preserve">Pillar Three: Antiseptic Purge (10 minutes, evening)</w:t>
      </w:r>
    </w:p>
    <w:p>
      <w:pPr>
        <w:spacing w:after="160" w:before="120"/>
        <w:jc w:val="both"/>
      </w:pPr>
      <w:r>
        <w:rPr>
          <w:rFonts w:ascii="Georgia" w:cs="Georgia" w:eastAsia="Georgia" w:hAnsi="Georgia"/>
          <w:sz w:val="24"/>
          <w:szCs w:val="24"/>
        </w:rPr>
        <w:t xml:space="preserve">At the close of each day, audit what got in. Where did you absorb rather than resonate? Where did you synchronize downward? Name it without shame—the purpose of the audit is not self-recrimination but precise diagnosis. What you can see clearly, you can address. What you normalize, you become.</w:t>
      </w:r>
    </w:p>
    <w:p>
      <w:pPr>
        <w:spacing w:after="100" w:before="180"/>
      </w:pPr>
      <w:r>
        <w:rPr>
          <w:rFonts w:ascii="Georgia" w:cs="Georgia" w:eastAsia="Georgia" w:hAnsi="Georgia"/>
          <w:b/>
          <w:bCs/>
          <w:color w:val="4A6741"/>
          <w:sz w:val="24"/>
          <w:szCs w:val="24"/>
        </w:rPr>
        <w:t xml:space="preserve">Pillar Four: Mineral Saturation (variable)</w:t>
      </w:r>
    </w:p>
    <w:p>
      <w:pPr>
        <w:spacing w:after="160" w:before="120"/>
        <w:jc w:val="both"/>
      </w:pPr>
      <w:r>
        <w:rPr>
          <w:rFonts w:ascii="Georgia" w:cs="Georgia" w:eastAsia="Georgia" w:hAnsi="Georgia"/>
          <w:sz w:val="24"/>
          <w:szCs w:val="24"/>
        </w:rPr>
        <w:t xml:space="preserve">Identify the sources that replenish your natural frequency—scripture, long-form reading, silence, physical exertion, meaningful conversation. Protect access to these sources with the same rigor you would protect any strategic resource. The mineral must be resupplied. A shaker that is never refilled eventually runs out.</w:t>
      </w:r>
    </w:p>
    <w:p>
      <w:r>
        <w:br w:type="page"/>
      </w:r>
    </w:p>
    <w:p>
      <w:pPr>
        <w:spacing w:after="80" w:before="480"/>
        <w:jc w:val="center"/>
      </w:pPr>
      <w:r>
        <w:rPr>
          <w:rFonts w:ascii="Arial" w:cs="Arial" w:eastAsia="Arial" w:hAnsi="Arial"/>
          <w:b/>
          <w:bCs/>
          <w:caps/>
          <w:color w:val="888888"/>
          <w:sz w:val="24"/>
          <w:szCs w:val="24"/>
        </w:rPr>
        <w:t xml:space="preserve">CHAPTER FOUR</w:t>
      </w:r>
    </w:p>
    <w:p>
      <w:pPr>
        <w:pStyle w:val="Heading1"/>
        <w:spacing w:after="120" w:before="80"/>
        <w:jc w:val="center"/>
      </w:pPr>
      <w:r>
        <w:rPr>
          <w:rFonts w:ascii="Georgia" w:cs="Georgia" w:eastAsia="Georgia" w:hAnsi="Georgia"/>
          <w:b/>
          <w:bCs/>
          <w:sz w:val="40"/>
          <w:szCs w:val="40"/>
        </w:rPr>
        <w:t xml:space="preserve">The Vulnerable Leader</w:t>
      </w:r>
    </w:p>
    <w:p>
      <w:pPr>
        <w:spacing w:after="480" w:before="0"/>
        <w:jc w:val="center"/>
      </w:pPr>
      <w:r>
        <w:rPr>
          <w:rFonts w:ascii="Georgia" w:cs="Georgia" w:eastAsia="Georgia" w:hAnsi="Georgia"/>
          <w:i/>
          <w:iCs/>
          <w:color w:val="555555"/>
          <w:sz w:val="26"/>
          <w:szCs w:val="26"/>
        </w:rPr>
        <w:t xml:space="preserve">Effectively Out of Place</w:t>
      </w:r>
    </w:p>
    <w:p>
      <w:pPr>
        <w:pBdr>
          <w:top w:val="single" w:color="2E4057" w:sz="6" w:space="6"/>
          <w:bottom w:val="single" w:color="2E4057" w:sz="6" w:space="6"/>
        </w:pBdr>
        <w:spacing w:after="280" w:before="280"/>
        <w:ind w:left="720" w:right="720"/>
        <w:jc w:val="center"/>
      </w:pPr>
      <w:r>
        <w:rPr>
          <w:rFonts w:ascii="Georgia" w:cs="Georgia" w:eastAsia="Georgia" w:hAnsi="Georgia"/>
          <w:i/>
          <w:iCs/>
          <w:color w:val="2E4057"/>
          <w:sz w:val="26"/>
          <w:szCs w:val="26"/>
        </w:rPr>
        <w:t xml:space="preserve">“Do not be troubled by the fact that you do not fully belong here. Salt does not belong in a wound either. That is precisely why it heals.”</w:t>
      </w:r>
    </w:p>
    <w:p>
      <w:pPr>
        <w:pStyle w:val="Heading2"/>
        <w:spacing w:after="180" w:before="360"/>
      </w:pPr>
      <w:r>
        <w:rPr>
          <w:rFonts w:ascii="Georgia" w:cs="Georgia" w:eastAsia="Georgia" w:hAnsi="Georgia"/>
          <w:b/>
          <w:bCs/>
          <w:color w:val="2E4057"/>
          <w:sz w:val="28"/>
          <w:szCs w:val="28"/>
        </w:rPr>
        <w:t xml:space="preserve">The Geometry of Distinction</w:t>
      </w:r>
    </w:p>
    <w:p>
      <w:pPr>
        <w:spacing w:after="160" w:before="120"/>
        <w:jc w:val="both"/>
      </w:pPr>
      <w:r>
        <w:rPr>
          <w:rFonts w:ascii="Georgia" w:cs="Georgia" w:eastAsia="Georgia" w:hAnsi="Georgia"/>
          <w:sz w:val="24"/>
          <w:szCs w:val="24"/>
        </w:rPr>
        <w:t xml:space="preserve">There is a particular experience shared by almost every leader who has ever genuinely led—as distinct from those who have merely managed, administered, or occupied a position of authority. It is the persistent, low-level sensation of being slightly out of place. Of seeing clearly what no one else in the room appears to see. Of feeling the friction between what is and what should be with a sensitivity that most colleagues either do not possess or have long since learned to suppress.</w:t>
      </w:r>
    </w:p>
    <w:p>
      <w:pPr>
        <w:spacing w:after="160" w:before="120"/>
        <w:jc w:val="both"/>
      </w:pPr>
      <w:r>
        <w:rPr>
          <w:rFonts w:ascii="Georgia" w:cs="Georgia" w:eastAsia="Georgia" w:hAnsi="Georgia"/>
          <w:sz w:val="24"/>
          <w:szCs w:val="24"/>
        </w:rPr>
        <w:t xml:space="preserve">This experience is typically interpreted as a liability. The person who feels it is advised to “read the room,” to “pick your battles,” to “wait until the time is right.” These are the counsels of a culture that has confused fit with effectiveness, that has mistaken the absence of friction for the presence of health. This book proposes a fundamental counter-thesis: the sensation of being out of place is not a bug in the principled leader’s operating system. It is the feature.</w:t>
      </w:r>
    </w:p>
    <w:p>
      <w:pPr>
        <w:spacing w:after="160" w:before="120"/>
        <w:jc w:val="both"/>
      </w:pPr>
      <w:r>
        <w:rPr>
          <w:rFonts w:ascii="Georgia" w:cs="Georgia" w:eastAsia="Georgia" w:hAnsi="Georgia"/>
          <w:sz w:val="24"/>
          <w:szCs w:val="24"/>
        </w:rPr>
        <w:t xml:space="preserve">Salt is, structurally, a foreign substance in every medium it enters. It is not native to the wound, to the meat, to the broth. Its very foreignness is the source of its action. A mineral that dissolved into its environment and took on its properties would have no preservative power, no antiseptic capacity, no flavor-giving force. It would simply become part of the substrate. And the substrate would continue to rot.</w:t>
      </w:r>
    </w:p>
    <w:p>
      <w:pPr>
        <w:pStyle w:val="Heading2"/>
        <w:spacing w:after="180" w:before="360"/>
      </w:pPr>
      <w:r>
        <w:rPr>
          <w:rFonts w:ascii="Georgia" w:cs="Georgia" w:eastAsia="Georgia" w:hAnsi="Georgia"/>
          <w:b/>
          <w:bCs/>
          <w:color w:val="2E4057"/>
          <w:sz w:val="28"/>
          <w:szCs w:val="28"/>
        </w:rPr>
        <w:t xml:space="preserve">Why Feeling Out of Place is Your Ultimate Asset</w:t>
      </w:r>
    </w:p>
    <w:p>
      <w:pPr>
        <w:spacing w:after="160" w:before="120"/>
        <w:jc w:val="both"/>
      </w:pPr>
      <w:r>
        <w:rPr>
          <w:rFonts w:ascii="Georgia" w:cs="Georgia" w:eastAsia="Georgia" w:hAnsi="Georgia"/>
          <w:sz w:val="24"/>
          <w:szCs w:val="24"/>
        </w:rPr>
        <w:t xml:space="preserve">The neuroscience of creative problem-solving consistently demonstrates that the individuals most likely to generate genuinely novel solutions are those who are positioned at the boundary between two or more distinct cognitive or cultural domains—what the sociologist Ron Burt calls “structural holes.” These individuals see connections that specialists within a single domain miss precisely because they do not share the domain’s unexamined assumptions. Their outsider status is their cognitive advantage.</w:t>
      </w:r>
    </w:p>
    <w:p>
      <w:pPr>
        <w:spacing w:after="160" w:before="120"/>
        <w:jc w:val="both"/>
      </w:pPr>
      <w:r>
        <w:rPr>
          <w:rFonts w:ascii="Georgia" w:cs="Georgia" w:eastAsia="Georgia" w:hAnsi="Georgia"/>
          <w:sz w:val="24"/>
          <w:szCs w:val="24"/>
        </w:rPr>
        <w:t xml:space="preserve">The same principle operates at the level of moral and organizational leadership. The executive who grew up in poverty and now leads a wealth management firm perceives certain dynamics with a clarity that her colleagues cannot access. The physician who spent years working in resource-limited settings before joining an elite hospital notices the waste and bureaucracy that the institution has normalized. The leader who holds deep convictions that run counter to their industry’s prevailing ethics experiences a friction that their more “well-adjusted” peers do not—and that friction is data.</w:t>
      </w:r>
    </w:p>
    <w:p>
      <w:pPr>
        <w:spacing w:after="160" w:before="120"/>
        <w:jc w:val="both"/>
      </w:pPr>
      <w:r>
        <w:rPr>
          <w:rFonts w:ascii="Georgia" w:cs="Georgia" w:eastAsia="Georgia" w:hAnsi="Georgia"/>
          <w:sz w:val="24"/>
          <w:szCs w:val="24"/>
        </w:rPr>
        <w:t xml:space="preserve">The key transition—and it is one of the most difficult in the repertoire of personal leadership development—is from experiencing that out-of-place friction as shame to experiencing it as information. Shame paralyzes. Information activates. The leader who has learned to read their own distinctiveness as a diagnostic instrument rather than a social failure has converted what was a wound into a weapon.</w:t>
      </w:r>
    </w:p>
    <w:p>
      <w:pPr>
        <w:pBdr>
          <w:top w:val="single" w:color="2E4057" w:sz="6" w:space="6"/>
          <w:bottom w:val="single" w:color="2E4057" w:sz="6" w:space="6"/>
        </w:pBdr>
        <w:spacing w:after="280" w:before="280"/>
        <w:ind w:left="720" w:right="720"/>
        <w:jc w:val="center"/>
      </w:pPr>
      <w:r>
        <w:rPr>
          <w:rFonts w:ascii="Georgia" w:cs="Georgia" w:eastAsia="Georgia" w:hAnsi="Georgia"/>
          <w:i/>
          <w:iCs/>
          <w:color w:val="2E4057"/>
          <w:sz w:val="26"/>
          <w:szCs w:val="26"/>
        </w:rPr>
        <w:t xml:space="preserve">“The first question is not ‘Why don’t I fit here?’ The first question is ‘What does my not fitting tell me about this place—and about what it needs?’”</w:t>
      </w:r>
    </w:p>
    <w:p>
      <w:pPr>
        <w:pStyle w:val="Heading2"/>
        <w:spacing w:after="180" w:before="360"/>
      </w:pPr>
      <w:r>
        <w:rPr>
          <w:rFonts w:ascii="Georgia" w:cs="Georgia" w:eastAsia="Georgia" w:hAnsi="Georgia"/>
          <w:b/>
          <w:bCs/>
          <w:color w:val="2E4057"/>
          <w:sz w:val="28"/>
          <w:szCs w:val="28"/>
        </w:rPr>
        <w:t xml:space="preserve">Tactical Disruption: Deploying Distinctiveness as a Corporate Tool</w:t>
      </w:r>
    </w:p>
    <w:p>
      <w:pPr>
        <w:spacing w:after="160" w:before="120"/>
        <w:jc w:val="both"/>
      </w:pPr>
      <w:r>
        <w:rPr>
          <w:rFonts w:ascii="Georgia" w:cs="Georgia" w:eastAsia="Georgia" w:hAnsi="Georgia"/>
          <w:sz w:val="24"/>
          <w:szCs w:val="24"/>
        </w:rPr>
        <w:t xml:space="preserve">The deployment of distinctiveness as a stabilizing—rather than merely disruptive—corporate force requires what we might call a tactical vocabulary of presence. This is not about aggression or confrontation. It is about the disciplined, strategic use of one’s natural frequency to alter the energetic landscape of an organization without triggering the immune response that organizations mount against perceived threats.</w:t>
      </w:r>
    </w:p>
    <w:p>
      <w:pPr>
        <w:spacing w:after="160" w:before="120"/>
        <w:jc w:val="both"/>
      </w:pPr>
      <w:r>
        <w:rPr>
          <w:rFonts w:ascii="Georgia" w:cs="Georgia" w:eastAsia="Georgia" w:hAnsi="Georgia"/>
          <w:sz w:val="24"/>
          <w:szCs w:val="24"/>
        </w:rPr>
        <w:t xml:space="preserve">The first principle of tactical deployment is timing. Salt does not work on already-putrefied meat. Preservation is most effective when applied before or in the early stages of decay—not after the rot has become irreversible. The leader who enters a failing organization and attempts to apply salt to advanced institutional corruption will not preserve it; they will merely delay its end while absorbing a disproportionate share of the toxins. The skill of reading the stage of decay—and calibrating one’s intervention accordingly—is the first requirement of the tactical practitioner.</w:t>
      </w:r>
    </w:p>
    <w:p>
      <w:pPr>
        <w:spacing w:after="160" w:before="120"/>
        <w:jc w:val="both"/>
      </w:pPr>
      <w:r>
        <w:rPr>
          <w:rFonts w:ascii="Georgia" w:cs="Georgia" w:eastAsia="Georgia" w:hAnsi="Georgia"/>
          <w:sz w:val="24"/>
          <w:szCs w:val="24"/>
        </w:rPr>
        <w:t xml:space="preserve">The second principle is concentration. Salt works through density. A dilute solution of sodium chloride in a large body of water preserves nothing—the mineral’s concentration is insufficient to alter the chemistry of the medium. The practitioner who spreads their distinctiveness across too many fronts, too many initiatives, too many relationships simultaneously produces the same result: insufficient concentration to generate real change anywhere. The counter-intuitive prescription—particularly difficult for high-empathy, high-energy leaders—is strategic withdrawal and concentration. Do fewer things. Salt them thoroughly.</w:t>
      </w:r>
    </w:p>
    <w:p>
      <w:pPr>
        <w:spacing w:after="160" w:before="120"/>
        <w:jc w:val="both"/>
      </w:pPr>
      <w:r>
        <w:rPr>
          <w:rFonts w:ascii="Georgia" w:cs="Georgia" w:eastAsia="Georgia" w:hAnsi="Georgia"/>
          <w:sz w:val="24"/>
          <w:szCs w:val="24"/>
        </w:rPr>
        <w:t xml:space="preserve">The third principle is patience with permanence. Salt’s preservative function is not instantaneous. The dry-curing of meat requires days. The pickling of vegetables requires weeks. The transformation of a corporate culture requires years. The leader who expects immediate results from their distinctive presence is operating on a transactional timeline in a covenantal process. The b’rit melach is not a quarterly metric. It is a long obedience in the same direction.</w:t>
      </w:r>
    </w:p>
    <w:p>
      <w:pPr>
        <w:pBdr>
          <w:top w:val="single" w:color="4A6741" w:sz="6"/>
          <w:bottom w:val="single" w:color="4A6741" w:sz="6"/>
        </w:pBdr>
        <w:shd w:fill="F0F4F8" w:val="clear"/>
        <w:spacing w:after="80" w:before="280"/>
        <w:ind w:left="360" w:right="360"/>
      </w:pPr>
      <w:r>
        <w:rPr>
          <w:rFonts w:ascii="Arial" w:cs="Arial" w:eastAsia="Arial" w:hAnsi="Arial"/>
          <w:b/>
          <w:bCs/>
          <w:color w:val="4A6741"/>
          <w:sz w:val="22"/>
          <w:szCs w:val="22"/>
        </w:rPr>
        <w:t xml:space="preserve">TACTICAL FRAMEWORK — The Three Principles of Deployment</w:t>
      </w:r>
    </w:p>
    <w:p>
      <w:pPr>
        <w:spacing w:after="280" w:before="80"/>
        <w:ind w:left="360" w:right="360"/>
      </w:pPr>
      <w:r>
        <w:rPr>
          <w:rFonts w:ascii="Arial" w:cs="Arial" w:eastAsia="Arial" w:hAnsi="Arial"/>
          <w:sz w:val="22"/>
          <w:szCs w:val="22"/>
        </w:rPr>
        <w:t xml:space="preserve">TIMING: Identify the stage of decay. Preservation works early. Antiseptic action works mid-stage. Flavor is most powerful in healthy systems. Misread the stage and you misapply the intervention.
CONCENTRATION: Choose where to apply your full presence. Do not distribute yourself so broadly that you achieve nothing thoroughly.
PATIENCE: Operate on the timeline of covenant, not contract. Cultural change compounds slowly, then suddenly.</w:t>
      </w:r>
    </w:p>
    <w:p>
      <w:pPr>
        <w:spacing w:after="160" w:before="120"/>
        <w:jc w:val="both"/>
      </w:pPr>
      <w:r>
        <w:rPr>
          <w:rFonts w:ascii="Georgia" w:cs="Georgia" w:eastAsia="Georgia" w:hAnsi="Georgia"/>
          <w:sz w:val="24"/>
          <w:szCs w:val="24"/>
        </w:rPr>
        <w:t xml:space="preserve">The Vulnerable Leader is, ultimately, the leader who has chosen to feel what others have anesthetized, see what others have normalized, and refuse the comfort of belonging to a system whose terms require the surrender of their salt. This is not heroism. It is a choice with a very specific cost—and a very specific return. The cost is the permanent, low-grade friction of being slightly out of place. The return is the only thing that justifies leadership at all: the actual transformation of the world one enters.</w:t>
      </w:r>
    </w:p>
    <w:p>
      <w:pPr>
        <w:spacing w:after="160" w:before="120"/>
        <w:jc w:val="both"/>
      </w:pPr>
      <w:r>
        <w:rPr>
          <w:rFonts w:ascii="Georgia" w:cs="Georgia" w:eastAsia="Georgia" w:hAnsi="Georgia"/>
          <w:sz w:val="24"/>
          <w:szCs w:val="24"/>
        </w:rPr>
        <w:t xml:space="preserve">Salt does not go where it is comfortable. It goes where it is needed. The leader who has understood this is no longer troubled by the question of fit. They are asking a more interesting question: Where is the wound? And are they willing to enter it?</w:t>
      </w:r>
    </w:p>
    <w:p>
      <w:pPr>
        <w:pBdr>
          <w:top w:val="single" w:color="2E4057" w:sz="6" w:space="1"/>
        </w:pBdr>
        <w:spacing w:after="200" w:before="600"/>
        <w:jc w:val="center"/>
      </w:pPr>
      <w:r>
        <w:rPr>
          <w:rFonts w:ascii="Georgia" w:cs="Georgia" w:eastAsia="Georgia" w:hAnsi="Georgia"/>
          <w:i/>
          <w:iCs/>
          <w:color w:val="888888"/>
          <w:sz w:val="22"/>
          <w:szCs w:val="22"/>
        </w:rPr>
        <w:t xml:space="preserve">—  End of Section One: The Physics of Influence  —</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80" w:before="360"/>
      <w:outlineLvl w:val="1"/>
    </w:pPr>
    <w:rPr>
      <w:rFonts w:ascii="Georgia" w:cs="Georgia" w:eastAsia="Georgia" w:hAnsi="Georgia"/>
      <w:b/>
      <w:bCs/>
      <w:color w:val="2E4057"/>
      <w:sz w:val="28"/>
      <w:szCs w:val="28"/>
    </w:rPr>
  </w:style>
  <w:style w:type="paragraph" w:styleId="Heading3">
    <w:name w:val="Heading 3"/>
    <w:basedOn w:val="Normal"/>
    <w:next w:val="Normal"/>
    <w:qFormat/>
    <w:pPr>
      <w:spacing w:after="120" w:before="240"/>
      <w:outlineLvl w:val="2"/>
    </w:pPr>
    <w:rPr>
      <w:rFonts w:ascii="Georgia" w:cs="Georgia" w:eastAsia="Georgia" w:hAnsi="Georgia"/>
      <w:b/>
      <w:bCs/>
      <w:i/>
      <w:iCs/>
      <w:color w:val="4A67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2026-05-25T14:04:03.580Z</dcterms:created>
  <dcterms:modified xsi:type="dcterms:W3CDTF">2026-05-25T14:04:03.581Z</dcterms:modified>
</cp:coreProperties>
</file>

<file path=docProps/custom.xml><?xml version="1.0" encoding="utf-8"?>
<Properties xmlns="http://schemas.openxmlformats.org/officeDocument/2006/custom-properties" xmlns:vt="http://schemas.openxmlformats.org/officeDocument/2006/docPropsVTypes"/>
</file>