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aps/>
          <w:color w:val="888888"/>
          <w:sz w:val="28"/>
          <w:szCs w:val="28"/>
        </w:rPr>
        <w:t xml:space="preserve">THE SALT EFFECT</w:t>
      </w:r>
    </w:p>
    <w:p>
      <w:pPr>
        <w:pBdr>
          <w:bottom w:val="single" w:color="2E4057" w:sz="6" w:space="1"/>
        </w:pBdr>
        <w:spacing w:after="600" w:before="0"/>
        <w:jc w:val="center"/>
      </w:pPr>
      <w:r>
        <w:rPr>
          <w:rFonts w:ascii="Georgia" w:cs="Georgia" w:eastAsia="Georgia" w:hAnsi="Georgia"/>
          <w:b/>
          <w:bCs/>
          <w:color w:val="2E4057"/>
          <w:sz w:val="32"/>
          <w:szCs w:val="32"/>
        </w:rPr>
        <w:t xml:space="preserve">SECTION TWO: THE SALTING OF THE SOUL</w:t>
      </w:r>
    </w:p>
    <w:p>
      <w:pPr>
        <w:spacing w:after="80" w:before="480"/>
        <w:jc w:val="center"/>
      </w:pPr>
      <w:r>
        <w:rPr>
          <w:rFonts w:ascii="Arial" w:cs="Arial" w:eastAsia="Arial" w:hAnsi="Arial"/>
          <w:b/>
          <w:bCs/>
          <w:caps/>
          <w:color w:val="888888"/>
          <w:sz w:val="24"/>
          <w:szCs w:val="24"/>
        </w:rPr>
        <w:t xml:space="preserve">CHAPTER FIVE</w:t>
      </w:r>
    </w:p>
    <w:p>
      <w:pPr>
        <w:pStyle w:val="Heading1"/>
        <w:spacing w:after="120" w:before="80"/>
        <w:jc w:val="center"/>
      </w:pPr>
      <w:r>
        <w:rPr>
          <w:rFonts w:ascii="Georgia" w:cs="Georgia" w:eastAsia="Georgia" w:hAnsi="Georgia"/>
          <w:b/>
          <w:bCs/>
          <w:sz w:val="40"/>
          <w:szCs w:val="40"/>
        </w:rPr>
        <w:t xml:space="preserve">The Litmus of Lot’s Wife</w:t>
      </w:r>
    </w:p>
    <w:p>
      <w:pPr>
        <w:spacing w:after="480" w:before="0"/>
        <w:jc w:val="center"/>
      </w:pPr>
      <w:r>
        <w:rPr>
          <w:rFonts w:ascii="Georgia" w:cs="Georgia" w:eastAsia="Georgia" w:hAnsi="Georgia"/>
          <w:i/>
          <w:iCs/>
          <w:color w:val="555555"/>
          <w:sz w:val="26"/>
          <w:szCs w:val="26"/>
        </w:rPr>
        <w:t xml:space="preserve">The Trap of Cognitive Longing</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“She looked back—and that single act of retrospection cost her everything. The pillar of salt is not a punishment. It is a portrait of what happens when identity dissolves into longing.”</w:t>
      </w:r>
    </w:p>
    <w:p>
      <w:pPr>
        <w:pStyle w:val="Heading2"/>
        <w:spacing w:after="180" w:before="360"/>
      </w:pPr>
      <w:r>
        <w:rPr>
          <w:rFonts w:ascii="Georgia" w:cs="Georgia" w:eastAsia="Georgia" w:hAnsi="Georgia"/>
          <w:b/>
          <w:bCs/>
          <w:color w:val="2E4057"/>
          <w:sz w:val="28"/>
          <w:szCs w:val="28"/>
        </w:rPr>
        <w:t xml:space="preserve">The Theology of the Salt Pillar</w:t>
      </w:r>
    </w:p>
    <w:p>
      <w:pPr>
        <w:spacing w:after="160" w:before="120"/>
        <w:jc w:val="both"/>
      </w:pPr>
      <w:r>
        <w:rPr>
          <w:rFonts w:ascii="Georgia" w:cs="Georgia" w:eastAsia="Georgia" w:hAnsi="Georgia"/>
          <w:sz w:val="24"/>
          <w:szCs w:val="24"/>
        </w:rPr>
        <w:t xml:space="preserve">Of all the salt imagery woven through scripture and folklore, none is more psychologically loaded than the figure of Lot’s wife. The narrative in Genesis 19 is spare to the point of brutality: the angels command the fleeing family not to look back at the burning cities of Sodom and Gomorrah. Lot’s wife looks back. She becomes a pillar of salt. That is the entire account—no name, no dialogue, no interiority, no reprieve.</w:t>
      </w:r>
    </w:p>
    <w:p>
      <w:pPr>
        <w:spacing w:after="160" w:before="120"/>
        <w:jc w:val="both"/>
      </w:pPr>
      <w:r>
        <w:rPr>
          <w:rFonts w:ascii="Georgia" w:cs="Georgia" w:eastAsia="Georgia" w:hAnsi="Georgia"/>
          <w:sz w:val="24"/>
          <w:szCs w:val="24"/>
        </w:rPr>
        <w:t xml:space="preserve">The theological tradition has never agreed on what to make of her. Some interpreters read the story as a straightforward warning against disobedience—she was told not to look back, she looked, she was punished. But this reading flattens the text into a morality fable and misses what is, on closer examination, a precise psychological portrait. The command was not arbitrary. It was structural. The burning city behind her was not merely a spectacle to be avoided—it was the entire edifice of an identity built around a context that was, at that moment, being unmade by fire. To look back was not curiosity. It was ontological crisis. It was the self reaching desperately backward toward the ground that had, up to that moment, given it its meaning.</w:t>
      </w:r>
    </w:p>
    <w:p>
      <w:pPr>
        <w:spacing w:after="160" w:before="120"/>
        <w:jc w:val="both"/>
      </w:pPr>
      <w:r>
        <w:rPr>
          <w:rFonts w:ascii="Georgia" w:cs="Georgia" w:eastAsia="Georgia" w:hAnsi="Georgia"/>
          <w:sz w:val="24"/>
          <w:szCs w:val="24"/>
        </w:rPr>
        <w:t xml:space="preserve">And she became salt. Not ash. Not dust. Salt—the preservative mineral, the substance that arrests decay, that holds things exactly as they were. The image is devastating in its precision: a woman who could not release the past was frozen into the very substance that prevents release. Her longing for preservation did not save what she loved. It merely preserved her in the posture of loss.</w:t>
      </w:r>
    </w:p>
    <w:p>
      <w:pPr>
        <w:pStyle w:val="Heading2"/>
        <w:spacing w:after="180" w:before="360"/>
      </w:pPr>
      <w:r>
        <w:rPr>
          <w:rFonts w:ascii="Georgia" w:cs="Georgia" w:eastAsia="Georgia" w:hAnsi="Georgia"/>
          <w:b/>
          <w:bCs/>
          <w:color w:val="2E4057"/>
          <w:sz w:val="28"/>
          <w:szCs w:val="28"/>
        </w:rPr>
        <w:t xml:space="preserve">Fixed Identity States and Behavioral Paralysis</w:t>
      </w:r>
    </w:p>
    <w:p>
      <w:pPr>
        <w:spacing w:after="160" w:before="120"/>
        <w:jc w:val="both"/>
      </w:pPr>
      <w:r>
        <w:rPr>
          <w:rFonts w:ascii="Georgia" w:cs="Georgia" w:eastAsia="Georgia" w:hAnsi="Georgia"/>
          <w:sz w:val="24"/>
          <w:szCs w:val="24"/>
        </w:rPr>
        <w:t xml:space="preserve">Contemporary developmental psychology has a clinical name for the condition that Lot’s wife embodies: identity foreclosure. The term, introduced by James Marcia in his expansion of Erikson’s framework, describes an identity state in which a person has committed to a self-definition—a role, a worldview, a set of relationships—without having explored alternative possibilities, and without having integrated the inevitable losses that life requires. The foreclosed individual is not uncommitted. They are catastrophically overcommitted—to a version of themselves or their world that circumstances have already begun to revoke.</w:t>
      </w:r>
    </w:p>
    <w:p>
      <w:pPr>
        <w:spacing w:after="160" w:before="120"/>
        <w:jc w:val="both"/>
      </w:pPr>
      <w:r>
        <w:rPr>
          <w:rFonts w:ascii="Georgia" w:cs="Georgia" w:eastAsia="Georgia" w:hAnsi="Georgia"/>
          <w:sz w:val="24"/>
          <w:szCs w:val="24"/>
        </w:rPr>
        <w:t xml:space="preserve">What makes foreclosure so operationally dangerous is that it masquerades as stability. The person in identity foreclosure is often described by colleagues and family as “consistent,” “principles-driven,” or “set in their ways.” The positive framing is not entirely wrong—there is a surface-level predictability to their behavior. But beneath the apparent consistency is rigidity: an inability to update their internal model of the world when the world demonstrates, unmistakably, that the old model no longer serves. They are not stable. They are frozen.</w:t>
      </w:r>
    </w:p>
    <w:p>
      <w:pPr>
        <w:spacing w:after="160" w:before="120"/>
        <w:jc w:val="both"/>
      </w:pPr>
      <w:r>
        <w:rPr>
          <w:rFonts w:ascii="Georgia" w:cs="Georgia" w:eastAsia="Georgia" w:hAnsi="Georgia"/>
          <w:sz w:val="24"/>
          <w:szCs w:val="24"/>
        </w:rPr>
        <w:t xml:space="preserve">In organizational life, the symptoms are recognizable. The executive who continues to apply the strategies that made her successful in the 2010s to an industry that has been restructured by AI and platform economics—not because she hasn’t seen the data, but because updating her model would require grieving the self she built around the old one. The senior physician who dismisses the evidence base for a new treatment protocol because accepting it would mean that the thousands of patients he treated under the old protocol received suboptimal care. The parent who refuses to update their relationship with a grown child because acknowledging the child’s maturity would require relinquishing the identity of the one who knows better. These are not failures of intelligence. They are failures of grief.</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“Foreclosure is not loyalty. It is the refusal to grieve. And the refusal to grieve is the refusal to grow. The pillar cannot walk. The pillar cannot lead. The pillar can only be visited.”</w:t>
      </w:r>
    </w:p>
    <w:p>
      <w:pPr>
        <w:pStyle w:val="Heading2"/>
        <w:spacing w:after="180" w:before="360"/>
      </w:pPr>
      <w:r>
        <w:rPr>
          <w:rFonts w:ascii="Georgia" w:cs="Georgia" w:eastAsia="Georgia" w:hAnsi="Georgia"/>
          <w:b/>
          <w:bCs/>
          <w:color w:val="2E4057"/>
          <w:sz w:val="28"/>
          <w:szCs w:val="28"/>
        </w:rPr>
        <w:t xml:space="preserve">The Nostalgia Trap: How Longing Fossilizes Strategy</w:t>
      </w:r>
    </w:p>
    <w:p>
      <w:pPr>
        <w:spacing w:after="160" w:before="120"/>
        <w:jc w:val="both"/>
      </w:pPr>
      <w:r>
        <w:rPr>
          <w:rFonts w:ascii="Georgia" w:cs="Georgia" w:eastAsia="Georgia" w:hAnsi="Georgia"/>
          <w:sz w:val="24"/>
          <w:szCs w:val="24"/>
        </w:rPr>
        <w:t xml:space="preserve">Nostalgia is the emotional mechanism through which identity foreclosure maintains its grip. The neuroscience of nostalgia—explored in detail by researchers including Constantine Sedikides and Tim Wildschut at the University of Southampton—reveals that nostalgic recall activates the brain’s reward circuitry in patterns nearly identical to those produced by anticipating a future gain. In other words, looking backward produces a neurochemical reward that is functionally indistinguishable from the reward of hope. The person who is facing a frightening and unfamiliar present can generate the feeling of safety, meaning, and belonging simply by retreating into memory—at zero cost, with no requirement of adaptation.</w:t>
      </w:r>
    </w:p>
    <w:p>
      <w:pPr>
        <w:spacing w:after="160" w:before="120"/>
        <w:jc w:val="both"/>
      </w:pPr>
      <w:r>
        <w:rPr>
          <w:rFonts w:ascii="Georgia" w:cs="Georgia" w:eastAsia="Georgia" w:hAnsi="Georgia"/>
          <w:sz w:val="24"/>
          <w:szCs w:val="24"/>
        </w:rPr>
        <w:t xml:space="preserve">This is why nostalgia is so strategically lethal. It is not merely a harmless comfort—it is a pharmacological substitute for the difficult work of present engagement. The organization that spends its strategic planning sessions reminiscing about “when we were a family” and “the culture we used to have” is generating the neurochemical signature of hope while producing none of its outputs. It is running its engines while parked. It feels like motion. It achieves stasis. And while it idles, the environment around it transforms.</w:t>
      </w:r>
    </w:p>
    <w:p>
      <w:pPr>
        <w:spacing w:after="160" w:before="120"/>
        <w:jc w:val="both"/>
      </w:pPr>
      <w:r>
        <w:rPr>
          <w:rFonts w:ascii="Georgia" w:cs="Georgia" w:eastAsia="Georgia" w:hAnsi="Georgia"/>
          <w:sz w:val="24"/>
          <w:szCs w:val="24"/>
        </w:rPr>
        <w:t xml:space="preserve">For individual leaders, the nostalgia trap takes an especially insidious form: the idealization of a professional past that, upon honest examination, was never quite as clean or successful as memory reconstructs it. The glory days of the old company culture, the golden era of the industry, the period before the merger, the market conditions that no longer obtain—these retrospective constructions function less as accurate historical records than as emotional arguments against present demands. They say, in effect: “The world was better when I knew how to operate in it, and therefore the current world is the problem.” The conclusion is always the same: no adaptation required.</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DIAGNOSTIC QUESTION — The Nostalgia Test</w:t>
      </w:r>
    </w:p>
    <w:p>
      <w:pPr>
        <w:spacing w:after="280" w:before="80"/>
        <w:ind w:left="360" w:right="360"/>
      </w:pPr>
      <w:r>
        <w:rPr>
          <w:rFonts w:ascii="Arial" w:cs="Arial" w:eastAsia="Arial" w:hAnsi="Arial"/>
          <w:sz w:val="22"/>
          <w:szCs w:val="22"/>
        </w:rPr>
        <w:t xml:space="preserve">Ask yourself honestly: In my last five strategic decisions, how many were shaped primarily by what has worked in the past rather than what the present moment actually requires? If the answer is more than two, you are not drawing on experience. You are hiding behind it. Experience is salt—it preserves the essential lessons of the past for application to new contexts. Nostalgia is a pillar—it keeps you exactly where you were, while the world moves on.</w:t>
      </w:r>
    </w:p>
    <w:p>
      <w:pPr>
        <w:pStyle w:val="Heading2"/>
        <w:spacing w:after="180" w:before="360"/>
      </w:pPr>
      <w:r>
        <w:rPr>
          <w:rFonts w:ascii="Georgia" w:cs="Georgia" w:eastAsia="Georgia" w:hAnsi="Georgia"/>
          <w:b/>
          <w:bCs/>
          <w:color w:val="2E4057"/>
          <w:sz w:val="28"/>
          <w:szCs w:val="28"/>
        </w:rPr>
        <w:t xml:space="preserve">The “Don’t Look Back” Protocol: Radical Presence</w:t>
      </w:r>
    </w:p>
    <w:p>
      <w:pPr>
        <w:spacing w:after="160" w:before="120"/>
        <w:jc w:val="both"/>
      </w:pPr>
      <w:r>
        <w:rPr>
          <w:rFonts w:ascii="Georgia" w:cs="Georgia" w:eastAsia="Georgia" w:hAnsi="Georgia"/>
          <w:sz w:val="24"/>
          <w:szCs w:val="24"/>
        </w:rPr>
        <w:t xml:space="preserve">The prescription implied by Lot’s wife’s story is not the suppression of memory. Salt does not destroy the past—it preserves the essential and discards the rot. The “Don’t Look Back” Protocol is not amnesia. It is a structured practice of processing the past fully enough that it no longer exerts a gravitational pull on present decision-making.</w:t>
      </w:r>
    </w:p>
    <w:p>
      <w:pPr>
        <w:spacing w:after="160" w:before="120"/>
        <w:jc w:val="both"/>
      </w:pPr>
      <w:r>
        <w:rPr>
          <w:rFonts w:ascii="Georgia" w:cs="Georgia" w:eastAsia="Georgia" w:hAnsi="Georgia"/>
          <w:sz w:val="24"/>
          <w:szCs w:val="24"/>
        </w:rPr>
        <w:t xml:space="preserve">The protocol operates on three sequential disciplines. The first is grief. This is not a therapeutic recommendation—it is an operational one. The leader who has not genuinely grieved a lost identity, a failed strategy, a closed chapter, or a transformed industry carries that unprocessed loss as a constant cognitive load. It consumes working memory. It shapes perception in ways that are invisible until they produce a catastrophic misread. Grief, by contrast, is completion: it allows the brain to file the experience as resolved and to free the cognitive resources that unresolved loss had been monopolizing.</w:t>
      </w:r>
    </w:p>
    <w:p>
      <w:pPr>
        <w:spacing w:after="160" w:before="120"/>
        <w:jc w:val="both"/>
      </w:pPr>
      <w:r>
        <w:rPr>
          <w:rFonts w:ascii="Georgia" w:cs="Georgia" w:eastAsia="Georgia" w:hAnsi="Georgia"/>
          <w:sz w:val="24"/>
          <w:szCs w:val="24"/>
        </w:rPr>
        <w:t xml:space="preserve">The second discipline is extraction. The point is not to abandon what was learned in the old context but to distill it into portable principles that can be applied in new ones. The executive who led a high-growth consumer brand in the 2000s did not learn “how to run a 2000s consumer brand.” She learned something about customer psychology, about the relationship between narrative and loyalty, about how organizations respond to rapid scale. Those extracted principles have value in any decade. The context-specific tactics that produced them may not. The skill of extraction separates what is genuinely useful from what is merely familiar.</w:t>
      </w:r>
    </w:p>
    <w:p>
      <w:pPr>
        <w:spacing w:after="160" w:before="120"/>
        <w:jc w:val="both"/>
      </w:pPr>
      <w:r>
        <w:rPr>
          <w:rFonts w:ascii="Georgia" w:cs="Georgia" w:eastAsia="Georgia" w:hAnsi="Georgia"/>
          <w:sz w:val="24"/>
          <w:szCs w:val="24"/>
        </w:rPr>
        <w:t xml:space="preserve">The third discipline is forward commission. Identity cannot tolerate a vacuum—the space vacated by a relinquished past self must be actively populated by a chosen future one. This is the work of strategic identity: not merely letting go of what was, but consciously constructing what comes next. The leader who has grieved and extracted and refused to fill that space with a purposeful forward commitment will find that the space fills itself—typically with anxiety, cynicism, or a deeper retreat into nostalgia.</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THE DON’T LOOK BACK PROTOCOL — Three-Step Summary</w:t>
      </w:r>
    </w:p>
    <w:p>
      <w:pPr>
        <w:spacing w:after="280" w:before="80"/>
        <w:ind w:left="360" w:right="360"/>
      </w:pPr>
      <w:r>
        <w:rPr>
          <w:rFonts w:ascii="Arial" w:cs="Arial" w:eastAsia="Arial" w:hAnsi="Arial"/>
          <w:sz w:val="22"/>
          <w:szCs w:val="22"/>
        </w:rPr>
        <w:t xml:space="preserve">Step 1 — GRIEF: Name specifically what you have lost and allow yourself to experience that loss fully, rather than bypassing it through rationalization or premature reframing.
Step 2 — EXTRACTION: Distill what you learned from the past into context-independent principles. Write them down. Test them against the current environment.
Step 3 — FORWARD COMMISSION: Define, with equal specificity, what you are moving toward. The future orientation must be as concrete as the past was comfortable.</w:t>
      </w:r>
    </w:p>
    <w:p>
      <w:pPr>
        <w:spacing w:after="160" w:before="120"/>
        <w:jc w:val="both"/>
      </w:pPr>
      <w:r>
        <w:rPr>
          <w:rFonts w:ascii="Georgia" w:cs="Georgia" w:eastAsia="Georgia" w:hAnsi="Georgia"/>
          <w:sz w:val="24"/>
          <w:szCs w:val="24"/>
        </w:rPr>
        <w:t xml:space="preserve">The leaders who navigate institutional transformation, personal reinvention, and cultural disruption with the most grace are not those who are indifferent to loss—they often feel it most acutely. What distinguishes them is not the absence of longing but its domestication. They have looked at what they loved, named it clearly, grieved it honestly, and then turned their faces forward. They refused to become pillars.</w:t>
      </w:r>
    </w:p>
    <w:p>
      <w:r>
        <w:br w:type="page"/>
      </w:r>
    </w:p>
    <w:p>
      <w:pPr>
        <w:spacing w:after="80" w:before="480"/>
        <w:jc w:val="center"/>
      </w:pPr>
      <w:r>
        <w:rPr>
          <w:rFonts w:ascii="Arial" w:cs="Arial" w:eastAsia="Arial" w:hAnsi="Arial"/>
          <w:b/>
          <w:bCs/>
          <w:caps/>
          <w:color w:val="888888"/>
          <w:sz w:val="24"/>
          <w:szCs w:val="24"/>
        </w:rPr>
        <w:t xml:space="preserve">CHAPTER SIX</w:t>
      </w:r>
    </w:p>
    <w:p>
      <w:pPr>
        <w:pStyle w:val="Heading1"/>
        <w:spacing w:after="120" w:before="80"/>
        <w:jc w:val="center"/>
      </w:pPr>
      <w:r>
        <w:rPr>
          <w:rFonts w:ascii="Georgia" w:cs="Georgia" w:eastAsia="Georgia" w:hAnsi="Georgia"/>
          <w:b/>
          <w:bCs/>
          <w:sz w:val="40"/>
          <w:szCs w:val="40"/>
        </w:rPr>
        <w:t xml:space="preserve">The Antiseptic Margin</w:t>
      </w:r>
    </w:p>
    <w:p>
      <w:pPr>
        <w:spacing w:after="480" w:before="0"/>
        <w:jc w:val="center"/>
      </w:pPr>
      <w:r>
        <w:rPr>
          <w:rFonts w:ascii="Georgia" w:cs="Georgia" w:eastAsia="Georgia" w:hAnsi="Georgia"/>
          <w:i/>
          <w:iCs/>
          <w:color w:val="555555"/>
          <w:sz w:val="26"/>
          <w:szCs w:val="26"/>
        </w:rPr>
        <w:t xml:space="preserve">The Justice of the Sting</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“There is a cruelty that wears the mask of kindness, and a kindness that wears the mask of cruelty. Salt knows the difference. It does not apply itself gently. It applies itself correctly.”</w:t>
      </w:r>
    </w:p>
    <w:p>
      <w:pPr>
        <w:pStyle w:val="Heading2"/>
        <w:spacing w:after="180" w:before="360"/>
      </w:pPr>
      <w:r>
        <w:rPr>
          <w:rFonts w:ascii="Georgia" w:cs="Georgia" w:eastAsia="Georgia" w:hAnsi="Georgia"/>
          <w:b/>
          <w:bCs/>
          <w:color w:val="2E4057"/>
          <w:sz w:val="28"/>
          <w:szCs w:val="28"/>
        </w:rPr>
        <w:t xml:space="preserve">The Metaphysics of the Wound</w:t>
      </w:r>
    </w:p>
    <w:p>
      <w:pPr>
        <w:spacing w:after="160" w:before="120"/>
        <w:jc w:val="both"/>
      </w:pPr>
      <w:r>
        <w:rPr>
          <w:rFonts w:ascii="Georgia" w:cs="Georgia" w:eastAsia="Georgia" w:hAnsi="Georgia"/>
          <w:sz w:val="24"/>
          <w:szCs w:val="24"/>
        </w:rPr>
        <w:t xml:space="preserve">Before the age of antibiotics, before the germ theory of disease had restructured medicine’s entire conceptual apparatus, surgeons and healers across cultures had discovered through centuries of costly trial and error a counterintuitive truth about infected wounds: the treatment that hurt the most was often the one that healed. Packing an open wound with raw salt was an agony that the patient would remember for the rest of their life. It was also, in the absence of any alternative antimicrobial agent, frequently the difference between that life continuing and ending.</w:t>
      </w:r>
    </w:p>
    <w:p>
      <w:pPr>
        <w:spacing w:after="160" w:before="120"/>
        <w:jc w:val="both"/>
      </w:pPr>
      <w:r>
        <w:rPr>
          <w:rFonts w:ascii="Georgia" w:cs="Georgia" w:eastAsia="Georgia" w:hAnsi="Georgia"/>
          <w:sz w:val="24"/>
          <w:szCs w:val="24"/>
        </w:rPr>
        <w:t xml:space="preserve">The mechanism is elegant in its brutality. Salt, introduced to an infected wound, creates a hypertonic environment—a zone of dramatically elevated osmotic pressure that draws fluid out of the cells of the infecting bacteria, dehydrating and killing them. At the same time, it draws the wound’s own fluids toward the surface, pulling embedded toxins, necrotic tissue, and infectious material upward and outward. The wound looks worse before it looks better. It hurts more before it hurts less. And if the healer flinches—if they apply the salt too briefly, or too gently, or not at all because they cannot bear the patient’s pain—the infection remains. It deepens. It goes septic. The patient dies of kindness.</w:t>
      </w:r>
    </w:p>
    <w:p>
      <w:pPr>
        <w:spacing w:after="160" w:before="120"/>
        <w:jc w:val="both"/>
      </w:pPr>
      <w:r>
        <w:rPr>
          <w:rFonts w:ascii="Georgia" w:cs="Georgia" w:eastAsia="Georgia" w:hAnsi="Georgia"/>
          <w:sz w:val="24"/>
          <w:szCs w:val="24"/>
        </w:rPr>
        <w:t xml:space="preserve">This is the metaphysics of the antiseptic sting, and it is the organizing principle of the most difficult form of leadership that exists: the principled refusal to allow a wound to remain comfortable.</w:t>
      </w:r>
    </w:p>
    <w:p>
      <w:pPr>
        <w:pStyle w:val="Heading2"/>
        <w:spacing w:after="180" w:before="360"/>
      </w:pPr>
      <w:r>
        <w:rPr>
          <w:rFonts w:ascii="Georgia" w:cs="Georgia" w:eastAsia="Georgia" w:hAnsi="Georgia"/>
          <w:b/>
          <w:bCs/>
          <w:color w:val="2E4057"/>
          <w:sz w:val="28"/>
          <w:szCs w:val="28"/>
        </w:rPr>
        <w:t xml:space="preserve">Purity Over Harmony: Why True Covenants Require Friction</w:t>
      </w:r>
    </w:p>
    <w:p>
      <w:pPr>
        <w:spacing w:after="160" w:before="120"/>
        <w:jc w:val="both"/>
      </w:pPr>
      <w:r>
        <w:rPr>
          <w:rFonts w:ascii="Georgia" w:cs="Georgia" w:eastAsia="Georgia" w:hAnsi="Georgia"/>
          <w:sz w:val="24"/>
          <w:szCs w:val="24"/>
        </w:rPr>
        <w:t xml:space="preserve">Contemporary organizational culture has produced a near-pathological cult of harmony. The language of “psychological safety,” deployed with precision by its original architects—Amy Edmondson’s work on team learning is rigorous and important—has been vulgarized by a management culture that has extracted from it a single, distorted operating principle: do not say anything that makes anyone uncomfortable. The result is organizations in which the truth is perpetually managed, reframed, and softened until it no longer performs its essential function, which is to describe reality accurately enough to permit effective action.</w:t>
      </w:r>
    </w:p>
    <w:p>
      <w:pPr>
        <w:spacing w:after="160" w:before="120"/>
        <w:jc w:val="both"/>
      </w:pPr>
      <w:r>
        <w:rPr>
          <w:rFonts w:ascii="Georgia" w:cs="Georgia" w:eastAsia="Georgia" w:hAnsi="Georgia"/>
          <w:sz w:val="24"/>
          <w:szCs w:val="24"/>
        </w:rPr>
        <w:t xml:space="preserve">Let us be precise about what is being lost. Psychological safety, properly understood, means that team members can speak honestly without fear of punishment or retaliation. It is a precondition for the transmission of critical information to those who need it. What the cult of harmony has produced instead is something quite different: an environment in which the absence of conflict is treated as evidence of health, in which friction is pathologized as dysfunction, in which the leader who names the infection is experienced as the source of the disease. The wound festers in comfort. The organization declines in apparent peace.</w:t>
      </w:r>
    </w:p>
    <w:p>
      <w:pPr>
        <w:spacing w:after="160" w:before="120"/>
        <w:jc w:val="both"/>
      </w:pPr>
      <w:r>
        <w:rPr>
          <w:rFonts w:ascii="Georgia" w:cs="Georgia" w:eastAsia="Georgia" w:hAnsi="Georgia"/>
          <w:sz w:val="24"/>
          <w:szCs w:val="24"/>
        </w:rPr>
        <w:t xml:space="preserve">The antiseptic leader understands that there is a category of truth that cannot be delivered gently without losing its therapeutic function. The physician who tells a patient that their tumor is “a bit of a concern” and that they should “perhaps consider some lifestyle adjustments” has not protected the patient from distress. They have protected themselves from it—at the patient’s expense. The executive who allows a direct report’s destructive behavior to persist because confronting it would “hurt the relationship” has not preserved the relationship. They have infected it, slowly, with the toxin of unspoken truth.</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“The leader who cannot deliver the antiseptic sting is not kind. They are complicit. There is a difference, and the organization can feel it, even when no one will say so.”</w:t>
      </w:r>
    </w:p>
    <w:p>
      <w:pPr>
        <w:pStyle w:val="Heading2"/>
        <w:spacing w:after="180" w:before="360"/>
      </w:pPr>
      <w:r>
        <w:rPr>
          <w:rFonts w:ascii="Georgia" w:cs="Georgia" w:eastAsia="Georgia" w:hAnsi="Georgia"/>
          <w:b/>
          <w:bCs/>
          <w:color w:val="2E4057"/>
          <w:sz w:val="28"/>
          <w:szCs w:val="28"/>
        </w:rPr>
        <w:t xml:space="preserve">The Theological Imperative: What Covenant Demands</w:t>
      </w:r>
    </w:p>
    <w:p>
      <w:pPr>
        <w:spacing w:after="160" w:before="120"/>
        <w:jc w:val="both"/>
      </w:pPr>
      <w:r>
        <w:rPr>
          <w:rFonts w:ascii="Georgia" w:cs="Georgia" w:eastAsia="Georgia" w:hAnsi="Georgia"/>
          <w:sz w:val="24"/>
          <w:szCs w:val="24"/>
        </w:rPr>
        <w:t xml:space="preserve">The ancient covenant tradition encoded in b’rit melach was not a covenant of comfort. The priestly obligations it formalized in Numbers were demanding, precise, and non-negotiable. The covenant demanded performance—specific actions, specific abstentions, specific standards of ritual purity—not as expressions of enthusiasm but as conditions of the relationship itself. The word “covenant” in its Hebraic usage implies mutual obligation enforced by the weight of the bond, not merely the goodwill of the parties.</w:t>
      </w:r>
    </w:p>
    <w:p>
      <w:pPr>
        <w:spacing w:after="160" w:before="120"/>
        <w:jc w:val="both"/>
      </w:pPr>
      <w:r>
        <w:rPr>
          <w:rFonts w:ascii="Georgia" w:cs="Georgia" w:eastAsia="Georgia" w:hAnsi="Georgia"/>
          <w:sz w:val="24"/>
          <w:szCs w:val="24"/>
        </w:rPr>
        <w:t xml:space="preserve">What this means for the leader who has accepted a covenant relationship with those in their care—whether that is an organization, a family, a patient population, or a student body—is that the obligation to speak the truth is not optional. It is not a matter of communication style or personality type or cultural preference. It is the content of the covenant itself. The shepherd who allows the sheep to wander into a wolf’s territory because herding them back would require raising their voice has not honored the bond between shepherd and flock. They have betrayed it through a cowardly performance of gentleness.</w:t>
      </w:r>
    </w:p>
    <w:p>
      <w:pPr>
        <w:spacing w:after="160" w:before="120"/>
        <w:jc w:val="both"/>
      </w:pPr>
      <w:r>
        <w:rPr>
          <w:rFonts w:ascii="Georgia" w:cs="Georgia" w:eastAsia="Georgia" w:hAnsi="Georgia"/>
          <w:sz w:val="24"/>
          <w:szCs w:val="24"/>
        </w:rPr>
        <w:t xml:space="preserve">This is the theological imperative of the antiseptic sting: the leader who genuinely holds a covenant relationship with those they serve cannot exempt themselves from the obligation to cause purposeful pain when that pain is the precondition of healing. This is not license for cruelty. Salt’s antiseptic action is precise, targeted, and calibrated to the needs of the wound. The healer who dumps an entire bag of salt into a wound does not heal faster—they cause additional damage and potentially salt-poisoning. The antiseptic sting is a skilled intervention, not a blunt-force one.</w:t>
      </w:r>
    </w:p>
    <w:p>
      <w:pPr>
        <w:pStyle w:val="Heading2"/>
        <w:spacing w:after="180" w:before="360"/>
      </w:pPr>
      <w:r>
        <w:rPr>
          <w:rFonts w:ascii="Georgia" w:cs="Georgia" w:eastAsia="Georgia" w:hAnsi="Georgia"/>
          <w:b/>
          <w:bCs/>
          <w:color w:val="2E4057"/>
          <w:sz w:val="28"/>
          <w:szCs w:val="28"/>
        </w:rPr>
        <w:t xml:space="preserve">Rules of the Antiseptic Sting in a Dying Corporate Culture</w:t>
      </w:r>
    </w:p>
    <w:p>
      <w:pPr>
        <w:spacing w:after="160" w:before="120"/>
        <w:jc w:val="both"/>
      </w:pPr>
      <w:r>
        <w:rPr>
          <w:rFonts w:ascii="Georgia" w:cs="Georgia" w:eastAsia="Georgia" w:hAnsi="Georgia"/>
          <w:sz w:val="24"/>
          <w:szCs w:val="24"/>
        </w:rPr>
        <w:t xml:space="preserve">The application of antiseptic truth to an organizational culture in decay requires a framework that distinguishes skillful intervention from careless confrontation. The following rules are not suggestions—they are the minimum conditions for the sting to perform its therapeutic function rather than simply generating reactive defensiveness that closes the wound more tightly.</w:t>
      </w:r>
    </w:p>
    <w:p>
      <w:pPr>
        <w:spacing w:after="80" w:before="200"/>
      </w:pPr>
      <w:r>
        <w:rPr>
          <w:rFonts w:ascii="Georgia" w:cs="Georgia" w:eastAsia="Georgia" w:hAnsi="Georgia"/>
          <w:b/>
          <w:bCs/>
          <w:color w:val="2E4057"/>
          <w:sz w:val="24"/>
          <w:szCs w:val="24"/>
        </w:rPr>
        <w:t xml:space="preserve">Rule One: Diagnose Before You Salt</w:t>
      </w:r>
    </w:p>
    <w:p>
      <w:pPr>
        <w:spacing w:after="160" w:before="120"/>
        <w:jc w:val="both"/>
      </w:pPr>
      <w:r>
        <w:rPr>
          <w:rFonts w:ascii="Georgia" w:cs="Georgia" w:eastAsia="Georgia" w:hAnsi="Georgia"/>
          <w:sz w:val="24"/>
          <w:szCs w:val="24"/>
        </w:rPr>
        <w:t xml:space="preserve">The healer who salts a wound without first cleaning it of foreign matter causes the infection to be sealed in rather than drawn out. The antiseptic leader must first establish, with clinical precision, what is actually wrong—not what they suspect is wrong, not what would be most satisfying to name, but what the evidence actually indicates. This requires the discipline of listening before speaking, observing before concluding, and distinguishing between the symptom that is visible and the pathology that produced it. Cultural dysfunction almost always presents differently on the surface than it runs in the deep.</w:t>
      </w:r>
    </w:p>
    <w:p>
      <w:pPr>
        <w:spacing w:after="80" w:before="200"/>
      </w:pPr>
      <w:r>
        <w:rPr>
          <w:rFonts w:ascii="Georgia" w:cs="Georgia" w:eastAsia="Georgia" w:hAnsi="Georgia"/>
          <w:b/>
          <w:bCs/>
          <w:color w:val="2E4057"/>
          <w:sz w:val="24"/>
          <w:szCs w:val="24"/>
        </w:rPr>
        <w:t xml:space="preserve">Rule Two: Calibrate to the Depth of the Wound</w:t>
      </w:r>
    </w:p>
    <w:p>
      <w:pPr>
        <w:spacing w:after="160" w:before="120"/>
        <w:jc w:val="both"/>
      </w:pPr>
      <w:r>
        <w:rPr>
          <w:rFonts w:ascii="Georgia" w:cs="Georgia" w:eastAsia="Georgia" w:hAnsi="Georgia"/>
          <w:sz w:val="24"/>
          <w:szCs w:val="24"/>
        </w:rPr>
        <w:t xml:space="preserve">A surface-level friction—a team member’s interpersonal abrasiveness, a communication breakdown between departments, a lapse in quality standards—requires a different concentration of salt than a deep structural infection. The leader who treats every problem with the maximum available intensity has confused their own frustration with the patient’s needs. Calibration requires the humility to assess what the situation actually requires rather than what would provide the most immediate cathartic release for the person administering the sting.</w:t>
      </w:r>
    </w:p>
    <w:p>
      <w:pPr>
        <w:spacing w:after="80" w:before="200"/>
      </w:pPr>
      <w:r>
        <w:rPr>
          <w:rFonts w:ascii="Georgia" w:cs="Georgia" w:eastAsia="Georgia" w:hAnsi="Georgia"/>
          <w:b/>
          <w:bCs/>
          <w:color w:val="2E4057"/>
          <w:sz w:val="24"/>
          <w:szCs w:val="24"/>
        </w:rPr>
        <w:t xml:space="preserve">Rule Three: Salt in Private First</w:t>
      </w:r>
    </w:p>
    <w:p>
      <w:pPr>
        <w:spacing w:after="160" w:before="120"/>
        <w:jc w:val="both"/>
      </w:pPr>
      <w:r>
        <w:rPr>
          <w:rFonts w:ascii="Georgia" w:cs="Georgia" w:eastAsia="Georgia" w:hAnsi="Georgia"/>
          <w:sz w:val="24"/>
          <w:szCs w:val="24"/>
        </w:rPr>
        <w:t xml:space="preserve">With only the rarest exceptions—cases where the wound is so infectious that exposure of the entire team is required for collective accountability—the antiseptic sting is applied in private. Public humiliation does not heal. It triggers the organizational immune response, turning the person who most needs to hear the truth into a martyr and the leader who delivered it into a threat. The convention of Matthew 18’s “go to them alone first” is not merely theological politeness—it is operationally superior. Private truth creates the possibility of genuine change. Public shaming creates the performance of change, which is far more dangerous because it is invisible.</w:t>
      </w:r>
    </w:p>
    <w:p>
      <w:pPr>
        <w:spacing w:after="80" w:before="200"/>
      </w:pPr>
      <w:r>
        <w:rPr>
          <w:rFonts w:ascii="Georgia" w:cs="Georgia" w:eastAsia="Georgia" w:hAnsi="Georgia"/>
          <w:b/>
          <w:bCs/>
          <w:color w:val="2E4057"/>
          <w:sz w:val="24"/>
          <w:szCs w:val="24"/>
        </w:rPr>
        <w:t xml:space="preserve">Rule Four: Salt from a Stable Ground</w:t>
      </w:r>
    </w:p>
    <w:p>
      <w:pPr>
        <w:spacing w:after="160" w:before="120"/>
        <w:jc w:val="both"/>
      </w:pPr>
      <w:r>
        <w:rPr>
          <w:rFonts w:ascii="Georgia" w:cs="Georgia" w:eastAsia="Georgia" w:hAnsi="Georgia"/>
          <w:sz w:val="24"/>
          <w:szCs w:val="24"/>
        </w:rPr>
        <w:t xml:space="preserve">The healer who applies salt while themselves bleeding from an unaddressed wound does not heal—they contaminate. The leader who delivers a difficult truth from a posture of personal resentment, accumulated grievance, or professional threat has mixed the antiseptic with toxins. The sting must come from health, not from pain. This is why the Daily Brine Protocol of Chapter Three is not merely self-care—it is the precondition of effective antiseptic leadership. You cannot salt another’s wound cleanly if you have not maintained your own mineral integrity.</w:t>
      </w:r>
    </w:p>
    <w:p>
      <w:pPr>
        <w:spacing w:after="80" w:before="200"/>
      </w:pPr>
      <w:r>
        <w:rPr>
          <w:rFonts w:ascii="Georgia" w:cs="Georgia" w:eastAsia="Georgia" w:hAnsi="Georgia"/>
          <w:b/>
          <w:bCs/>
          <w:color w:val="2E4057"/>
          <w:sz w:val="24"/>
          <w:szCs w:val="24"/>
        </w:rPr>
        <w:t xml:space="preserve">Rule Five: Stay for the Healing</w:t>
      </w:r>
    </w:p>
    <w:p>
      <w:pPr>
        <w:spacing w:after="160" w:before="120"/>
        <w:jc w:val="both"/>
      </w:pPr>
      <w:r>
        <w:rPr>
          <w:rFonts w:ascii="Georgia" w:cs="Georgia" w:eastAsia="Georgia" w:hAnsi="Georgia"/>
          <w:sz w:val="24"/>
          <w:szCs w:val="24"/>
        </w:rPr>
        <w:t xml:space="preserve">The most common failure mode of the antiseptic leader is not the delivery of the sting but the abandonment that follows it. They name the truth, feel the discomfort of the reaction, and withdraw—leaving the wound open and the relationship fractured. The healer who applies salt and leaves the patient alone with the pain has completed only the first half of the intervention. The second half is staying: maintaining presence through the patient’s resistance, supporting the inflammatory response that is, in fact, evidence that the healing has begun, and remaining available until the wound closes.</w:t>
      </w:r>
    </w:p>
    <w:p>
      <w:pPr>
        <w:pBdr>
          <w:top w:val="single" w:color="C0392B" w:sz="6"/>
          <w:bottom w:val="single" w:color="C0392B" w:sz="6"/>
        </w:pBdr>
        <w:shd w:fill="FDF3F0" w:val="clear"/>
        <w:spacing w:after="80" w:before="280"/>
        <w:ind w:left="360" w:right="360"/>
      </w:pPr>
      <w:r>
        <w:rPr>
          <w:rFonts w:ascii="Arial" w:cs="Arial" w:eastAsia="Arial" w:hAnsi="Arial"/>
          <w:b/>
          <w:bCs/>
          <w:color w:val="C0392B"/>
          <w:sz w:val="22"/>
          <w:szCs w:val="22"/>
        </w:rPr>
        <w:t xml:space="preserve">CRITICAL DISTINCTION — Antiseptic Sting vs. Cruelty</w:t>
      </w:r>
    </w:p>
    <w:p>
      <w:pPr>
        <w:spacing w:after="280" w:before="80"/>
        <w:ind w:left="360" w:right="360"/>
      </w:pPr>
      <w:r>
        <w:rPr>
          <w:rFonts w:ascii="Arial" w:cs="Arial" w:eastAsia="Arial" w:hAnsi="Arial"/>
          <w:sz w:val="22"/>
          <w:szCs w:val="22"/>
        </w:rPr>
        <w:t xml:space="preserve">The antiseptic sting is defined by three qualities: it is targeted (applied to the specific infection, not the whole person), it is motivated by the patient’s healing (not the practitioner’s relief), and it is followed by sustained presence. Any intervention that fails any of these three tests is not antiseptic—it is assault. The practitioner must be ruthlessly honest with themselves about which they are administering.</w:t>
      </w:r>
    </w:p>
    <w:p>
      <w:r>
        <w:br w:type="page"/>
      </w:r>
    </w:p>
    <w:p>
      <w:pPr>
        <w:spacing w:after="80" w:before="480"/>
        <w:jc w:val="center"/>
      </w:pPr>
      <w:r>
        <w:rPr>
          <w:rFonts w:ascii="Arial" w:cs="Arial" w:eastAsia="Arial" w:hAnsi="Arial"/>
          <w:b/>
          <w:bCs/>
          <w:caps/>
          <w:color w:val="888888"/>
          <w:sz w:val="24"/>
          <w:szCs w:val="24"/>
        </w:rPr>
        <w:t xml:space="preserve">CHAPTER SEVEN</w:t>
      </w:r>
    </w:p>
    <w:p>
      <w:pPr>
        <w:pStyle w:val="Heading1"/>
        <w:spacing w:after="120" w:before="80"/>
        <w:jc w:val="center"/>
      </w:pPr>
      <w:r>
        <w:rPr>
          <w:rFonts w:ascii="Georgia" w:cs="Georgia" w:eastAsia="Georgia" w:hAnsi="Georgia"/>
          <w:b/>
          <w:bCs/>
          <w:sz w:val="40"/>
          <w:szCs w:val="40"/>
        </w:rPr>
        <w:t xml:space="preserve">The Liturgy of the Hearth</w:t>
      </w:r>
    </w:p>
    <w:p>
      <w:pPr>
        <w:spacing w:after="480" w:before="0"/>
        <w:jc w:val="center"/>
      </w:pPr>
      <w:r>
        <w:rPr>
          <w:rFonts w:ascii="Georgia" w:cs="Georgia" w:eastAsia="Georgia" w:hAnsi="Georgia"/>
          <w:i/>
          <w:iCs/>
          <w:color w:val="555555"/>
          <w:sz w:val="26"/>
          <w:szCs w:val="26"/>
        </w:rPr>
        <w:t xml:space="preserve">Salting the Digital Vacuum</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“The most dangerous vacuum in the modern world is not a failed state or a collapsing institution. It is the dinner table that no one sits at, the threshold that no one consecrates, the home that has become a waiting room for separate screens.”</w:t>
      </w:r>
    </w:p>
    <w:p>
      <w:pPr>
        <w:pStyle w:val="Heading2"/>
        <w:spacing w:after="180" w:before="360"/>
      </w:pPr>
      <w:r>
        <w:rPr>
          <w:rFonts w:ascii="Georgia" w:cs="Georgia" w:eastAsia="Georgia" w:hAnsi="Georgia"/>
          <w:b/>
          <w:bCs/>
          <w:color w:val="2E4057"/>
          <w:sz w:val="28"/>
          <w:szCs w:val="28"/>
        </w:rPr>
        <w:t xml:space="preserve">Psychological Crisis: Presence Depletion and the Domestic Vacuum</w:t>
      </w:r>
    </w:p>
    <w:p>
      <w:pPr>
        <w:spacing w:after="160" w:before="120"/>
        <w:jc w:val="both"/>
      </w:pPr>
      <w:r>
        <w:rPr>
          <w:rFonts w:ascii="Georgia" w:cs="Georgia" w:eastAsia="Georgia" w:hAnsi="Georgia"/>
          <w:sz w:val="24"/>
          <w:szCs w:val="24"/>
        </w:rPr>
        <w:t xml:space="preserve">Every chapter of this book has circled around one central axiom: when a principled, stabilizing presence withdraws, a vacuum forms, and that vacuum is filled by whatever is moving fastest. In the corporate context, the fastest-moving forces are usually political—self-interest, tribalism, and the race to protect turf. In the civic context, they are ideological—extremism fills the spaces that moderation abandons. But in the domestic context—in the space of the family home—the fastest-moving force is something that has, in the span of roughly fifteen years, acquired an almost complete monopoly on the attention of every family member in every demographic: the algorithm.</w:t>
      </w:r>
    </w:p>
    <w:p>
      <w:pPr>
        <w:spacing w:after="160" w:before="120"/>
        <w:jc w:val="both"/>
      </w:pPr>
      <w:r>
        <w:rPr>
          <w:rFonts w:ascii="Georgia" w:cs="Georgia" w:eastAsia="Georgia" w:hAnsi="Georgia"/>
          <w:sz w:val="24"/>
          <w:szCs w:val="24"/>
        </w:rPr>
        <w:t xml:space="preserve">The algorithm’s dominance of domestic space is not the result of malice on the part of its designers—though the ethical questions raised by the deliberate engineering of compulsive engagement deserve more serious public scrutiny than they have received. It is the result of a straightforward competitive dynamic: the algorithm offers an experience precisely calibrated to the individual’s neurochemical reward profile, delivered at zero friction, at any moment, with infinite content. Against this offer, the unstructured family evening—with its demands for patience, its tolerance of boredom, its requirement of attention to the other rather than the self—is not merely less entertaining. It is neurologically aversive. It requires the exercise of impulse control that the algorithm has, through sustained use, deliberately eroded.</w:t>
      </w:r>
    </w:p>
    <w:p>
      <w:pPr>
        <w:spacing w:after="160" w:before="120"/>
        <w:jc w:val="both"/>
      </w:pPr>
      <w:r>
        <w:rPr>
          <w:rFonts w:ascii="Georgia" w:cs="Georgia" w:eastAsia="Georgia" w:hAnsi="Georgia"/>
          <w:sz w:val="24"/>
          <w:szCs w:val="24"/>
        </w:rPr>
        <w:t xml:space="preserve">The result, documented in a growing body of longitudinal research, is what developmental psychologists are beginning to call presence depletion: the progressive attenuation of a parent’s felt and actual psychological presence in the domestic environment, not through physical absence but through attentional displacement. The parent is in the room. Their phone is also in the room. And the phone is winning.</w:t>
      </w:r>
    </w:p>
    <w:p>
      <w:pPr>
        <w:spacing w:after="160" w:before="120"/>
        <w:jc w:val="both"/>
      </w:pPr>
      <w:r>
        <w:rPr>
          <w:rFonts w:ascii="Georgia" w:cs="Georgia" w:eastAsia="Georgia" w:hAnsi="Georgia"/>
          <w:sz w:val="24"/>
          <w:szCs w:val="24"/>
        </w:rPr>
        <w:t xml:space="preserve">The children in these environments do not experience a neutral absence. They experience a vacuum—a space where parental presence, with all its stabilizing and meaning-making power, has been systematically evacuated. And that vacuum fills. It fills with peer-group dynamics that are, in the adolescent years, notoriously hostile to the development of individual character. It fills with content streams algorithmically optimized for engagement rather than formation. It fills with the absence of the precisely calibrated friction—the teaching, the boundary-setting, the modeling of how adults navigate difficulty—that children require for the development of the internal resources that will one day make them salt rather than substrate.</w:t>
      </w:r>
    </w:p>
    <w:p>
      <w:pPr>
        <w:pStyle w:val="Heading2"/>
        <w:spacing w:after="180" w:before="360"/>
      </w:pPr>
      <w:r>
        <w:rPr>
          <w:rFonts w:ascii="Georgia" w:cs="Georgia" w:eastAsia="Georgia" w:hAnsi="Georgia"/>
          <w:b/>
          <w:bCs/>
          <w:color w:val="2E4057"/>
          <w:sz w:val="28"/>
          <w:szCs w:val="28"/>
        </w:rPr>
        <w:t xml:space="preserve">The Proverbial Mandate: Seasoning the Next Generation’s Moral Palate</w:t>
      </w:r>
    </w:p>
    <w:p>
      <w:pPr>
        <w:spacing w:after="160" w:before="120"/>
        <w:jc w:val="both"/>
      </w:pPr>
      <w:r>
        <w:rPr>
          <w:rFonts w:ascii="Georgia" w:cs="Georgia" w:eastAsia="Georgia" w:hAnsi="Georgia"/>
          <w:sz w:val="24"/>
          <w:szCs w:val="24"/>
        </w:rPr>
        <w:t xml:space="preserve">Proverbs 22:6 has been translated and debated with remarkable consistency across Jewish, Christian, and Islamic traditions: “Train up a child in the way he should go; even when he is old he will not depart from it.” The Hebrew verb translated “train” is chanak—a term that in its broader usage referred to the dedicating of a building, the initiating of a new tool, the preparation of something for its intended purpose. It implies not merely instruction but formation: the shaping of a thing according to its design.</w:t>
      </w:r>
    </w:p>
    <w:p>
      <w:pPr>
        <w:spacing w:after="160" w:before="120"/>
        <w:jc w:val="both"/>
      </w:pPr>
      <w:r>
        <w:rPr>
          <w:rFonts w:ascii="Georgia" w:cs="Georgia" w:eastAsia="Georgia" w:hAnsi="Georgia"/>
          <w:sz w:val="24"/>
          <w:szCs w:val="24"/>
        </w:rPr>
        <w:t xml:space="preserve">The metaphor of flavor is embedded in this mandate. You cannot season food that you are not in contact with. The parent who has delegated the formation of their child’s moral palate to the algorithm, to the peer group, or to the institutional default has not merely been absent—they have created conditions for a different seasoning to occur, one whose effects will be fully apparent only years later, when the child makes decisions in conditions the parent cannot supervise.</w:t>
      </w:r>
    </w:p>
    <w:p>
      <w:pPr>
        <w:spacing w:after="160" w:before="120"/>
        <w:jc w:val="both"/>
      </w:pPr>
      <w:r>
        <w:rPr>
          <w:rFonts w:ascii="Georgia" w:cs="Georgia" w:eastAsia="Georgia" w:hAnsi="Georgia"/>
          <w:sz w:val="24"/>
          <w:szCs w:val="24"/>
        </w:rPr>
        <w:t xml:space="preserve">This is not a counsel of parental perfectionism. The research on parenting outcomes consistently demonstrates that what matters most is not the absence of failure but the pattern of repair—the parent who makes mistakes and returns, who is imperfect but present, who models not infallibility but the capacity for honest self-assessment and renewed engagement. The covenant relationship between parent and child does not require the parent to be salt-perfect at every moment. It requires them to be in the room—genuinely, attentively in the room—with enough consistency that the child’s moral palate is shaped by something other than the default offering of the attention economy.</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“The parent who is physically present but attentionally absent is not a salt crystal—they are a ghost. And the home that is haunted by ghosts, however well-intentioned, is not a fortress. It is a vacancy.”</w:t>
      </w:r>
    </w:p>
    <w:p>
      <w:pPr>
        <w:pStyle w:val="Heading2"/>
        <w:spacing w:after="180" w:before="360"/>
      </w:pPr>
      <w:r>
        <w:rPr>
          <w:rFonts w:ascii="Georgia" w:cs="Georgia" w:eastAsia="Georgia" w:hAnsi="Georgia"/>
          <w:b/>
          <w:bCs/>
          <w:color w:val="2E4057"/>
          <w:sz w:val="28"/>
          <w:szCs w:val="28"/>
        </w:rPr>
        <w:t xml:space="preserve">The Family Blueprint: Building an Analog Fortress Home</w:t>
      </w:r>
    </w:p>
    <w:p>
      <w:pPr>
        <w:spacing w:after="160" w:before="120"/>
        <w:jc w:val="both"/>
      </w:pPr>
      <w:r>
        <w:rPr>
          <w:rFonts w:ascii="Georgia" w:cs="Georgia" w:eastAsia="Georgia" w:hAnsi="Georgia"/>
          <w:sz w:val="24"/>
          <w:szCs w:val="24"/>
        </w:rPr>
        <w:t xml:space="preserve">The term “fortress” is chosen deliberately. A fortress is not a prison—it does not prevent the inhabitants from engaging with the world. It is a structure with a defined perimeter, controlled points of entry and exit, and an internal architecture designed to sustain the life and function of those within it. The analog fortress home is not a home without technology. It is a home with a defined relationship to technology: one in which the digital environment is a tool that the household deploys, rather than a medium that the household has been absorbed into.</w:t>
      </w:r>
    </w:p>
    <w:p>
      <w:pPr>
        <w:spacing w:after="160" w:before="120"/>
        <w:jc w:val="both"/>
      </w:pPr>
      <w:r>
        <w:rPr>
          <w:rFonts w:ascii="Georgia" w:cs="Georgia" w:eastAsia="Georgia" w:hAnsi="Georgia"/>
          <w:sz w:val="24"/>
          <w:szCs w:val="24"/>
        </w:rPr>
        <w:t xml:space="preserve">Building this architecture requires three foundational rhythms, which we will call the Three Core Rhythms of the Salted Home. These are not rules to be imposed on resistant family members through authority alone—they are liturgical practices, in the precise anthropological sense: repeated, embodied actions that create meaning and identity over time through the accumulation of shared experience.</w:t>
      </w:r>
    </w:p>
    <w:p>
      <w:pPr>
        <w:spacing w:after="80" w:before="200"/>
      </w:pPr>
      <w:r>
        <w:rPr>
          <w:rFonts w:ascii="Georgia" w:cs="Georgia" w:eastAsia="Georgia" w:hAnsi="Georgia"/>
          <w:b/>
          <w:bCs/>
          <w:color w:val="2E4057"/>
          <w:sz w:val="24"/>
          <w:szCs w:val="24"/>
        </w:rPr>
        <w:t xml:space="preserve">Rhythm One: The Threshold Covenant</w:t>
      </w:r>
    </w:p>
    <w:p>
      <w:pPr>
        <w:spacing w:after="160" w:before="120"/>
        <w:jc w:val="both"/>
      </w:pPr>
      <w:r>
        <w:rPr>
          <w:rFonts w:ascii="Georgia" w:cs="Georgia" w:eastAsia="Georgia" w:hAnsi="Georgia"/>
          <w:sz w:val="24"/>
          <w:szCs w:val="24"/>
        </w:rPr>
        <w:t xml:space="preserve">In many ancient cultures, the threshold of the home—the doorway, the lintel, the entrance post—was a site of ritual significance. The mezuzah in the Jewish tradition, the threshold offerings in West African household practice, the horseshoe above the European farmhouse door: these are all expressions of the same intuition, that the boundary between the domestic and the external world is a charged and meaningful location that deserves conscious attention. The threshold covenant is the modern, secular translation of this intuition: a deliberate, family-specific practice that marks the transition between the outside world and the domestic one. In practical terms, this might mean that devices are placed in a designated location at the door, that a brief verbal or physical ritual—a meal blessing, a moment of shared acknowledgment, a family check-in—signals the transition into domestic presence. The specific form matters less than its consistency: the practice must be reliable enough to constitute a genuine boundary.</w:t>
      </w:r>
    </w:p>
    <w:p>
      <w:pPr>
        <w:spacing w:after="80" w:before="200"/>
      </w:pPr>
      <w:r>
        <w:rPr>
          <w:rFonts w:ascii="Georgia" w:cs="Georgia" w:eastAsia="Georgia" w:hAnsi="Georgia"/>
          <w:b/>
          <w:bCs/>
          <w:color w:val="2E4057"/>
          <w:sz w:val="24"/>
          <w:szCs w:val="24"/>
        </w:rPr>
        <w:t xml:space="preserve">Rhythm Two: The Liturgy of Bread and Salt</w:t>
      </w:r>
    </w:p>
    <w:p>
      <w:pPr>
        <w:spacing w:after="160" w:before="120"/>
        <w:jc w:val="both"/>
      </w:pPr>
      <w:r>
        <w:rPr>
          <w:rFonts w:ascii="Georgia" w:cs="Georgia" w:eastAsia="Georgia" w:hAnsi="Georgia"/>
          <w:sz w:val="24"/>
          <w:szCs w:val="24"/>
        </w:rPr>
        <w:t xml:space="preserve">The shared meal is among the most robust predictors of positive adolescent outcomes in the longitudinal research literature. The Harvard Study of Adult Development—the longest-running study of adult happiness and health—consistently identifies the quality of close relationships as the primary determinant of wellbeing across the lifespan, and the shared meal is one of the most reliable mechanisms for maintaining relationship quality across generations. This is not sentiment. It is data. The family that eats together regularly does not merely consume food together—it performs the essential function of calibrating its members to one another’s frequencies, creating the shared narrative that identity requires, and providing the reliably low-stakes arena for the practice of the conversational and relational skills that will determine the quality of every significant relationship these children will form for the rest of their lives.</w:t>
      </w:r>
    </w:p>
    <w:p>
      <w:pPr>
        <w:spacing w:after="160" w:before="120"/>
        <w:jc w:val="both"/>
      </w:pPr>
      <w:r>
        <w:rPr>
          <w:rFonts w:ascii="Georgia" w:cs="Georgia" w:eastAsia="Georgia" w:hAnsi="Georgia"/>
          <w:sz w:val="24"/>
          <w:szCs w:val="24"/>
        </w:rPr>
        <w:t xml:space="preserve">The Liturgy of Bread and Salt is a commitment to protect this meal as a site of genuine presence—no devices, no performance, no agenda beyond the shared occupation of the same physical and attentional space. The content of the conversation matters less than its quality: the willingness to be present, to listen, to notice, to ask, and to stay with the discomfort of the unanswered question or the difficult feeling long enough for it to be genuinely received.</w:t>
      </w:r>
    </w:p>
    <w:p>
      <w:pPr>
        <w:spacing w:after="80" w:before="200"/>
      </w:pPr>
      <w:r>
        <w:rPr>
          <w:rFonts w:ascii="Georgia" w:cs="Georgia" w:eastAsia="Georgia" w:hAnsi="Georgia"/>
          <w:b/>
          <w:bCs/>
          <w:color w:val="2E4057"/>
          <w:sz w:val="24"/>
          <w:szCs w:val="24"/>
        </w:rPr>
        <w:t xml:space="preserve">Rhythm Three: The Analog Sabbath</w:t>
      </w:r>
    </w:p>
    <w:p>
      <w:pPr>
        <w:spacing w:after="160" w:before="120"/>
        <w:jc w:val="both"/>
      </w:pPr>
      <w:r>
        <w:rPr>
          <w:rFonts w:ascii="Georgia" w:cs="Georgia" w:eastAsia="Georgia" w:hAnsi="Georgia"/>
          <w:sz w:val="24"/>
          <w:szCs w:val="24"/>
        </w:rPr>
        <w:t xml:space="preserve">The sabbath principle—one day in seven of deliberate cessation from productive activity—is among the most counterintuitive and empirically supported practices in the history of human wellness. Its psychological function is not primarily religious, though its religious form has sustained it for millennia. Its function is restorative: the interruption of the work cycle restores the cognitive and emotional resources that sustained engagement depletes. The analog sabbath applies this principle specifically to the attention economy: one day per week, or one designated period per day, in which the household collectively withdraws from digital engagement and occupies physical, embodied, relational space together.</w:t>
      </w:r>
    </w:p>
    <w:p>
      <w:pPr>
        <w:spacing w:after="160" w:before="120"/>
        <w:jc w:val="both"/>
      </w:pPr>
      <w:r>
        <w:rPr>
          <w:rFonts w:ascii="Georgia" w:cs="Georgia" w:eastAsia="Georgia" w:hAnsi="Georgia"/>
          <w:sz w:val="24"/>
          <w:szCs w:val="24"/>
        </w:rPr>
        <w:t xml:space="preserve">The resistance to this practice is predictable and should be anticipated rather than merely overcome by force. Adolescents in particular will experience the analog sabbath as an imposition—their peer relationships and social identities are, in the current technological landscape, substantially mediated through digital platforms, and withdrawal from those platforms feels like social death. The parent who imposes the analog sabbath without explanation, without genuine engagement with this reality, and without offering a genuine alternative that meets the underlying relational needs the screen was serving will produce compliance at best and covert resistance at worst. The analog sabbath must be designed with the family, not merely for it.</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THE THREE CORE RHYTHMS — Implementation Checklist</w:t>
      </w:r>
    </w:p>
    <w:p>
      <w:pPr>
        <w:spacing w:after="280" w:before="80"/>
        <w:ind w:left="360" w:right="360"/>
      </w:pPr>
      <w:r>
        <w:rPr>
          <w:rFonts w:ascii="Arial" w:cs="Arial" w:eastAsia="Arial" w:hAnsi="Arial"/>
          <w:sz w:val="22"/>
          <w:szCs w:val="22"/>
        </w:rPr>
        <w:t xml:space="preserve">THRESHOLD COVENANT: Define a specific, consistent practice for the transition into domestic space. All devices placed in a single location. A brief shared ritual that signals the shift from external to domestic presence.
LITURGY OF BREAD AND SALT: Protect a minimum of four shared meals per week. No devices at the table. One rotating family member leads a question for discussion.
ANALOG SABBATH: Designate one day per week or one two-hour block per day as a device-free zone. Plan a physical activity that requires presence. Begin the conversation about WHY, not just WHAT.</w:t>
      </w:r>
    </w:p>
    <w:p>
      <w:r>
        <w:br w:type="page"/>
      </w:r>
    </w:p>
    <w:p>
      <w:pPr>
        <w:spacing w:after="80" w:before="480"/>
        <w:jc w:val="center"/>
      </w:pPr>
      <w:r>
        <w:rPr>
          <w:rFonts w:ascii="Arial" w:cs="Arial" w:eastAsia="Arial" w:hAnsi="Arial"/>
          <w:b/>
          <w:bCs/>
          <w:caps/>
          <w:color w:val="888888"/>
          <w:sz w:val="24"/>
          <w:szCs w:val="24"/>
        </w:rPr>
        <w:t xml:space="preserve">CHAPTER EIGHT</w:t>
      </w:r>
    </w:p>
    <w:p>
      <w:pPr>
        <w:pStyle w:val="Heading1"/>
        <w:spacing w:after="120" w:before="80"/>
        <w:jc w:val="center"/>
      </w:pPr>
      <w:r>
        <w:rPr>
          <w:rFonts w:ascii="Georgia" w:cs="Georgia" w:eastAsia="Georgia" w:hAnsi="Georgia"/>
          <w:b/>
          <w:bCs/>
          <w:sz w:val="40"/>
          <w:szCs w:val="40"/>
        </w:rPr>
        <w:t xml:space="preserve">The Alchemist’s Market</w:t>
      </w:r>
    </w:p>
    <w:p>
      <w:pPr>
        <w:spacing w:after="480" w:before="0"/>
        <w:jc w:val="center"/>
      </w:pPr>
      <w:r>
        <w:rPr>
          <w:rFonts w:ascii="Georgia" w:cs="Georgia" w:eastAsia="Georgia" w:hAnsi="Georgia"/>
          <w:i/>
          <w:iCs/>
          <w:color w:val="555555"/>
          <w:sz w:val="26"/>
          <w:szCs w:val="26"/>
        </w:rPr>
        <w:t xml:space="preserve">Sustaining the Salt in a Chaos Economy</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“The isolated healer, the solitary teacher, the small business owner who has not yet found their lattice—these are not failures of salt. They are crystals waiting for a structure. The shaker is not empty. It has not yet been found.”</w:t>
      </w:r>
    </w:p>
    <w:p>
      <w:pPr>
        <w:pStyle w:val="Heading2"/>
        <w:spacing w:after="180" w:before="360"/>
      </w:pPr>
      <w:r>
        <w:rPr>
          <w:rFonts w:ascii="Georgia" w:cs="Georgia" w:eastAsia="Georgia" w:hAnsi="Georgia"/>
          <w:b/>
          <w:bCs/>
          <w:color w:val="2E4057"/>
          <w:sz w:val="28"/>
          <w:szCs w:val="28"/>
        </w:rPr>
        <w:t xml:space="preserve">The Operational Dilemma of the Isolated Principled Leader</w:t>
      </w:r>
    </w:p>
    <w:p>
      <w:pPr>
        <w:spacing w:after="160" w:before="120"/>
        <w:jc w:val="both"/>
      </w:pPr>
      <w:r>
        <w:rPr>
          <w:rFonts w:ascii="Georgia" w:cs="Georgia" w:eastAsia="Georgia" w:hAnsi="Georgia"/>
          <w:sz w:val="24"/>
          <w:szCs w:val="24"/>
        </w:rPr>
        <w:t xml:space="preserve">There is a particular loneliness that belongs to the leader who has refused to compromise—the physician in a hospital system that rewards volume over care, the teacher in a school that has reduced education to test preparation, the small business owner who will not cut corners in an industry where corners are how margins are maintained. This is not the loneliness of the misanthrope or the idealist who has never tested their principles against reality. It is the loneliness of the practitioner who has tested their principles and held them, and who has discovered that this refusal carries a cost.</w:t>
      </w:r>
    </w:p>
    <w:p>
      <w:pPr>
        <w:spacing w:after="160" w:before="120"/>
        <w:jc w:val="both"/>
      </w:pPr>
      <w:r>
        <w:rPr>
          <w:rFonts w:ascii="Georgia" w:cs="Georgia" w:eastAsia="Georgia" w:hAnsi="Georgia"/>
          <w:sz w:val="24"/>
          <w:szCs w:val="24"/>
        </w:rPr>
        <w:t xml:space="preserve">The cost is often economic. The physician who spends forty minutes with each patient builds relationships of extraordinary depth and clinical effectiveness—and sees far fewer patients than their colleagues, generating far lower revenue per hour than the system’s incentive structure rewards. The teacher who designs lessons for genuine comprehension rather than test performance produces students who can think independently—and may score below average on the standardized metrics by which the school’s quality is publicly assessed. The small business owner who uses high-quality materials and pays living wages operates at a cost structure that standard pricing models make nearly impossible to sustain against competitors who have externalized those costs onto their workers and their customers’ health.</w:t>
      </w:r>
    </w:p>
    <w:p>
      <w:pPr>
        <w:spacing w:after="160" w:before="120"/>
        <w:jc w:val="both"/>
      </w:pPr>
      <w:r>
        <w:rPr>
          <w:rFonts w:ascii="Georgia" w:cs="Georgia" w:eastAsia="Georgia" w:hAnsi="Georgia"/>
          <w:sz w:val="24"/>
          <w:szCs w:val="24"/>
        </w:rPr>
        <w:t xml:space="preserve">The conventional response to this dilemma—offered by business school case studies and management consulting reports with equal confidence—is market positioning: find the niche that values what you offer and charge enough to sustain it. This advice is not wrong, but it is incomplete. It addresses the revenue equation while ignoring the energetic one. The isolated principled leader’s challenge is not only economic—it is existential. They are attempting to maintain mineral integrity in an environment that is actively dissolving them. The revenue fix does not solve the dissolution problem. For that, a different resource is required.</w:t>
      </w:r>
    </w:p>
    <w:p>
      <w:pPr>
        <w:pStyle w:val="Heading2"/>
        <w:spacing w:after="180" w:before="360"/>
      </w:pPr>
      <w:r>
        <w:rPr>
          <w:rFonts w:ascii="Georgia" w:cs="Georgia" w:eastAsia="Georgia" w:hAnsi="Georgia"/>
          <w:b/>
          <w:bCs/>
          <w:color w:val="2E4057"/>
          <w:sz w:val="28"/>
          <w:szCs w:val="28"/>
        </w:rPr>
        <w:t xml:space="preserve">The Never-Empty Shaker: Drawing from Eternal Covenants</w:t>
      </w:r>
    </w:p>
    <w:p>
      <w:pPr>
        <w:spacing w:after="160" w:before="120"/>
        <w:jc w:val="both"/>
      </w:pPr>
      <w:r>
        <w:rPr>
          <w:rFonts w:ascii="Georgia" w:cs="Georgia" w:eastAsia="Georgia" w:hAnsi="Georgia"/>
          <w:sz w:val="24"/>
          <w:szCs w:val="24"/>
        </w:rPr>
        <w:t xml:space="preserve">The ancient metaphor of the widow’s cruse—the jar of oil in 1 Kings 17 that Elijah promises will never run out, the container whose supply is miraculously sustained through a period of famine—describes something that the empirical literature on sustainable high performance corroborates in secular language. The practitioner who draws their energy from external validation, from market feedback, from institutional reward structures, will find that source unreliable—and, in the conditions we have described, inadequate. The practitioner who draws from a deeper source—a subterranean covenantal commitment that does not depend on whether the environment rewards it—describes an energy architecture that is fundamentally different.</w:t>
      </w:r>
    </w:p>
    <w:p>
      <w:pPr>
        <w:spacing w:after="160" w:before="120"/>
        <w:jc w:val="both"/>
      </w:pPr>
      <w:r>
        <w:rPr>
          <w:rFonts w:ascii="Georgia" w:cs="Georgia" w:eastAsia="Georgia" w:hAnsi="Georgia"/>
          <w:sz w:val="24"/>
          <w:szCs w:val="24"/>
        </w:rPr>
        <w:t xml:space="preserve">This is not mysticism. It is motivational psychology. The research of Edward Deci and Richard Ryan on self-determination theory consistently demonstrates that intrinsic motivation—motivation derived from the activity’s alignment with one’s own values and sense of self—produces more sustained, more resilient, and more high-quality performance than extrinsic motivation, even when the extrinsic rewards are substantial. The physician who practices medicine because they understand it as a covenant obligation to human dignity maintains that motivation in conditions where the institutional environment offers no reward for it. The physician who practices medicine primarily for status and income does not.</w:t>
      </w:r>
    </w:p>
    <w:p>
      <w:pPr>
        <w:spacing w:after="160" w:before="120"/>
        <w:jc w:val="both"/>
      </w:pPr>
      <w:r>
        <w:rPr>
          <w:rFonts w:ascii="Georgia" w:cs="Georgia" w:eastAsia="Georgia" w:hAnsi="Georgia"/>
          <w:sz w:val="24"/>
          <w:szCs w:val="24"/>
        </w:rPr>
        <w:t xml:space="preserve">But the never-empty shaker requires more than personal motivation—it requires a relationship with the source of that motivation that is actively maintained. The salt practitioner who has not returned to their foundational commitments—through prayer, through study, through the community that shares their covenant—in months or years is not drawing from a deep well. They are drawing on memory. And memory, however vivid, is not the same as connection. The shaker that is never returned to its source eventually empties, however slowly.</w:t>
      </w:r>
    </w:p>
    <w:p>
      <w:pPr>
        <w:pBdr>
          <w:top w:val="single" w:color="2E4057" w:sz="6" w:space="6"/>
          <w:bottom w:val="single" w:color="2E4057" w:sz="6" w:space="6"/>
        </w:pBdr>
        <w:spacing w:after="300" w:before="300"/>
        <w:ind w:left="720" w:right="720"/>
        <w:jc w:val="center"/>
      </w:pPr>
      <w:r>
        <w:rPr>
          <w:rFonts w:ascii="Georgia" w:cs="Georgia" w:eastAsia="Georgia" w:hAnsi="Georgia"/>
          <w:i/>
          <w:iCs/>
          <w:color w:val="2E4057"/>
          <w:sz w:val="26"/>
          <w:szCs w:val="26"/>
        </w:rPr>
        <w:t xml:space="preserve">“You cannot give what you have not received. The leader who has not been to the source recently is not dispensing salt—they are dispensing what salt used to taste like. The difference matters more than they know.”</w:t>
      </w:r>
    </w:p>
    <w:p>
      <w:pPr>
        <w:pStyle w:val="Heading2"/>
        <w:spacing w:after="180" w:before="360"/>
      </w:pPr>
      <w:r>
        <w:rPr>
          <w:rFonts w:ascii="Georgia" w:cs="Georgia" w:eastAsia="Georgia" w:hAnsi="Georgia"/>
          <w:b/>
          <w:bCs/>
          <w:color w:val="2E4057"/>
          <w:sz w:val="28"/>
          <w:szCs w:val="28"/>
        </w:rPr>
        <w:t xml:space="preserve">The Pragmatic Playbook: Localized Density and Micro-Preservation</w:t>
      </w:r>
    </w:p>
    <w:p>
      <w:pPr>
        <w:spacing w:after="160" w:before="120"/>
        <w:jc w:val="both"/>
      </w:pPr>
      <w:r>
        <w:rPr>
          <w:rFonts w:ascii="Georgia" w:cs="Georgia" w:eastAsia="Georgia" w:hAnsi="Georgia"/>
          <w:sz w:val="24"/>
          <w:szCs w:val="24"/>
        </w:rPr>
        <w:t xml:space="preserve">The strategic response to the isolated principled leader’s dilemma is not expansion—it is concentration. The physics of salt’s preservative action does not require that salt be distributed throughout the entire substrate. It requires that salt be present in sufficient concentration in the locations where decay is most active and most consequential. A small quantity of salt, applied densely to the right location, preserves more effectively than a large quantity diluted across the entire medium.</w:t>
      </w:r>
    </w:p>
    <w:p>
      <w:pPr>
        <w:spacing w:after="160" w:before="120"/>
        <w:jc w:val="both"/>
      </w:pPr>
      <w:r>
        <w:rPr>
          <w:rFonts w:ascii="Georgia" w:cs="Georgia" w:eastAsia="Georgia" w:hAnsi="Georgia"/>
          <w:sz w:val="24"/>
          <w:szCs w:val="24"/>
        </w:rPr>
        <w:t xml:space="preserve">This principle—localized density—is the strategic foundation of what we call the Micro-Preservation Protocol. Rather than attempting to reform an entire system from within—an undertaking that, in large, calcified institutions, frequently exhausts the reformer without producing visible change—the micro-preservation practitioner identifies the specific locations, relationships, and decisions where their principled presence will have the most concentrated and most durable effect.</w:t>
      </w:r>
    </w:p>
    <w:p>
      <w:pPr>
        <w:spacing w:after="160" w:before="120"/>
        <w:jc w:val="both"/>
      </w:pPr>
      <w:r>
        <w:rPr>
          <w:rFonts w:ascii="Georgia" w:cs="Georgia" w:eastAsia="Georgia" w:hAnsi="Georgia"/>
          <w:sz w:val="24"/>
          <w:szCs w:val="24"/>
        </w:rPr>
        <w:t xml:space="preserve">For the physician, this might mean identifying the ten patients whose clinical trajectory will be most significantly altered by the quality of their attention, and concentrating the relational capital that would otherwise be distributed thinly across fifty. For the teacher, it might mean identifying the five students who are at a developmental inflection point—where the quality of one relationship with one trusted adult will determine the trajectory of the next decade—and investing in those five with disproportionate intentionality. For the small business owner, it might mean identifying the twenty clients whose loyalty, referral behavior, and word-of-mouth represent a concentration of social proof sufficient to sustain the enterprise against competitors who have outsourced their integrity.</w:t>
      </w:r>
    </w:p>
    <w:p>
      <w:pPr>
        <w:spacing w:after="160" w:before="120"/>
        <w:jc w:val="both"/>
      </w:pPr>
      <w:r>
        <w:rPr>
          <w:rFonts w:ascii="Georgia" w:cs="Georgia" w:eastAsia="Georgia" w:hAnsi="Georgia"/>
          <w:sz w:val="24"/>
          <w:szCs w:val="24"/>
        </w:rPr>
        <w:t xml:space="preserve">Micro-preservation is not a counsel of resignation or strategic retreat. It is a recognition that salt’s power is a function of concentration, and that the distributed, everywhere-at-once approach to principled leadership produces the same result as dissolving a teaspoon of salt in a swimming pool: the mineral is present, but its concentration is insufficient to alter anything. Focus is not selfishness. In the physics of salt, focus is efficacy.</w:t>
      </w:r>
    </w:p>
    <w:p>
      <w:pPr>
        <w:pStyle w:val="Heading2"/>
        <w:spacing w:after="180" w:before="360"/>
      </w:pPr>
      <w:r>
        <w:rPr>
          <w:rFonts w:ascii="Georgia" w:cs="Georgia" w:eastAsia="Georgia" w:hAnsi="Georgia"/>
          <w:b/>
          <w:bCs/>
          <w:color w:val="2E4057"/>
          <w:sz w:val="28"/>
          <w:szCs w:val="28"/>
        </w:rPr>
        <w:t xml:space="preserve">Building the Local Lattice: The First Structure</w:t>
      </w:r>
    </w:p>
    <w:p>
      <w:pPr>
        <w:spacing w:after="160" w:before="120"/>
        <w:jc w:val="both"/>
      </w:pPr>
      <w:r>
        <w:rPr>
          <w:rFonts w:ascii="Georgia" w:cs="Georgia" w:eastAsia="Georgia" w:hAnsi="Georgia"/>
          <w:sz w:val="24"/>
          <w:szCs w:val="24"/>
        </w:rPr>
        <w:t xml:space="preserve">Salt’s most extraordinary structural property is its crystalline lattice—the three-dimensional ionic network in which sodium and chloride ions alternate in a formation of extraordinary stability. A single salt crystal is fragile—it can be crushed easily between two fingers. But salt crystals in aggregate—fused into the rock salt formations found in geological deposits—form structures of immense density and durability. The transition from individual crystal to rock formation does not require the dissolution of the individual crystal’s identity. It requires the discovery of other crystals with compatible ionic structures and the conditions for them to form a lattice together.</w:t>
      </w:r>
    </w:p>
    <w:p>
      <w:pPr>
        <w:spacing w:after="160" w:before="120"/>
        <w:jc w:val="both"/>
      </w:pPr>
      <w:r>
        <w:rPr>
          <w:rFonts w:ascii="Georgia" w:cs="Georgia" w:eastAsia="Georgia" w:hAnsi="Georgia"/>
          <w:sz w:val="24"/>
          <w:szCs w:val="24"/>
        </w:rPr>
        <w:t xml:space="preserve">The organizational translation of this principle is among the most practically important in this book. The isolated principled leader is not merely alone—they are structurally vulnerable in ways that no amount of personal resilience can fully address. Principled isolation is not a sustainable operating condition. The practitioner who attempts to sustain their salt against a corrosive environment indefinitely, without the stabilizing support of a lattice—a small network of other practitioners who share their foundational commitments—will eventually either compromise those commitments or leave the field. Both outcomes represent a net loss for the environments they were salting.</w:t>
      </w:r>
    </w:p>
    <w:p>
      <w:pPr>
        <w:spacing w:after="160" w:before="120"/>
        <w:jc w:val="both"/>
      </w:pPr>
      <w:r>
        <w:rPr>
          <w:rFonts w:ascii="Georgia" w:cs="Georgia" w:eastAsia="Georgia" w:hAnsi="Georgia"/>
          <w:sz w:val="24"/>
          <w:szCs w:val="24"/>
        </w:rPr>
        <w:t xml:space="preserve">The local lattice is built through deliberate relationship with a small number of people—typically three to seven—who share not merely professional interests but foundational commitments. The distinction is important. Professional networks are built around shared industry, shared methodology, or shared institutional affiliation. Lattices are built around shared covenants. The colleague who shares your professional domain but not your foundational commitments is a useful contact. The colleague who shares your foundational commitments but works in a different domain entirely is a potential lattice partner. The former will be helpful when the market conditions align. The latter will hold you when the market conditions are hostile.</w:t>
      </w:r>
    </w:p>
    <w:p>
      <w:pPr>
        <w:pBdr>
          <w:top w:val="single" w:color="4A6741" w:sz="6"/>
          <w:bottom w:val="single" w:color="4A6741" w:sz="6"/>
        </w:pBdr>
        <w:shd w:fill="F0F4F8" w:val="clear"/>
        <w:spacing w:after="80" w:before="280"/>
        <w:ind w:left="360" w:right="360"/>
      </w:pPr>
      <w:r>
        <w:rPr>
          <w:rFonts w:ascii="Arial" w:cs="Arial" w:eastAsia="Arial" w:hAnsi="Arial"/>
          <w:b/>
          <w:bCs/>
          <w:color w:val="4A6741"/>
          <w:sz w:val="22"/>
          <w:szCs w:val="22"/>
        </w:rPr>
        <w:t xml:space="preserve">THE MICRO-PRESERVATION PROTOCOL — Four-Step Implementation</w:t>
      </w:r>
    </w:p>
    <w:p>
      <w:pPr>
        <w:spacing w:after="280" w:before="80"/>
        <w:ind w:left="360" w:right="360"/>
      </w:pPr>
      <w:r>
        <w:rPr>
          <w:rFonts w:ascii="Arial" w:cs="Arial" w:eastAsia="Arial" w:hAnsi="Arial"/>
          <w:sz w:val="22"/>
          <w:szCs w:val="22"/>
        </w:rPr>
        <w:t xml:space="preserve">Step 1 — LOCATE THE WOUND: Identify the three to five locations, relationships, or decisions within your domain where decay is most active and your principled presence will have the highest concentrated impact.
Step 2 — CONCENTRATE YOUR SALT: Deliberately reduce your distributed engagement and redirect that energy toward your highest-leverage locations. Say no to more in order to say yes more completely.
Step 3 — RETURN TO THE SOURCE: Establish a non-negotiable weekly practice of reconnecting with the foundational covenants that fuel your principled presence. Without this, the shaker empties.
Step 4 — BUILD THE LATTICE: Identify two to three other practitioners who share your foundational commitments and invest in those relationships as strategic infrastructure, not merely personal support.</w:t>
      </w:r>
    </w:p>
    <w:p>
      <w:pPr>
        <w:spacing w:after="160" w:before="120"/>
        <w:jc w:val="both"/>
      </w:pPr>
      <w:r>
        <w:rPr>
          <w:rFonts w:ascii="Georgia" w:cs="Georgia" w:eastAsia="Georgia" w:hAnsi="Georgia"/>
          <w:sz w:val="24"/>
          <w:szCs w:val="24"/>
        </w:rPr>
        <w:t xml:space="preserve">The Alchemist’s Market is the environment in which all of this must occur: an economy in which the forces of commodification, disruption, and short-term incentive are in full acceleration, in which the principled actor is structurally disadvantaged by their refusal to externalize their costs, and in which the rewards for integrity are typically long-delayed and poorly monetized. This is not a reason to abandon integrity. It is a reason to be strategic about how it is sustained. The alchemist does not merely possess the philosopher’s stone. They know how to protect it—how to keep it concentrated, how to replenish it, and how to find the other alchemists who are working the same problem in the same broken market.</w:t>
      </w:r>
    </w:p>
    <w:p>
      <w:pPr>
        <w:pBdr>
          <w:top w:val="single" w:color="2E4057" w:sz="6" w:space="1"/>
        </w:pBdr>
        <w:spacing w:after="200" w:before="600"/>
        <w:jc w:val="center"/>
      </w:pPr>
      <w:r>
        <w:rPr>
          <w:rFonts w:ascii="Georgia" w:cs="Georgia" w:eastAsia="Georgia" w:hAnsi="Georgia"/>
          <w:i/>
          <w:iCs/>
          <w:color w:val="888888"/>
          <w:sz w:val="22"/>
          <w:szCs w:val="22"/>
        </w:rPr>
        <w:t xml:space="preserve">—  End of Section Two: The Salting of the Soul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2E4057"/>
      <w:sz w:val="28"/>
      <w:szCs w:val="28"/>
    </w:rPr>
  </w:style>
  <w:style w:type="paragraph" w:styleId="Heading3">
    <w:name w:val="Heading 3"/>
    <w:basedOn w:val="Normal"/>
    <w:next w:val="Normal"/>
    <w:qFormat/>
    <w:pPr>
      <w:spacing w:after="120" w:before="240"/>
      <w:outlineLvl w:val="2"/>
    </w:pPr>
    <w:rPr>
      <w:rFonts w:ascii="Georgia" w:cs="Georgia" w:eastAsia="Georgia" w:hAnsi="Georgia"/>
      <w:b/>
      <w:bCs/>
      <w:i/>
      <w:iCs/>
      <w:color w:val="4A67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2026-05-25T14:14:49.382Z</dcterms:created>
  <dcterms:modified xsi:type="dcterms:W3CDTF">2026-05-25T14:14:49.394Z</dcterms:modified>
</cp:coreProperties>
</file>

<file path=docProps/custom.xml><?xml version="1.0" encoding="utf-8"?>
<Properties xmlns="http://schemas.openxmlformats.org/officeDocument/2006/custom-properties" xmlns:vt="http://schemas.openxmlformats.org/officeDocument/2006/docPropsVTypes"/>
</file>