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Абдуллоев</w:t>
      </w:r>
      <w:r>
        <w:t xml:space="preserve"> </w:t>
      </w:r>
      <w:r>
        <w:t xml:space="preserve">Сайидазизхон</w:t>
      </w:r>
      <w:r>
        <w:t xml:space="preserve"> </w:t>
      </w:r>
      <w:r>
        <w:t xml:space="preserve">Шухратович,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простейшую модель эпидемии.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6666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83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Построить графики изменения числа особей в каждой из трех групп. Рассмотреть,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br/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объект-и-предмет-исследования"/>
    <w:p>
      <w:pPr>
        <w:pStyle w:val="Heading1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модель эпидемии, а предметом исследования - графики изменения числа болеющих, здоровых и людей с иммунитетом.</w:t>
      </w:r>
    </w:p>
    <w:bookmarkEnd w:id="22"/>
    <w:bookmarkStart w:id="23" w:name="теоретические-вводные-данные"/>
    <w:p>
      <w:pPr>
        <w:pStyle w:val="Heading1"/>
      </w:pPr>
      <w:r>
        <w:t xml:space="preserve">Теоретические вводные данные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тогда инфицированные способны заражать восприимчивых к болезни особей.</w:t>
      </w:r>
      <w:r>
        <w:t xml:space="preserve"> </w:t>
      </w: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  <w:r>
        <w:t xml:space="preserve"> </w:t>
      </w: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  <m:r>
          <m:t>и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Я построил модель для первого случая, когда все больные изолированы и не заражают здоровых, с данными начальными условиями в Modelica. Увидеть это можно на Рисунке 1 (рис. -fig. 1). Коэффициент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0.01,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0.02</m:t>
        </m:r>
      </m:oMath>
    </w:p>
    <w:p>
      <w:pPr>
        <w:pStyle w:val="CaptionedFigure"/>
      </w:pPr>
      <w:bookmarkStart w:id="25" w:name="fig:001"/>
      <w:r>
        <w:drawing>
          <wp:inline>
            <wp:extent cx="3411710" cy="2735515"/>
            <wp:effectExtent b="0" l="0" r="0" t="0"/>
            <wp:docPr descr="Figure 1: Уравнения модели эпидем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10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Уравнения модели эпидемии</w:t>
      </w:r>
    </w:p>
    <w:bookmarkEnd w:id="26"/>
    <w:bookmarkStart w:id="29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Построил динамику изменения числа людей в каждой из трех групп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200</m:t>
        </m:r>
        <m:r>
          <m:rPr>
            <m:sty m:val="p"/>
          </m:rPr>
          <m:t>]</m:t>
        </m:r>
      </m:oMath>
      <w:r>
        <w:t xml:space="preserve"> </w:t>
      </w:r>
      <w:r>
        <w:t xml:space="preserve">и шагом 0.01. График изображен на следующем рисунке (рис. -fig. 2)</w:t>
      </w:r>
    </w:p>
    <w:p>
      <w:pPr>
        <w:pStyle w:val="CaptionedFigure"/>
      </w:pPr>
      <w:bookmarkStart w:id="28" w:name="fig:002"/>
      <w:r>
        <w:drawing>
          <wp:inline>
            <wp:extent cx="5334000" cy="2680064"/>
            <wp:effectExtent b="0" l="0" r="0" t="0"/>
            <wp:docPr descr="Figure 2: Динамика изменения численности групп" title="" id="1" name="Picture"/>
            <a:graphic>
              <a:graphicData uri="http://schemas.openxmlformats.org/drawingml/2006/picture">
                <pic:pic>
                  <pic:nvPicPr>
                    <pic:cNvPr descr="image/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Динамика изменения численности групп</w:t>
      </w:r>
    </w:p>
    <w:bookmarkEnd w:id="29"/>
    <w:bookmarkStart w:id="32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Число болеющих в первое время эпидемии снижается быстрее, чем в дальнейшем. Соответственно, в начале эпидемии число людей с иммунитетом растет быстро (рис. -fig. 3)</w:t>
      </w:r>
    </w:p>
    <w:p>
      <w:pPr>
        <w:pStyle w:val="CaptionedFigure"/>
      </w:pPr>
      <w:bookmarkStart w:id="31" w:name="fig:003"/>
      <w:r>
        <w:drawing>
          <wp:inline>
            <wp:extent cx="5334000" cy="2653935"/>
            <wp:effectExtent b="0" l="0" r="0" t="0"/>
            <wp:docPr descr="Figure 3: Динамика изменения числа болеющих и переболевших" title="" id="1" name="Picture"/>
            <a:graphic>
              <a:graphicData uri="http://schemas.openxmlformats.org/drawingml/2006/picture">
                <pic:pic>
                  <pic:nvPicPr>
                    <pic:cNvPr descr="image/1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3: Динамика изменения числа болеющих и переболевших</w:t>
      </w:r>
    </w:p>
    <w:bookmarkEnd w:id="32"/>
    <w:bookmarkStart w:id="35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Построил модель для второго случая, когда инфицированные способны заражать восприимчивых к болезни особей, с данными начальными условиями, которая изображена на Рисунке 4 (рис. -fig. 4)</w:t>
      </w:r>
    </w:p>
    <w:p>
      <w:pPr>
        <w:pStyle w:val="CaptionedFigure"/>
      </w:pPr>
      <w:bookmarkStart w:id="34" w:name="fig:004"/>
      <w:r>
        <w:drawing>
          <wp:inline>
            <wp:extent cx="3772860" cy="3065929"/>
            <wp:effectExtent b="0" l="0" r="0" t="0"/>
            <wp:docPr descr="Figure 4: Уравнения модели эпидем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60" cy="306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4: Уравнения модели эпидемии для второго случая</w:t>
      </w:r>
    </w:p>
    <w:bookmarkEnd w:id="35"/>
    <w:bookmarkStart w:id="38" w:name="шаг-5"/>
    <w:p>
      <w:pPr>
        <w:pStyle w:val="Heading2"/>
      </w:pPr>
      <w:r>
        <w:t xml:space="preserve">Шаг 5</w:t>
      </w:r>
    </w:p>
    <w:p>
      <w:pPr>
        <w:pStyle w:val="FirstParagraph"/>
      </w:pPr>
      <w:r>
        <w:t xml:space="preserve">Построил динамику изменения числа людей в каждой из трех групп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200</m:t>
        </m:r>
        <m:r>
          <m:rPr>
            <m:sty m:val="p"/>
          </m:rPr>
          <m:t>]</m:t>
        </m:r>
      </m:oMath>
      <w:r>
        <w:t xml:space="preserve"> </w:t>
      </w:r>
      <w:r>
        <w:t xml:space="preserve">и шагом 0.01. График изображен на следующем рисунке (рис. -fig. 5)</w:t>
      </w:r>
      <w:r>
        <w:br/>
      </w:r>
      <w:r>
        <w:t xml:space="preserve">При данной ситуации число здоровых людей непостоянно и снижается. В то же время растет число людей с иммунитетом. Также видно, что пик количества заболевших приходится на начало второй четверти эпидемии, после чего число инфицированных начинает снижаться.</w:t>
      </w:r>
    </w:p>
    <w:p>
      <w:pPr>
        <w:pStyle w:val="CaptionedFigure"/>
      </w:pPr>
      <w:bookmarkStart w:id="37" w:name="fig:005"/>
      <w:r>
        <w:drawing>
          <wp:inline>
            <wp:extent cx="5334000" cy="2678221"/>
            <wp:effectExtent b="0" l="0" r="0" t="0"/>
            <wp:docPr descr="Figure 5: Динамика изменения численности групп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8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5: Динамика изменения численности групп для второго случая</w:t>
      </w:r>
    </w:p>
    <w:bookmarkEnd w:id="38"/>
    <w:bookmarkEnd w:id="39"/>
    <w:bookmarkStart w:id="4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Изучить и построить простейшую модель эпидемии.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Абдуллоев Сайидазизхон Шухратович, НПИбд-02-18</dc:creator>
  <dc:language>ru-RU</dc:language>
  <cp:keywords/>
  <dcterms:created xsi:type="dcterms:W3CDTF">2021-04-28T21:37:53Z</dcterms:created>
  <dcterms:modified xsi:type="dcterms:W3CDTF">2021-04-28T21:37:53Z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