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 точки зрения теории криптоанализа, метод шифрования однократной случайной равновероятной гаммой той же длины, что и открытый текст, является невскрываемым (далее для краткости авторы будут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криптоаналитик не может сказать о дешифровке, верна она или нет. Кроме того, даже раскрыв часть сообщения, дешифровщик не сможет хоть сколько нибудь поправить положение - информация о вскрытом участке гаммы не дает информации об остальных ее частях.</w:t>
      </w:r>
    </w:p>
    <w:bookmarkEnd w:id="22"/>
    <w:bookmarkStart w:id="3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все необходимые библиотеки и пишем функцию генерирования ключа, а также функцию гаммирования.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942918"/>
            <wp:effectExtent b="0" l="0" r="0" t="0"/>
            <wp:docPr descr="Импорт библиотек и написание функций" title="" id="24" name="Picture"/>
            <a:graphic>
              <a:graphicData uri="http://schemas.openxmlformats.org/drawingml/2006/picture">
                <pic:pic>
                  <pic:nvPicPr>
                    <pic:cNvPr descr="image/report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Импорт библиотек и написание функций</w:t>
      </w:r>
    </w:p>
    <w:p>
      <w:pPr>
        <w:numPr>
          <w:ilvl w:val="0"/>
          <w:numId w:val="1002"/>
        </w:numPr>
        <w:pStyle w:val="Compact"/>
      </w:pPr>
      <w:r>
        <w:t xml:space="preserve">Определяем вид шифротекста при известном ключе и известном открытом тексте.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658668"/>
            <wp:effectExtent b="0" l="0" r="0" t="0"/>
            <wp:docPr descr="Шифрование открытого текста" title="" id="28" name="Picture"/>
            <a:graphic>
              <a:graphicData uri="http://schemas.openxmlformats.org/drawingml/2006/picture">
                <pic:pic>
                  <pic:nvPicPr>
                    <pic:cNvPr descr="image/report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Шифрование открытого текста</w:t>
      </w:r>
    </w:p>
    <w:p>
      <w:pPr>
        <w:numPr>
          <w:ilvl w:val="0"/>
          <w:numId w:val="1003"/>
        </w:numPr>
        <w:pStyle w:val="Compact"/>
      </w:pPr>
      <w:r>
        <w:t xml:space="preserve">Применяем функцию</w:t>
      </w:r>
      <w:r>
        <w:t xml:space="preserve"> </w:t>
      </w:r>
      <w:r>
        <w:t xml:space="preserve">“</w:t>
      </w:r>
      <w:r>
        <w:t xml:space="preserve">gamming</w:t>
      </w:r>
      <w:r>
        <w:t xml:space="preserve">”</w:t>
      </w:r>
      <w:r>
        <w:t xml:space="preserve"> </w:t>
      </w:r>
      <w:r>
        <w:t xml:space="preserve">к полученному шифру и ключу, чтобы провериьь правильность работы программы. В результате снова получаем исходный текст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326165"/>
            <wp:effectExtent b="0" l="0" r="0" t="0"/>
            <wp:docPr descr="Проверка правильности работы кода" title="" id="32" name="Picture"/>
            <a:graphic>
              <a:graphicData uri="http://schemas.openxmlformats.org/drawingml/2006/picture">
                <pic:pic>
                  <pic:nvPicPr>
                    <pic:cNvPr descr="image/report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правильности работы кода</w:t>
      </w:r>
    </w:p>
    <w:p>
      <w:pPr>
        <w:numPr>
          <w:ilvl w:val="0"/>
          <w:numId w:val="1004"/>
        </w:numPr>
        <w:pStyle w:val="Compact"/>
      </w:pPr>
      <w:r>
        <w:t xml:space="preserve">Определяем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8" w:name="fig:004"/>
      <w:r>
        <w:drawing>
          <wp:inline>
            <wp:extent cx="5334000" cy="994034"/>
            <wp:effectExtent b="0" l="0" r="0" t="0"/>
            <wp:docPr descr="Расшифровка зашифрованного текста новым ключом" title="" id="36" name="Picture"/>
            <a:graphic>
              <a:graphicData uri="http://schemas.openxmlformats.org/drawingml/2006/picture">
                <pic:pic>
                  <pic:nvPicPr>
                    <pic:cNvPr descr="image/report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Расшифровка зашифрованного текста новым ключом</w:t>
      </w:r>
    </w:p>
    <w:bookmarkEnd w:id="39"/>
    <w:bookmarkStart w:id="40" w:name="ответы-на-котнрольные-вопросы"/>
    <w:p>
      <w:pPr>
        <w:pStyle w:val="Heading1"/>
      </w:pPr>
      <w:r>
        <w:t xml:space="preserve">Ответы на котнрольные вопросы</w:t>
      </w:r>
    </w:p>
    <w:p>
      <w:pPr>
        <w:numPr>
          <w:ilvl w:val="0"/>
          <w:numId w:val="1005"/>
        </w:numPr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Однократное гаммирование – это когда каждый символ попарно с символом ключа складываются по модулю 2 (XOR) (обозначается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).</w:t>
      </w:r>
    </w:p>
    <w:p>
      <w:pPr>
        <w:numPr>
          <w:ilvl w:val="0"/>
          <w:numId w:val="1005"/>
        </w:numPr>
      </w:pPr>
      <w:r>
        <w:t xml:space="preserve">Недостатки: Размер ключевого материала должен совпадать с размером передаваемых сообщений. Кроме того,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5"/>
        </w:numPr>
      </w:pPr>
      <w:r>
        <w:t xml:space="preserve">Преимущества: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5"/>
        </w:numPr>
      </w:pP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05"/>
        </w:numPr>
      </w:pP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p>
      <w:pPr>
        <w:numPr>
          <w:ilvl w:val="0"/>
          <w:numId w:val="1005"/>
        </w:numPr>
      </w:pPr>
      <w:r>
        <w:t xml:space="preserve">Сложить по модулю 2 каждый символ открытого текста и ключа</w:t>
      </w:r>
    </w:p>
    <w:p>
      <w:pPr>
        <w:numPr>
          <w:ilvl w:val="0"/>
          <w:numId w:val="1005"/>
        </w:numPr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05"/>
        </w:numPr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Полная случайность ключа;</w:t>
      </w:r>
      <w:r>
        <w:t xml:space="preserve"> </w:t>
      </w:r>
      <w:r>
        <w:t xml:space="preserve">Равенство длин ключа и открытого текста;</w:t>
      </w:r>
      <w:r>
        <w:t xml:space="preserve"> </w:t>
      </w:r>
      <w:r>
        <w:t xml:space="preserve">Однократное использование ключа.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было освоено на практике применение режима однократного гаммирования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Абдуллаев Сайидазизхон Шухратович</dc:creator>
  <dc:language>ru-RU</dc:language>
  <cp:keywords/>
  <dcterms:created xsi:type="dcterms:W3CDTF">2022-02-14T01:17:18Z</dcterms:created>
  <dcterms:modified xsi:type="dcterms:W3CDTF">2022-02-14T01:17:18Z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