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91AB" w14:textId="1598F33F" w:rsidR="00744831" w:rsidRPr="005902BD" w:rsidRDefault="005902BD" w:rsidP="005902BD">
      <w:pPr>
        <w:spacing w:line="240" w:lineRule="auto"/>
        <w:rPr>
          <w:rFonts w:ascii="Quire Sans" w:hAnsi="Quire Sans" w:cs="Quire Sans"/>
        </w:rPr>
      </w:pPr>
      <w:r w:rsidRPr="005902BD">
        <w:rPr>
          <w:rFonts w:ascii="Quire Sans" w:hAnsi="Quire Sans" w:cs="Quire Sans"/>
        </w:rPr>
        <w:t>Sheridan Dela Cruz</w:t>
      </w:r>
    </w:p>
    <w:p w14:paraId="698B59FD" w14:textId="0A6868BA" w:rsidR="005902BD" w:rsidRPr="005902BD" w:rsidRDefault="005902BD" w:rsidP="005902BD">
      <w:pPr>
        <w:spacing w:line="240" w:lineRule="auto"/>
        <w:rPr>
          <w:rFonts w:ascii="Quire Sans" w:hAnsi="Quire Sans" w:cs="Quire Sans"/>
        </w:rPr>
      </w:pPr>
      <w:r w:rsidRPr="005902BD">
        <w:rPr>
          <w:rFonts w:ascii="Quire Sans" w:hAnsi="Quire Sans" w:cs="Quire Sans"/>
        </w:rPr>
        <w:t>April 11, 2026</w:t>
      </w:r>
    </w:p>
    <w:p w14:paraId="5773CC20" w14:textId="668799C3" w:rsidR="005902BD" w:rsidRDefault="005902BD" w:rsidP="005902BD">
      <w:pPr>
        <w:spacing w:line="240" w:lineRule="auto"/>
        <w:rPr>
          <w:rFonts w:ascii="Quire Sans" w:hAnsi="Quire Sans" w:cs="Quire Sans"/>
        </w:rPr>
      </w:pPr>
      <w:r w:rsidRPr="005902BD">
        <w:rPr>
          <w:rFonts w:ascii="Quire Sans" w:hAnsi="Quire Sans" w:cs="Quire Sans"/>
        </w:rPr>
        <w:t>Module 3.2</w:t>
      </w:r>
    </w:p>
    <w:p w14:paraId="2BA6D5C4" w14:textId="303A1551" w:rsidR="005902BD" w:rsidRPr="005902BD" w:rsidRDefault="005902BD" w:rsidP="005902BD">
      <w:pPr>
        <w:spacing w:line="240" w:lineRule="auto"/>
        <w:jc w:val="center"/>
        <w:rPr>
          <w:rFonts w:ascii="Quire Sans" w:hAnsi="Quire Sans" w:cs="Quire Sans"/>
          <w:b/>
          <w:bCs/>
        </w:rPr>
      </w:pPr>
      <w:r w:rsidRPr="005902BD">
        <w:rPr>
          <w:rFonts w:ascii="Quire Sans" w:hAnsi="Quire Sans" w:cs="Quire Sans"/>
          <w:b/>
          <w:bCs/>
        </w:rPr>
        <w:t>Cohan Flow</w:t>
      </w:r>
      <w:r>
        <w:rPr>
          <w:rFonts w:ascii="Quire Sans" w:hAnsi="Quire Sans" w:cs="Quire Sans"/>
          <w:b/>
          <w:bCs/>
        </w:rPr>
        <w:t xml:space="preserve"> </w:t>
      </w:r>
      <w:r w:rsidRPr="005902BD">
        <w:rPr>
          <w:rFonts w:ascii="Quire Sans" w:hAnsi="Quire Sans" w:cs="Quire Sans"/>
          <w:b/>
          <w:bCs/>
        </w:rPr>
        <w:t>Chart</w:t>
      </w:r>
    </w:p>
    <w:p w14:paraId="654D53CE" w14:textId="36DF8538" w:rsidR="005902BD" w:rsidRPr="005902BD" w:rsidRDefault="005902BD" w:rsidP="005902BD">
      <w:pPr>
        <w:spacing w:line="240" w:lineRule="auto"/>
        <w:rPr>
          <w:rFonts w:ascii="Quire Sans" w:hAnsi="Quire Sans" w:cs="Quire Sans"/>
        </w:rPr>
      </w:pPr>
      <w:r>
        <w:rPr>
          <w:noProof/>
        </w:rPr>
        <w:drawing>
          <wp:inline distT="0" distB="0" distL="0" distR="0" wp14:anchorId="380690E8" wp14:editId="5594D65D">
            <wp:extent cx="5943600" cy="6680835"/>
            <wp:effectExtent l="0" t="0" r="0" b="5715"/>
            <wp:docPr id="59838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8274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2BD" w:rsidRPr="00590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BD"/>
    <w:rsid w:val="005902BD"/>
    <w:rsid w:val="006438FE"/>
    <w:rsid w:val="00744831"/>
    <w:rsid w:val="00916AAE"/>
    <w:rsid w:val="00954DDF"/>
    <w:rsid w:val="00D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40B3A"/>
  <w15:chartTrackingRefBased/>
  <w15:docId w15:val="{17EF5AE7-15F9-4ECB-847A-A88EC657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1</cp:revision>
  <dcterms:created xsi:type="dcterms:W3CDTF">2026-04-11T20:15:00Z</dcterms:created>
  <dcterms:modified xsi:type="dcterms:W3CDTF">2026-04-11T20:16:00Z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5cebeb3f-9ecf-4da0-b229-8f7d2f82bd7b</vt:lpwstr>
  </property>
</Properties>
</file>