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测试报告</w:t>
      </w:r>
    </w:p>
    <w:p>
      <w:r>
        <w:t>这是正文段落，包含 **粗体** 和普通文字。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COD</w:t>
            </w:r>
          </w:p>
        </w:tc>
        <w:tc>
          <w:tcPr>
            <w:tcW w:type="dxa" w:w="4320"/>
          </w:tcPr>
          <w:p>
            <w:r>
              <w:t>12.5</w:t>
            </w:r>
          </w:p>
        </w:tc>
      </w:tr>
    </w:tbl>
    <w:p>
      <w:pPr>
        <w:pStyle w:val="Heading1"/>
      </w:pPr>
      <w:r>
        <w:t>第二节</w:t>
      </w:r>
    </w:p>
    <w:p>
      <w:r>
        <w:t>第二段内容。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