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2019-07-01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2019-07-01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61"/>
        <w:gridCol w:w="1756"/>
        <w:gridCol w:w="1532"/>
        <w:gridCol w:w="1590"/>
        <w:gridCol w:w="736"/>
        <w:gridCol w:w="830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儀 器 編 號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領 回 簽 收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 w:val="false"/>
                <w:bCs w:val="false"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S110033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;Helvetica;sans-serif"/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Liberation Serif" w:hAnsi="Liberation Serif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1601263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S110032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;Helvetica;sans-serif"/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1601273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S110031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;Helvetica;sans-serif"/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1601286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S110043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1700639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S110046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1700642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S110199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1800341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S110201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1800343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S110198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1800346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S110196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1800348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S110200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數位電表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Times New Roman" w:hAnsi="Times New Roman"/>
                <w:b w:val="false"/>
                <w:bCs w:val="false"/>
                <w:sz w:val="20"/>
                <w:szCs w:val="20"/>
              </w:rPr>
              <w:t>9007R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1800352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新細明體" w:ascii="新細明體" w:hAnsi="新細明體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LibreOffice/6.2.0.3$Windows_X86_64 LibreOffice_project/98c6a8a1c6c7b144ce3cc729e34964b47ce25d62</Application>
  <Pages>1</Pages>
  <Words>212</Words>
  <Characters>424</Characters>
  <CharactersWithSpaces>474</CharactersWithSpaces>
  <Paragraphs>78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2019-07-01T14:01:22Z</cp:lastPrinted>
  <dcterms:modified xsi:type="dcterms:W3CDTF">2019-07-01T14:20:48Z</dcterms:modified>
  <cp:revision>31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