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8"/>
        <w:gridCol w:w="2614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黃建勝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-2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-2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68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992"/>
        <w:gridCol w:w="1418"/>
        <w:gridCol w:w="1984"/>
        <w:gridCol w:w="1561"/>
        <w:gridCol w:w="1276"/>
        <w:gridCol w:w="710"/>
        <w:gridCol w:w="924"/>
      </w:tblGrid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儀器編號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領回簽收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S110165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數</w:t>
            </w:r>
            <w:r>
              <w:rPr>
                <w:sz w:val="20"/>
                <w:szCs w:val="20"/>
              </w:rPr>
              <w:t xml:space="preserve">位電表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1500037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both"/>
              <w:rPr>
                <w:b/>
                <w:b/>
                <w:bCs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S110171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both"/>
              <w:rPr>
                <w:b/>
                <w:b/>
                <w:bCs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電源供應器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E3631A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SG52080003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sz w:val="20"/>
                <w:szCs w:val="20"/>
              </w:rPr>
            </w:pPr>
            <w:r>
              <w:rPr>
                <w:rFonts w:eastAsia="新細明體" w:ascii="新細明體" w:hAnsi="新細明體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電源供應器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E3631A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MY40054524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sz w:val="20"/>
                <w:szCs w:val="20"/>
              </w:rPr>
            </w:pPr>
            <w:r>
              <w:rPr>
                <w:rFonts w:eastAsia="新細明體" w:ascii="新細明體" w:hAnsi="新細明體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S610069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電源供應器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E3631A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MY52310010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sz w:val="20"/>
                <w:szCs w:val="20"/>
              </w:rPr>
            </w:pPr>
            <w:r>
              <w:rPr>
                <w:rFonts w:eastAsia="新細明體" w:ascii="新細明體" w:hAnsi="新細明體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S610020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電源供應</w:t>
            </w:r>
            <w:bookmarkStart w:id="0" w:name="__DdeLink__633_469580188"/>
            <w:r>
              <w:rPr>
                <w:sz w:val="20"/>
                <w:szCs w:val="20"/>
              </w:rPr>
              <w:t>器</w:t>
            </w:r>
            <w:bookmarkEnd w:id="0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E3631A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SG52050002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sz w:val="20"/>
                <w:szCs w:val="20"/>
              </w:rPr>
            </w:pPr>
            <w:r>
              <w:rPr>
                <w:rFonts w:eastAsia="新細明體" w:ascii="新細明體" w:hAnsi="新細明體"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S110181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數位電表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1601275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S640007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資料蒐集器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34970A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US37028590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LibreOffice/6.2.0.3$Windows_X86_64 LibreOffice_project/98c6a8a1c6c7b144ce3cc729e34964b47ce25d62</Application>
  <Pages>1</Pages>
  <Words>203</Words>
  <Characters>403</Characters>
  <CharactersWithSpaces>439</CharactersWithSpaces>
  <Paragraphs>70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2019-03-25T13:27:02Z</cp:lastPrinted>
  <dcterms:modified xsi:type="dcterms:W3CDTF">2019-04-29T10:57:02Z</dcterms:modified>
  <cp:revision>7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