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pPr w:leftFromText="142" w:rightFromText="142" w:vertAnchor="text" w:horzAnchor="text" w:tblpY="-159"/>
        <w:tblW w:w="0" w:type="auto"/>
        <w:tblLook w:val="06A0" w:firstRow="1" w:lastRow="0" w:firstColumn="1" w:lastColumn="0" w:noHBand="1" w:noVBand="1"/>
        <w:tblLayout w:type="fixed"/>
      </w:tblPr>
      <w:tblGrid>
        <w:gridCol w:w="4508"/>
        <w:gridCol w:w="4508"/>
      </w:tblGrid>
      <w:tr>
        <w:trPr>
          <w:trHeight w:val="105" w:hRule="atLeast"/>
        </w:trPr>
        <w:tc>
          <w:tcPr>
            <w:tcW w:w="4508" w:type="dxa"/>
            <w:vAlign w:val="center"/>
          </w:tcPr>
          <w:p/>
        </w:tc>
        <w:tc>
          <w:tcPr>
            <w:tcW w:w="4508" w:type="dxa"/>
            <w:vAlign w:val="center"/>
          </w:tcPr>
          <w:p/>
        </w:tc>
      </w:tr>
    </w:tbl>
    <w:p/>
    <w:tbl>
      <w:tblPr>
        <w:tblpPr w:leftFromText="142" w:rightFromText="142" w:vertAnchor="page" w:horzAnchor="text" w:tblpY="1941"/>
        <w:tblOverlap w:val="never"/>
        <w:tblW w:w="8931" w:type="dxa"/>
        <w:tblLook w:val="04A0" w:firstRow="1" w:lastRow="0" w:firstColumn="1" w:lastColumn="0" w:noHBand="0" w:noVBand="1"/>
        <w:tblLayout w:type="fixed"/>
      </w:tblPr>
      <w:tblGrid>
        <w:gridCol w:w="8931"/>
      </w:tblGrid>
      <w:tr>
        <w:trPr>
          <w:trHeight w:val="1596" w:hRule="atLeast"/>
        </w:trPr>
        <w:tc>
          <w:tcPr>
            <w:tcW w:w="8931" w:type="dxa"/>
            <w:tcBorders>
              <w:top w:val="double" w:sz="8" w:space="0" w:color="933030"/>
              <w:left w:val="nil"/>
              <w:bottom w:val="double" w:sz="8" w:space="0" w:color="BAA868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jc w:val="center"/>
              <w:spacing w:line="360" w:lineRule="auto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</w:rPr>
              <w:t xml:space="preserve">제5회 </w:t>
            </w:r>
            <w:r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 xml:space="preserve">창의혁신 공모전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</w:rPr>
              <w:t>중간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</w:rPr>
              <w:t>계획서</w:t>
            </w:r>
          </w:p>
          <w:p>
            <w:pPr>
              <w:jc w:val="center"/>
              <w:spacing w:line="360" w:lineRule="auto"/>
              <w:rPr>
                <w:rFonts w:ascii="맑은 고딕" w:eastAsia="맑은 고딕" w:hAnsi="맑은 고딕" w:cs="맑은 고딕"/>
                <w:b/>
                <w:bCs/>
                <w:sz w:val="40"/>
                <w:szCs w:val="4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40"/>
                <w:szCs w:val="40"/>
              </w:rPr>
              <w:t>SafeNest : 엣지 AI 기반 밀폐공간·차량 생명감지 및 위험도 자동경보 시스템</w:t>
            </w:r>
          </w:p>
          <w:p>
            <w:pPr>
              <w:jc w:val="center"/>
              <w:spacing w:line="360" w:lineRule="auto"/>
              <w:rPr>
                <w:rFonts w:ascii="맑은 고딕" w:eastAsia="맑은 고딕" w:hAnsi="맑은 고딕" w:cs="맑은 고딕"/>
                <w:b/>
                <w:bCs/>
                <w:sz w:val="28"/>
                <w:szCs w:val="28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8"/>
                <w:szCs w:val="28"/>
              </w:rPr>
              <w:t>- SAFENEST -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8"/>
                <w:szCs w:val="28"/>
              </w:rPr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4"/>
              </w:rPr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8"/>
                <w:szCs w:val="28"/>
              </w:rPr>
            </w:r>
          </w:p>
        </w:tc>
      </w:tr>
    </w:tbl>
    <w:p>
      <w:pPr>
        <w:spacing w:line="384" w:lineRule="auto"/>
      </w:pPr>
    </w:p>
    <w:p>
      <w:pPr>
        <w:spacing w:line="384" w:lineRule="auto"/>
      </w:pPr>
    </w:p>
    <w:p>
      <w:pPr>
        <w:spacing w:line="384" w:lineRule="auto"/>
      </w:pPr>
    </w:p>
    <w:p>
      <w:pPr>
        <w:jc w:val="center"/>
        <w:spacing w:line="384" w:lineRule="auto"/>
      </w:pPr>
      <w:r>
        <w:rPr>
          <w:noProof/>
        </w:rPr>
        <w:drawing>
          <wp:anchor distT="0" distB="0" distL="0" distR="0" behindDoc="1" locked="0" layoutInCell="0" simplePos="0" relativeHeight="251660288" allowOverlap="1" hidden="0">
            <wp:simplePos x="0" y="0"/>
            <wp:positionH relativeFrom="margin">
              <wp:align>center</wp:align>
            </wp:positionH>
            <wp:positionV relativeFrom="paragraph">
              <wp:posOffset>37465</wp:posOffset>
            </wp:positionV>
            <wp:extent cx="3816626" cy="2528741"/>
            <wp:effectExtent l="0" t="0" r="0" b="5080"/>
            <wp:wrapNone/>
            <wp:docPr id="1025" name="그림 1" descr="엠블럼, 문장, 상징이(가) 표시된 사진  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그림 1" descr="엠블럼, 문장, 상징이(가) 표시된 사진  자동 생성된 설명"/>
                    <pic:cNvPicPr>
                      <a:picLocks noChangeAspect="1" noUngrp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6626" cy="25287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center"/>
        <w:spacing w:line="384" w:lineRule="auto"/>
      </w:pPr>
    </w:p>
    <w:p>
      <w:pPr>
        <w:spacing w:line="384" w:lineRule="auto"/>
      </w:pPr>
    </w:p>
    <w:p>
      <w:pPr>
        <w:jc w:val="center"/>
        <w:spacing w:line="384" w:lineRule="auto"/>
      </w:pPr>
    </w:p>
    <w:p>
      <w:pPr>
        <w:jc w:val="center"/>
        <w:spacing w:line="384" w:lineRule="auto"/>
      </w:pPr>
    </w:p>
    <w:p>
      <w:pPr>
        <w:jc w:val="center"/>
        <w:spacing w:line="384" w:lineRule="auto"/>
      </w:pPr>
    </w:p>
    <w:p>
      <w:pPr>
        <w:jc w:val="center"/>
        <w:spacing w:line="384" w:lineRule="auto"/>
      </w:pPr>
    </w:p>
    <w:p>
      <w:pPr>
        <w:jc w:val="center"/>
        <w:spacing w:line="384" w:lineRule="auto"/>
      </w:pPr>
    </w:p>
    <w:p>
      <w:pPr>
        <w:jc w:val="center"/>
        <w:spacing w:line="384" w:lineRule="auto"/>
      </w:pPr>
    </w:p>
    <w:p>
      <w:pPr>
        <w:jc w:val="center"/>
        <w:spacing w:line="384" w:lineRule="auto"/>
      </w:pPr>
    </w:p>
    <w:p>
      <w:pPr>
        <w:autoSpaceDE/>
        <w:autoSpaceDN/>
        <w:widowControl/>
        <w:wordWrap/>
        <w:jc w:val="center"/>
      </w:pPr>
      <w:r>
        <w:br w:type="page"/>
      </w:r>
    </w:p>
    <w:p>
      <w:pPr>
        <w:spacing w:before="240" w:line="276" w:lineRule="auto"/>
        <w:rPr>
          <w:rFonts w:ascii="맑은 고딕" w:eastAsia="맑은 고딕" w:hAnsi="맑은 고딕" w:cs="맑은 고딕"/>
          <w:b/>
          <w:bCs/>
          <w:sz w:val="24"/>
        </w:rPr>
      </w:pPr>
      <w:r>
        <w:rPr>
          <w:rFonts w:ascii="맑은 고딕" w:eastAsia="맑은 고딕" w:hAnsi="맑은 고딕" w:cs="맑은 고딕"/>
          <w:b/>
          <w:bCs/>
          <w:sz w:val="24"/>
        </w:rPr>
        <w:t xml:space="preserve">Ⅰ. </w:t>
      </w:r>
      <w:r>
        <w:rPr>
          <w:rFonts w:ascii="맑은 고딕" w:eastAsia="맑은 고딕" w:hAnsi="맑은 고딕" w:cs="맑은 고딕" w:hint="eastAsia"/>
          <w:b/>
          <w:bCs/>
          <w:sz w:val="24"/>
        </w:rPr>
        <w:t>개요</w:t>
      </w:r>
    </w:p>
    <w:p>
      <w:pPr>
        <w:spacing w:before="240" w:line="276" w:lineRule="auto"/>
        <w:rPr>
          <w:rFonts w:ascii="맑은 고딕" w:eastAsia="맑은 고딕" w:hAnsi="맑은 고딕" w:cs="맑은 고딕"/>
          <w:b/>
          <w:bCs/>
          <w:sz w:val="24"/>
        </w:rPr>
      </w:pPr>
      <w:r>
        <w:rPr>
          <w:rFonts w:ascii="맑은 고딕" w:eastAsia="맑은 고딕" w:hAnsi="맑은 고딕" w:cs="맑은 고딕"/>
          <w:b/>
          <w:bCs/>
          <w:sz w:val="24"/>
        </w:rPr>
        <w:t xml:space="preserve">Ⅱ. </w:t>
      </w:r>
      <w:r>
        <w:rPr>
          <w:rFonts w:ascii="맑은 고딕" w:eastAsia="맑은 고딕" w:hAnsi="맑은 고딕" w:cs="맑은 고딕" w:hint="eastAsia"/>
          <w:b/>
          <w:bCs/>
          <w:sz w:val="24"/>
        </w:rPr>
        <w:t>세부내용 및 구성</w:t>
      </w:r>
    </w:p>
    <w:p>
      <w:pPr>
        <w:spacing w:before="240" w:line="276" w:lineRule="auto"/>
        <w:rPr>
          <w:rFonts w:ascii="맑은 고딕" w:eastAsia="맑은 고딕" w:hAnsi="맑은 고딕" w:cs="맑은 고딕"/>
          <w:b/>
          <w:bCs/>
          <w:sz w:val="24"/>
        </w:rPr>
      </w:pPr>
      <w:r>
        <w:rPr>
          <w:rFonts w:ascii="맑은 고딕" w:eastAsia="맑은 고딕" w:hAnsi="맑은 고딕" w:cs="맑은 고딕"/>
          <w:b/>
          <w:bCs/>
          <w:sz w:val="24"/>
        </w:rPr>
        <w:t>Ⅲ</w:t>
      </w:r>
      <w:r>
        <w:rPr>
          <w:rFonts w:ascii="맑은 고딕" w:eastAsia="맑은 고딕" w:hAnsi="맑은 고딕" w:cs="맑은 고딕" w:hint="eastAsia"/>
          <w:b/>
          <w:bCs/>
          <w:sz w:val="24"/>
        </w:rPr>
        <w:t>. 기대효과 및 활용방안</w:t>
      </w:r>
    </w:p>
    <w:p>
      <w:pPr>
        <w:spacing w:before="240" w:line="276" w:lineRule="auto"/>
        <w:rPr>
          <w:rFonts w:ascii="맑은 고딕" w:eastAsia="맑은 고딕" w:hAnsi="맑은 고딕" w:cs="맑은 고딕"/>
          <w:b/>
          <w:bCs/>
          <w:sz w:val="24"/>
        </w:rPr>
      </w:pPr>
      <w:r>
        <w:rPr>
          <w:rFonts w:ascii="맑은 고딕" w:eastAsia="맑은 고딕" w:hAnsi="맑은 고딕" w:cs="맑은 고딕"/>
          <w:b/>
          <w:bCs/>
          <w:sz w:val="24"/>
        </w:rPr>
        <w:t xml:space="preserve">Ⅳ. </w:t>
      </w:r>
      <w:r>
        <w:rPr>
          <w:rFonts w:ascii="맑은 고딕" w:eastAsia="맑은 고딕" w:hAnsi="맑은 고딕" w:cs="맑은 고딕" w:hint="eastAsia"/>
          <w:b/>
          <w:bCs/>
          <w:sz w:val="24"/>
        </w:rPr>
        <w:t>수행방법</w:t>
      </w:r>
      <w:r>
        <w:rPr>
          <w:rFonts w:ascii="맑은 고딕" w:eastAsia="맑은 고딕" w:hAnsi="맑은 고딕" w:cs="맑은 고딕"/>
          <w:b/>
          <w:bCs/>
          <w:sz w:val="24"/>
        </w:rPr>
        <w:t xml:space="preserve"> </w:t>
      </w:r>
    </w:p>
    <w:p>
      <w:pPr>
        <w:spacing w:before="240" w:line="276" w:lineRule="auto"/>
        <w:rPr>
          <w:rFonts w:ascii="맑은 고딕" w:eastAsia="맑은 고딕" w:hAnsi="맑은 고딕" w:cs="맑은 고딕"/>
          <w:b/>
          <w:bCs/>
          <w:sz w:val="24"/>
        </w:rPr>
      </w:pPr>
      <w:r>
        <w:rPr>
          <w:rFonts w:ascii="맑은 고딕" w:eastAsia="맑은 고딕" w:hAnsi="맑은 고딕" w:cs="맑은 고딕"/>
          <w:b/>
          <w:bCs/>
          <w:sz w:val="24"/>
        </w:rPr>
        <w:t xml:space="preserve">Ⅴ. </w:t>
      </w:r>
      <w:r>
        <w:rPr>
          <w:rFonts w:ascii="맑은 고딕" w:eastAsia="맑은 고딕" w:hAnsi="맑은 고딕" w:cs="맑은 고딕" w:hint="eastAsia"/>
          <w:b/>
          <w:bCs/>
          <w:sz w:val="24"/>
        </w:rPr>
        <w:t>진행계획 및 역할분담</w:t>
      </w:r>
    </w:p>
    <w:p>
      <w:pPr>
        <w:pStyle w:val="a6"/>
        <w:numPr>
          <w:ilvl w:val="0"/>
          <w:numId w:val="1"/>
        </w:numPr>
        <w:spacing w:before="240" w:line="276" w:lineRule="auto"/>
      </w:pPr>
      <w:r>
        <w:br w:type="page"/>
      </w:r>
    </w:p>
    <w:p>
      <w:pPr>
        <w:spacing w:before="240" w:line="276" w:lineRule="auto"/>
        <w:rPr>
          <w:rFonts w:ascii="맑은 고딕" w:eastAsia="맑은 고딕" w:hAnsi="맑은 고딕" w:cs="맑은 고딕"/>
          <w:b/>
          <w:sz w:val="28"/>
          <w:szCs w:val="28"/>
        </w:rPr>
      </w:pPr>
      <w:r>
        <w:rPr>
          <w:rFonts w:ascii="맑은 고딕" w:eastAsia="맑은 고딕" w:hAnsi="맑은 고딕" w:cs="맑은 고딕"/>
          <w:b/>
          <w:bCs/>
          <w:sz w:val="28"/>
          <w:szCs w:val="28"/>
        </w:rPr>
        <w:t>Ⅰ. 개요</w:t>
      </w:r>
    </w:p>
    <w:p>
      <w:pPr>
        <w:spacing w:before="180" w:after="60"/>
      </w:pPr>
      <w:r>
        <w:rPr>
          <w:rFonts w:ascii="맑은 고딕" w:hAnsi="맑은 고딕" w:eastAsia="맑은 고딕" w:cs="맑은 고딕"/>
          <w:b/>
          <w:color w:val="1F3864"/>
          <w:sz w:val="23"/>
        </w:rPr>
        <w:t>1. 개발 배경 및 필요성</w:t>
      </w:r>
    </w:p>
    <w:p>
      <w:pPr>
        <w:spacing w:before="40" w:after="40" w:line="300" w:lineRule="auto"/>
        <w:ind w:left="240"/>
      </w:pPr>
      <w:r>
        <w:rPr>
          <w:rFonts w:ascii="맑은 고딕" w:hAnsi="맑은 고딕" w:eastAsia="맑은 고딕" w:cs="맑은 고딕"/>
          <w:b w:val="0"/>
          <w:sz w:val="20"/>
        </w:rPr>
        <w:t>· 밀폐공간(맨홀·정화조·저장탱크·집수정·냉동창고 등)의 질식·중독 사고는 산업재해 중 치명률이 가장 높은 재해 유형이다. 고용노동부에 따르면 최근 10년간(2014~2023년) 밀폐공간 질식재해는 총 174건 발생하여 재해자 338명 중 136명이 사망하였다.</w:t>
      </w:r>
    </w:p>
    <w:p>
      <w:pPr>
        <w:spacing w:before="40" w:after="40" w:line="300" w:lineRule="auto"/>
        <w:ind w:left="240"/>
      </w:pPr>
      <w:r>
        <w:rPr>
          <w:rFonts w:ascii="맑은 고딕" w:hAnsi="맑은 고딕" w:eastAsia="맑은 고딕" w:cs="맑은 고딕"/>
          <w:b w:val="0"/>
          <w:sz w:val="20"/>
        </w:rPr>
        <w:t>· 이는 재해자 2명 중 1명이 사망하는 수준(치명률 약 42%)으로, 일반 사고성 재해의 사망률(약 1%)보다 40배 이상 높다. 특히 봄·여름철 오폐수처리·정화조·맨홀 작업에서 집중적으로 발생한다.</w:t>
      </w:r>
    </w:p>
    <w:p>
      <w:pPr>
        <w:spacing w:before="40" w:after="40" w:line="300" w:lineRule="auto"/>
        <w:ind w:left="240"/>
      </w:pPr>
      <w:r>
        <w:rPr>
          <w:rFonts w:ascii="맑은 고딕" w:hAnsi="맑은 고딕" w:eastAsia="맑은 고딕" w:cs="맑은 고딕"/>
          <w:b w:val="0"/>
          <w:sz w:val="20"/>
        </w:rPr>
        <w:t>· 중대재해처벌법 시행으로 연간 3명 이상의 질식재해가 발생하면 중대산업재해에 해당하여 예방 시스템 수요가 급증하고 있다. 그러나 검찰에 송치된 밀폐공간 중대재해의 대부분(85.7%)이 산소·유해가스 농도를 측정하지 않아 발생하여, 상시적·자동적 감시 수단의 필요성이 크다.</w:t>
      </w:r>
    </w:p>
    <w:p>
      <w:pPr>
        <w:spacing w:before="40" w:after="40" w:line="300" w:lineRule="auto"/>
        <w:ind w:left="240"/>
      </w:pPr>
      <w:r>
        <w:rPr>
          <w:rFonts w:ascii="맑은 고딕" w:hAnsi="맑은 고딕" w:eastAsia="맑은 고딕" w:cs="맑은 고딕"/>
          <w:b w:val="0"/>
          <w:sz w:val="20"/>
        </w:rPr>
        <w:t>· 또한 어린이 통학차량·밀폐 보관실 방치 사고가 사회적 문제로 반복 발생하고 있어, 사람의 존재를 자동으로 감지하는 안전장치의 필요성이 대두되고 있다.</w:t>
      </w:r>
    </w:p>
    <w:p>
      <w:pPr>
        <w:spacing w:before="80"/>
      </w:pPr>
      <w:r>
        <w:rPr>
          <w:rFonts w:ascii="맑은 고딕" w:hAnsi="맑은 고딕" w:eastAsia="맑은 고딕" w:cs="맑은 고딕"/>
          <w:b w:val="0"/>
          <w:color w:val="808080"/>
          <w:sz w:val="17"/>
        </w:rPr>
        <w:t>※ 출처 : 고용노동부 밀폐공간 질식재해 예방 보도자료(2024), 경향신문 밀폐공간 중대재해 분석 보도(2025).</w:t>
      </w:r>
    </w:p>
    <w:p>
      <w:pPr>
        <w:spacing w:before="180" w:after="60"/>
      </w:pPr>
      <w:r>
        <w:rPr>
          <w:rFonts w:ascii="맑은 고딕" w:hAnsi="맑은 고딕" w:eastAsia="맑은 고딕" w:cs="맑은 고딕"/>
          <w:b/>
          <w:color w:val="1F3864"/>
          <w:sz w:val="23"/>
        </w:rPr>
        <w:t>2. 기존 감지 방식의 한계</w:t>
      </w:r>
    </w:p>
    <w:p>
      <w:pPr>
        <w:spacing w:before="40" w:after="40" w:line="300" w:lineRule="auto"/>
        <w:ind w:left="240"/>
      </w:pPr>
      <w:r>
        <w:rPr>
          <w:rFonts w:ascii="맑은 고딕" w:hAnsi="맑은 고딕" w:eastAsia="맑은 고딕" w:cs="맑은 고딕"/>
          <w:b w:val="0"/>
          <w:sz w:val="20"/>
        </w:rPr>
        <w:t>· 가스감지기 : 공기질만 측정하여 사람의 존재 여부를 알지 못한다.</w:t>
      </w:r>
    </w:p>
    <w:p>
      <w:pPr>
        <w:spacing w:before="40" w:after="40" w:line="300" w:lineRule="auto"/>
        <w:ind w:left="240"/>
      </w:pPr>
      <w:r>
        <w:rPr>
          <w:rFonts w:ascii="맑은 고딕" w:hAnsi="맑은 고딕" w:eastAsia="맑은 고딕" w:cs="맑은 고딕"/>
          <w:b w:val="0"/>
          <w:sz w:val="20"/>
        </w:rPr>
        <w:t>· CCTV : 정지한 사람의 판별이 어렵고 사생활 침해 문제가 있다.</w:t>
      </w:r>
    </w:p>
    <w:p>
      <w:pPr>
        <w:spacing w:before="40" w:after="40" w:line="300" w:lineRule="auto"/>
        <w:ind w:left="240"/>
      </w:pPr>
      <w:r>
        <w:rPr>
          <w:rFonts w:ascii="맑은 고딕" w:hAnsi="맑은 고딕" w:eastAsia="맑은 고딕" w:cs="맑은 고딕"/>
          <w:b w:val="0"/>
          <w:sz w:val="20"/>
        </w:rPr>
        <w:t>· PIR 센서 : 대상이 움직일 때만 감지가 가능하여, 쓰러져 움직이지 못하는 가장 위험한 상태의 사람을 놓친다.</w:t>
      </w:r>
    </w:p>
    <w:p>
      <w:pPr>
        <w:spacing w:before="180" w:after="60"/>
      </w:pPr>
      <w:r>
        <w:rPr>
          <w:rFonts w:ascii="맑은 고딕" w:hAnsi="맑은 고딕" w:eastAsia="맑은 고딕" w:cs="맑은 고딕"/>
          <w:b/>
          <w:color w:val="1F3864"/>
          <w:sz w:val="23"/>
        </w:rPr>
        <w:t>3. 프로젝트 개요</w:t>
      </w:r>
    </w:p>
    <w:p>
      <w:pPr>
        <w:spacing w:before="40" w:after="40" w:line="300" w:lineRule="auto"/>
        <w:ind w:left="240"/>
      </w:pPr>
      <w:r>
        <w:rPr>
          <w:rFonts w:ascii="맑은 고딕" w:hAnsi="맑은 고딕" w:eastAsia="맑은 고딕" w:cs="맑은 고딕"/>
          <w:b w:val="0"/>
          <w:sz w:val="20"/>
        </w:rPr>
        <w:t>· SafeNest는 카메라 없이 밀리미터파(mmWave) 레이더로 정지한 사람의 호흡·미세움직임까지 감지하고, 공기질(CO2) 등 다중 센서를 융합하여 위험도를 자동 산출·경보하는 프라이버시 보호형 엣지 임베디드 안전 시스템이다.</w:t>
      </w:r>
    </w:p>
    <w:p>
      <w:pPr>
        <w:spacing w:before="180" w:after="60"/>
      </w:pPr>
      <w:r>
        <w:rPr>
          <w:rFonts w:ascii="맑은 고딕" w:hAnsi="맑은 고딕" w:eastAsia="맑은 고딕" w:cs="맑은 고딕"/>
          <w:b/>
          <w:color w:val="1F3864"/>
          <w:sz w:val="23"/>
        </w:rPr>
        <w:t>4. 개발 목표</w:t>
      </w:r>
    </w:p>
    <w:p>
      <w:pPr>
        <w:spacing w:before="40" w:after="40" w:line="300" w:lineRule="auto"/>
        <w:ind w:left="240"/>
      </w:pPr>
      <w:r>
        <w:rPr>
          <w:rFonts w:ascii="맑은 고딕" w:hAnsi="맑은 고딕" w:eastAsia="맑은 고딕" w:cs="맑은 고딕"/>
          <w:b w:val="0"/>
          <w:sz w:val="20"/>
        </w:rPr>
        <w:t>· ① 정지 상태의 인체를 비영상 방식으로 안정적으로 감지한다.</w:t>
      </w:r>
    </w:p>
    <w:p>
      <w:pPr>
        <w:spacing w:before="40" w:after="40" w:line="300" w:lineRule="auto"/>
        <w:ind w:left="240"/>
      </w:pPr>
      <w:r>
        <w:rPr>
          <w:rFonts w:ascii="맑은 고딕" w:hAnsi="맑은 고딕" w:eastAsia="맑은 고딕" w:cs="맑은 고딕"/>
          <w:b w:val="0"/>
          <w:sz w:val="20"/>
        </w:rPr>
        <w:t>· ② 다중 센서 융합 위험도 점수화를 통해 정상·주의·위험 3단계로 자동 판단한다.</w:t>
      </w:r>
    </w:p>
    <w:p>
      <w:pPr>
        <w:spacing w:before="40" w:after="40" w:line="300" w:lineRule="auto"/>
        <w:ind w:left="240"/>
      </w:pPr>
      <w:r>
        <w:rPr>
          <w:rFonts w:ascii="맑은 고딕" w:hAnsi="맑은 고딕" w:eastAsia="맑은 고딕" w:cs="맑은 고딕"/>
          <w:b w:val="0"/>
          <w:sz w:val="20"/>
        </w:rPr>
        <w:t>· ③ 위험 감지 시 현장 경보·관리자 알림·이벤트 로그를 자동 수행한다.</w:t>
      </w:r>
    </w:p>
    <w:p>
      <w:pPr>
        <w:spacing w:before="40" w:after="40" w:line="300" w:lineRule="auto"/>
        <w:ind w:left="240"/>
      </w:pPr>
      <w:r>
        <w:rPr>
          <w:rFonts w:ascii="맑은 고딕" w:hAnsi="맑은 고딕" w:eastAsia="맑은 고딕" w:cs="맑은 고딕"/>
          <w:b w:val="0"/>
          <w:sz w:val="20"/>
        </w:rPr>
        <w:t>· ④ 라즈베리파이 단일 노드 기반 최소기능제품(MVP)을 우선 완성하고 다중 노드로 확장 가능한 구조를 갖춘다.</w:t>
      </w:r>
    </w:p>
    <w:p>
      <w:pPr>
        <w:autoSpaceDE/>
        <w:autoSpaceDN/>
        <w:widowControl/>
        <w:wordWrap/>
      </w:pPr>
      <w:r>
        <w:br w:type="page"/>
      </w:r>
    </w:p>
    <w:p>
      <w:pPr>
        <w:rPr>
          <w:rFonts w:ascii="맑은 고딕" w:eastAsia="맑은 고딕" w:hAnsi="맑은 고딕" w:cs="맑은 고딕"/>
          <w:b/>
          <w:bCs/>
          <w:sz w:val="28"/>
          <w:szCs w:val="28"/>
        </w:rPr>
      </w:pPr>
      <w:r>
        <w:rPr>
          <w:rFonts w:ascii="맑은 고딕" w:eastAsia="맑은 고딕" w:hAnsi="맑은 고딕" w:cs="맑은 고딕"/>
          <w:b/>
          <w:bCs/>
          <w:sz w:val="28"/>
          <w:szCs w:val="28"/>
        </w:rPr>
        <w:t>Ⅱ. 세부내용 및 구성</w:t>
      </w:r>
    </w:p>
    <w:p>
      <w:pPr>
        <w:spacing w:before="180" w:after="60"/>
      </w:pPr>
      <w:r>
        <w:rPr>
          <w:rFonts w:ascii="맑은 고딕" w:hAnsi="맑은 고딕" w:eastAsia="맑은 고딕" w:cs="맑은 고딕"/>
          <w:b/>
          <w:color w:val="1F3864"/>
          <w:sz w:val="23"/>
        </w:rPr>
        <w:t>1. 시스템 구성 (감지 – 처리 – 대응 3계층)</w:t>
      </w:r>
    </w:p>
    <w:p>
      <w:pPr>
        <w:spacing w:before="40" w:after="40" w:line="300" w:lineRule="auto"/>
        <w:ind w:left="240"/>
      </w:pPr>
      <w:r>
        <w:rPr>
          <w:rFonts w:ascii="맑은 고딕" w:hAnsi="맑은 고딕" w:eastAsia="맑은 고딕" w:cs="맑은 고딕"/>
          <w:b w:val="0"/>
          <w:sz w:val="20"/>
        </w:rPr>
        <w:t>· 감지 계층 : 밀폐공간 내부에 설치되는 센서 노드(mmWave 레이더, CO2 센서, PIR)가 인체와 공기질을 실시간 측정한다.</w:t>
      </w:r>
    </w:p>
    <w:p>
      <w:pPr>
        <w:spacing w:before="40" w:after="40" w:line="300" w:lineRule="auto"/>
        <w:ind w:left="240"/>
      </w:pPr>
      <w:r>
        <w:rPr>
          <w:rFonts w:ascii="맑은 고딕" w:hAnsi="맑은 고딕" w:eastAsia="맑은 고딕" w:cs="맑은 고딕"/>
          <w:b w:val="0"/>
          <w:sz w:val="20"/>
        </w:rPr>
        <w:t>· 처리 계층 : 라즈베리파이 게이트웨이가 센서 데이터를 수집·융합하여 위험도를 산출하고 3단계로 판단한다.</w:t>
      </w:r>
    </w:p>
    <w:p>
      <w:pPr>
        <w:spacing w:before="40" w:after="40" w:line="300" w:lineRule="auto"/>
        <w:ind w:left="240"/>
      </w:pPr>
      <w:r>
        <w:rPr>
          <w:rFonts w:ascii="맑은 고딕" w:hAnsi="맑은 고딕" w:eastAsia="맑은 고딕" w:cs="맑은 고딕"/>
          <w:b w:val="0"/>
          <w:sz w:val="20"/>
        </w:rPr>
        <w:t>· 대응 계층 : 부저·경광등·디스플레이의 현장 경보, 관리자 대시보드 및 원격 알림, 이벤트 로그 저장을 수행한다.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2566215"/>
            <wp:docPr id="1026" name="Picture 10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566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 w:cs="맑은 고딕"/>
          <w:b w:val="0"/>
          <w:color w:val="595959"/>
          <w:sz w:val="18"/>
        </w:rPr>
        <w:t>[그림 1] SafeNest 시스템 3계층 구성도</w:t>
      </w:r>
    </w:p>
    <w:p>
      <w:pPr>
        <w:spacing w:before="180" w:after="60"/>
      </w:pPr>
      <w:r>
        <w:rPr>
          <w:rFonts w:ascii="맑은 고딕" w:hAnsi="맑은 고딕" w:eastAsia="맑은 고딕" w:cs="맑은 고딕"/>
          <w:b/>
          <w:color w:val="1F3864"/>
          <w:sz w:val="23"/>
        </w:rPr>
        <w:t>2. 하드웨어 구성</w:t>
      </w:r>
    </w:p>
    <w:p>
      <w:pPr>
        <w:spacing w:before="40" w:after="40" w:line="300" w:lineRule="auto"/>
        <w:ind w:left="240"/>
      </w:pPr>
      <w:r>
        <w:rPr>
          <w:rFonts w:ascii="맑은 고딕" w:hAnsi="맑은 고딕" w:eastAsia="맑은 고딕" w:cs="맑은 고딕"/>
          <w:b w:val="0"/>
          <w:sz w:val="20"/>
        </w:rPr>
        <w:t>· 라즈베리파이 단일 노드에 센서를 직접 연결하는 MVP 구조로, 각 센서는 UART·I2C·GPIO로 연결된다.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152"/>
            <w:shd w:val="clear" w:fill="EAEAEA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구분</w:t>
            </w:r>
          </w:p>
        </w:tc>
        <w:tc>
          <w:tcPr>
            <w:tcW w:type="dxa" w:w="2304"/>
            <w:shd w:val="clear" w:fill="EAEAEA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부품</w:t>
            </w:r>
          </w:p>
        </w:tc>
        <w:tc>
          <w:tcPr>
            <w:tcW w:type="dxa" w:w="2448"/>
            <w:shd w:val="clear" w:fill="EAEAEA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주요 사양</w:t>
            </w:r>
          </w:p>
        </w:tc>
        <w:tc>
          <w:tcPr>
            <w:tcW w:type="dxa" w:w="3312"/>
            <w:shd w:val="clear" w:fill="EAEAEA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역할</w:t>
            </w:r>
          </w:p>
        </w:tc>
      </w:tr>
      <w:tr>
        <w:tc>
          <w:tcPr>
            <w:tcW w:type="dxa" w:w="115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제어부</w:t>
            </w:r>
          </w:p>
        </w:tc>
        <w:tc>
          <w:tcPr>
            <w:tcW w:type="dxa" w:w="2304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Raspberry Pi 5 (8GB)</w:t>
            </w:r>
          </w:p>
        </w:tc>
        <w:tc>
          <w:tcPr>
            <w:tcW w:type="dxa" w:w="2448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쿼드코어·8GB RAM</w:t>
            </w:r>
          </w:p>
        </w:tc>
        <w:tc>
          <w:tcPr>
            <w:tcW w:type="dxa" w:w="3312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데이터 수집·연산·경보 제어·대시보드</w:t>
            </w:r>
          </w:p>
        </w:tc>
      </w:tr>
      <w:tr>
        <w:tc>
          <w:tcPr>
            <w:tcW w:type="dxa" w:w="115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생체 감지</w:t>
            </w:r>
          </w:p>
        </w:tc>
        <w:tc>
          <w:tcPr>
            <w:tcW w:type="dxa" w:w="2304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MR60BHA1</w:t>
            </w:r>
          </w:p>
        </w:tc>
        <w:tc>
          <w:tcPr>
            <w:tcW w:type="dxa" w:w="2448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60GHz, 호흡·재실, ~1.5m</w:t>
            </w:r>
          </w:p>
        </w:tc>
        <w:tc>
          <w:tcPr>
            <w:tcW w:type="dxa" w:w="3312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정지 인체 호흡·재실 감지 (핵심)</w:t>
            </w:r>
          </w:p>
        </w:tc>
      </w:tr>
      <w:tr>
        <w:tc>
          <w:tcPr>
            <w:tcW w:type="dxa" w:w="115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공기질</w:t>
            </w:r>
          </w:p>
        </w:tc>
        <w:tc>
          <w:tcPr>
            <w:tcW w:type="dxa" w:w="2304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SCD40</w:t>
            </w:r>
          </w:p>
        </w:tc>
        <w:tc>
          <w:tcPr>
            <w:tcW w:type="dxa" w:w="2448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NDIR CO2, I2C</w:t>
            </w:r>
          </w:p>
        </w:tc>
        <w:tc>
          <w:tcPr>
            <w:tcW w:type="dxa" w:w="3312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질식 위험 판단</w:t>
            </w:r>
          </w:p>
        </w:tc>
      </w:tr>
      <w:tr>
        <w:tc>
          <w:tcPr>
            <w:tcW w:type="dxa" w:w="115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움직임</w:t>
            </w:r>
          </w:p>
        </w:tc>
        <w:tc>
          <w:tcPr>
            <w:tcW w:type="dxa" w:w="2304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PIR (HC-SR501)</w:t>
            </w:r>
          </w:p>
        </w:tc>
        <w:tc>
          <w:tcPr>
            <w:tcW w:type="dxa" w:w="2448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최대 7m, 감도 조절</w:t>
            </w:r>
          </w:p>
        </w:tc>
        <w:tc>
          <w:tcPr>
            <w:tcW w:type="dxa" w:w="3312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움직임 감지·교차검증</w:t>
            </w:r>
          </w:p>
        </w:tc>
      </w:tr>
      <w:tr>
        <w:tc>
          <w:tcPr>
            <w:tcW w:type="dxa" w:w="115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경보</w:t>
            </w:r>
          </w:p>
        </w:tc>
        <w:tc>
          <w:tcPr>
            <w:tcW w:type="dxa" w:w="2304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부저 + 외부 디스플레이</w:t>
            </w:r>
          </w:p>
        </w:tc>
        <w:tc>
          <w:tcPr>
            <w:tcW w:type="dxa" w:w="2448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GPIO / HDMI</w:t>
            </w:r>
          </w:p>
        </w:tc>
        <w:tc>
          <w:tcPr>
            <w:tcW w:type="dxa" w:w="3312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청각·시각 현장 경보</w:t>
            </w:r>
          </w:p>
        </w:tc>
      </w:tr>
      <w:tr>
        <w:tc>
          <w:tcPr>
            <w:tcW w:type="dxa" w:w="115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확장</w:t>
            </w:r>
          </w:p>
        </w:tc>
        <w:tc>
          <w:tcPr>
            <w:tcW w:type="dxa" w:w="2304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열화상 MLX90640</w:t>
            </w:r>
          </w:p>
        </w:tc>
        <w:tc>
          <w:tcPr>
            <w:tcW w:type="dxa" w:w="2448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32×24 IR array, I2C</w:t>
            </w:r>
          </w:p>
        </w:tc>
        <w:tc>
          <w:tcPr>
            <w:tcW w:type="dxa" w:w="3312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인체 열분포 교차검증</w:t>
            </w:r>
          </w:p>
        </w:tc>
      </w:tr>
    </w:tbl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2754186"/>
            <wp:docPr id="1027" name="Picture 10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h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5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 w:cs="맑은 고딕"/>
          <w:b w:val="0"/>
          <w:color w:val="595959"/>
          <w:sz w:val="18"/>
        </w:rPr>
        <w:t>[그림 2] 하드웨어 구성 블록도</w:t>
      </w:r>
    </w:p>
    <w:p>
      <w:pPr>
        <w:spacing w:before="180" w:after="60"/>
      </w:pPr>
      <w:r>
        <w:rPr>
          <w:rFonts w:ascii="맑은 고딕" w:hAnsi="맑은 고딕" w:eastAsia="맑은 고딕" w:cs="맑은 고딕"/>
          <w:b/>
          <w:color w:val="1F3864"/>
          <w:sz w:val="23"/>
        </w:rPr>
        <w:t>3. 소프트웨어 구성</w:t>
      </w:r>
    </w:p>
    <w:p>
      <w:pPr>
        <w:spacing w:before="40" w:after="40" w:line="300" w:lineRule="auto"/>
        <w:ind w:left="240"/>
      </w:pPr>
      <w:r>
        <w:rPr>
          <w:rFonts w:ascii="맑은 고딕" w:hAnsi="맑은 고딕" w:eastAsia="맑은 고딕" w:cs="맑은 고딕"/>
          <w:b w:val="0"/>
          <w:sz w:val="20"/>
        </w:rPr>
        <w:t>· 게이트웨이 : Python(FastAPI) 기반 서버가 센서 데이터를 수집·처리하고 위험도를 연산한다.</w:t>
      </w:r>
    </w:p>
    <w:p>
      <w:pPr>
        <w:spacing w:before="40" w:after="40" w:line="300" w:lineRule="auto"/>
        <w:ind w:left="240"/>
      </w:pPr>
      <w:r>
        <w:rPr>
          <w:rFonts w:ascii="맑은 고딕" w:hAnsi="맑은 고딕" w:eastAsia="맑은 고딕" w:cs="맑은 고딕"/>
          <w:b w:val="0"/>
          <w:sz w:val="20"/>
        </w:rPr>
        <w:t>· 데이터 저장 : SQLite 기반 로그 DB에 시각별 센서값·위험도·경보 이벤트를 자동 기록한다.</w:t>
      </w:r>
    </w:p>
    <w:p>
      <w:pPr>
        <w:spacing w:before="40" w:after="40" w:line="300" w:lineRule="auto"/>
        <w:ind w:left="240"/>
      </w:pPr>
      <w:r>
        <w:rPr>
          <w:rFonts w:ascii="맑은 고딕" w:hAnsi="맑은 고딕" w:eastAsia="맑은 고딕" w:cs="맑은 고딕"/>
          <w:b w:val="0"/>
          <w:sz w:val="20"/>
        </w:rPr>
        <w:t>· 대시보드 : 웹(Chart.js) 화면에 위험도·호흡수·CO2 농도를 실시간 그래프로 표시한다.</w:t>
      </w:r>
    </w:p>
    <w:p>
      <w:pPr>
        <w:spacing w:before="180" w:after="60"/>
      </w:pPr>
      <w:r>
        <w:rPr>
          <w:rFonts w:ascii="맑은 고딕" w:hAnsi="맑은 고딕" w:eastAsia="맑은 고딕" w:cs="맑은 고딕"/>
          <w:b/>
          <w:color w:val="1F3864"/>
          <w:sz w:val="23"/>
        </w:rPr>
        <w:t>4. 핵심 알고리즘 – 위험도 점수화</w:t>
      </w:r>
    </w:p>
    <w:p>
      <w:pPr>
        <w:spacing w:before="40" w:after="40" w:line="300" w:lineRule="auto"/>
        <w:ind w:left="240"/>
      </w:pPr>
      <w:r>
        <w:rPr>
          <w:rFonts w:ascii="맑은 고딕" w:hAnsi="맑은 고딕" w:eastAsia="맑은 고딕" w:cs="맑은 고딕"/>
          <w:b w:val="0"/>
          <w:sz w:val="20"/>
        </w:rPr>
        <w:t>· 위험도 R은 인체 존재, 밀폐 공기질, 움직임 이상 등 여러 지표를 가중 합산하여 산출하며, 단순 임계값 판정이 아니라 상황을 종합 판단한다. 산출된 R은 임계값에 따라 정상·주의·위험 3단계로 분류된다.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4513"/>
        <w:gridCol w:w="4513"/>
      </w:tblGrid>
      <w:tr>
        <w:tc>
          <w:tcPr>
            <w:tcW w:type="dxa" w:w="5184"/>
            <w:shd w:val="clear" w:fill="EAEAEA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>상황</w:t>
            </w:r>
          </w:p>
        </w:tc>
        <w:tc>
          <w:tcPr>
            <w:tcW w:type="dxa" w:w="4032"/>
            <w:shd w:val="clear" w:fill="EAEAEA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>판단</w:t>
            </w:r>
          </w:p>
        </w:tc>
      </w:tr>
      <w:tr>
        <w:tc>
          <w:tcPr>
            <w:tcW w:type="dxa" w:w="5184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문 닫힘 + 재실 + CO2 상승</w:t>
            </w:r>
          </w:p>
        </w:tc>
        <w:tc>
          <w:tcPr>
            <w:tcW w:type="dxa" w:w="403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위험 (즉시 경보)</w:t>
            </w:r>
          </w:p>
        </w:tc>
      </w:tr>
      <w:tr>
        <w:tc>
          <w:tcPr>
            <w:tcW w:type="dxa" w:w="5184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입장 후 정지 상태 + 호흡 감지</w:t>
            </w:r>
          </w:p>
        </w:tc>
        <w:tc>
          <w:tcPr>
            <w:tcW w:type="dxa" w:w="403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실신 의심 (다단계 경보)</w:t>
            </w:r>
          </w:p>
        </w:tc>
      </w:tr>
      <w:tr>
        <w:tc>
          <w:tcPr>
            <w:tcW w:type="dxa" w:w="5184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CO 감지 + 재실</w:t>
            </w:r>
          </w:p>
        </w:tc>
        <w:tc>
          <w:tcPr>
            <w:tcW w:type="dxa" w:w="403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위험 (즉시 경보)</w:t>
            </w:r>
          </w:p>
        </w:tc>
      </w:tr>
      <w:tr>
        <w:tc>
          <w:tcPr>
            <w:tcW w:type="dxa" w:w="5184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재실 없음 + CO2 상승</w:t>
            </w:r>
          </w:p>
        </w:tc>
        <w:tc>
          <w:tcPr>
            <w:tcW w:type="dxa" w:w="403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주의 (환기 필요)</w:t>
            </w:r>
          </w:p>
        </w:tc>
      </w:tr>
      <w:tr>
        <w:tc>
          <w:tcPr>
            <w:tcW w:type="dxa" w:w="5184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무태그 인체 감지 (확장)</w:t>
            </w:r>
          </w:p>
        </w:tc>
        <w:tc>
          <w:tcPr>
            <w:tcW w:type="dxa" w:w="403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미등록 인원(아동) 의심</w:t>
            </w:r>
          </w:p>
        </w:tc>
      </w:tr>
    </w:tbl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2141237"/>
            <wp:docPr id="1028" name="Picture 10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is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41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 w:cs="맑은 고딕"/>
          <w:b w:val="0"/>
          <w:color w:val="595959"/>
          <w:sz w:val="18"/>
        </w:rPr>
        <w:t>[그림 3] 위험도 점수화 및 다단계 대응 흐름도</w:t>
      </w:r>
    </w:p>
    <w:p>
      <w:pPr>
        <w:spacing w:before="180" w:after="60"/>
      </w:pPr>
      <w:r>
        <w:rPr>
          <w:rFonts w:ascii="맑은 고딕" w:hAnsi="맑은 고딕" w:eastAsia="맑은 고딕" w:cs="맑은 고딕"/>
          <w:b/>
          <w:color w:val="1F3864"/>
          <w:sz w:val="23"/>
        </w:rPr>
        <w:t>5. 기술적 차별성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2448"/>
            <w:shd w:val="clear" w:fill="EAEAEA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구분</w:t>
            </w:r>
          </w:p>
        </w:tc>
        <w:tc>
          <w:tcPr>
            <w:tcW w:type="dxa" w:w="1728"/>
            <w:shd w:val="clear" w:fill="EAEAEA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가스감지기</w:t>
            </w:r>
          </w:p>
        </w:tc>
        <w:tc>
          <w:tcPr>
            <w:tcW w:type="dxa" w:w="1728"/>
            <w:shd w:val="clear" w:fill="EAEAEA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CCTV</w:t>
            </w:r>
          </w:p>
        </w:tc>
        <w:tc>
          <w:tcPr>
            <w:tcW w:type="dxa" w:w="1728"/>
            <w:shd w:val="clear" w:fill="EAEAEA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스마트워치</w:t>
            </w:r>
          </w:p>
        </w:tc>
        <w:tc>
          <w:tcPr>
            <w:tcW w:type="dxa" w:w="1584"/>
            <w:shd w:val="clear" w:fill="EAEAEA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SafeNest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정지 인체 감지</w:t>
            </w:r>
          </w:p>
        </w:tc>
        <w:tc>
          <w:tcPr>
            <w:tcW w:type="dxa" w:w="1728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X</w:t>
            </w:r>
          </w:p>
        </w:tc>
        <w:tc>
          <w:tcPr>
            <w:tcW w:type="dxa" w:w="1728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△</w:t>
            </w:r>
          </w:p>
        </w:tc>
        <w:tc>
          <w:tcPr>
            <w:tcW w:type="dxa" w:w="1728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X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O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사생활 보호</w:t>
            </w:r>
          </w:p>
        </w:tc>
        <w:tc>
          <w:tcPr>
            <w:tcW w:type="dxa" w:w="1728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O</w:t>
            </w:r>
          </w:p>
        </w:tc>
        <w:tc>
          <w:tcPr>
            <w:tcW w:type="dxa" w:w="1728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X</w:t>
            </w:r>
          </w:p>
        </w:tc>
        <w:tc>
          <w:tcPr>
            <w:tcW w:type="dxa" w:w="1728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O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O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다중센서 융합 판단</w:t>
            </w:r>
          </w:p>
        </w:tc>
        <w:tc>
          <w:tcPr>
            <w:tcW w:type="dxa" w:w="1728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X</w:t>
            </w:r>
          </w:p>
        </w:tc>
        <w:tc>
          <w:tcPr>
            <w:tcW w:type="dxa" w:w="1728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X</w:t>
            </w:r>
          </w:p>
        </w:tc>
        <w:tc>
          <w:tcPr>
            <w:tcW w:type="dxa" w:w="1728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△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O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착용 불필요</w:t>
            </w:r>
          </w:p>
        </w:tc>
        <w:tc>
          <w:tcPr>
            <w:tcW w:type="dxa" w:w="1728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O</w:t>
            </w:r>
          </w:p>
        </w:tc>
        <w:tc>
          <w:tcPr>
            <w:tcW w:type="dxa" w:w="1728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O</w:t>
            </w:r>
          </w:p>
        </w:tc>
        <w:tc>
          <w:tcPr>
            <w:tcW w:type="dxa" w:w="1728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X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O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엣지 자체 판단</w:t>
            </w:r>
          </w:p>
        </w:tc>
        <w:tc>
          <w:tcPr>
            <w:tcW w:type="dxa" w:w="1728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△</w:t>
            </w:r>
          </w:p>
        </w:tc>
        <w:tc>
          <w:tcPr>
            <w:tcW w:type="dxa" w:w="1728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X</w:t>
            </w:r>
          </w:p>
        </w:tc>
        <w:tc>
          <w:tcPr>
            <w:tcW w:type="dxa" w:w="1728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△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O</w:t>
            </w:r>
          </w:p>
        </w:tc>
      </w:tr>
    </w:tbl>
    <w:p>
      <w:pPr>
        <w:spacing w:before="40" w:after="40" w:line="300" w:lineRule="auto"/>
        <w:ind w:left="240"/>
      </w:pPr>
      <w:r>
        <w:rPr>
          <w:rFonts w:ascii="맑은 고딕" w:hAnsi="맑은 고딕" w:eastAsia="맑은 고딕" w:cs="맑은 고딕"/>
          <w:b w:val="0"/>
          <w:sz w:val="20"/>
        </w:rPr>
        <w:t>· mmWave 레이더로 정지 상태의 호흡까지 감지하는 점, 비영상 기반으로 사생활을 보호하는 점, 다중 센서를 융합해 위험도를 점수화하는 점, 클라우드 없이 기기에서 판단하는 엣지 처리가 핵심 차별점이다.</w:t>
      </w:r>
    </w:p>
    <w:p>
      <w:pPr>
        <w:autoSpaceDE/>
        <w:autoSpaceDN/>
        <w:widowControl/>
        <w:wordWrap/>
        <w:rPr>
          <w:rFonts w:ascii="맑은 고딕" w:eastAsia="맑은 고딕" w:hAnsi="맑은 고딕" w:cs="맑은 고딕"/>
          <w:b/>
          <w:bCs/>
          <w:sz w:val="28"/>
          <w:szCs w:val="28"/>
        </w:rPr>
      </w:pPr>
      <w:r>
        <w:rPr>
          <w:rFonts w:ascii="맑은 고딕" w:eastAsia="맑은 고딕" w:hAnsi="맑은 고딕" w:cs="맑은 고딕"/>
          <w:b/>
          <w:bCs/>
          <w:sz w:val="28"/>
          <w:szCs w:val="28"/>
        </w:rPr>
        <w:br w:type="page"/>
      </w:r>
    </w:p>
    <w:p>
      <w:pPr>
        <w:rPr>
          <w:rFonts w:ascii="맑은 고딕" w:eastAsia="맑은 고딕" w:hAnsi="맑은 고딕" w:cs="맑은 고딕"/>
          <w:b/>
          <w:bCs/>
          <w:sz w:val="28"/>
          <w:szCs w:val="28"/>
        </w:rPr>
      </w:pPr>
      <w:r>
        <w:rPr>
          <w:rFonts w:ascii="맑은 고딕" w:eastAsia="맑은 고딕" w:hAnsi="맑은 고딕" w:cs="맑은 고딕"/>
          <w:b/>
          <w:bCs/>
          <w:sz w:val="28"/>
          <w:szCs w:val="28"/>
        </w:rPr>
        <w:t>Ⅲ. 기대효과 및 활용방안</w:t>
      </w:r>
    </w:p>
    <w:p>
      <w:pPr>
        <w:spacing w:before="180" w:after="60"/>
      </w:pPr>
      <w:r>
        <w:rPr>
          <w:rFonts w:ascii="맑은 고딕" w:hAnsi="맑은 고딕" w:eastAsia="맑은 고딕" w:cs="맑은 고딕"/>
          <w:b/>
          <w:color w:val="1F3864"/>
          <w:sz w:val="23"/>
        </w:rPr>
        <w:t>1. 산업 안전</w:t>
      </w:r>
    </w:p>
    <w:p>
      <w:pPr>
        <w:spacing w:before="40" w:after="40" w:line="300" w:lineRule="auto"/>
        <w:ind w:left="240"/>
      </w:pPr>
      <w:r>
        <w:rPr>
          <w:rFonts w:ascii="맑은 고딕" w:hAnsi="맑은 고딕" w:eastAsia="맑은 고딕" w:cs="맑은 고딕"/>
          <w:b w:val="0"/>
          <w:sz w:val="20"/>
        </w:rPr>
        <w:t>· 밀폐공간 작업자의 질식·중독 사고를 상시 자동 감시하여 조기에 경보함으로써 중대재해처벌법 대응 및 인명 피해 예방 수단으로 활용한다.</w:t>
      </w:r>
    </w:p>
    <w:p>
      <w:pPr>
        <w:spacing w:before="180" w:after="60"/>
      </w:pPr>
      <w:r>
        <w:rPr>
          <w:rFonts w:ascii="맑은 고딕" w:hAnsi="맑은 고딕" w:eastAsia="맑은 고딕" w:cs="맑은 고딕"/>
          <w:b/>
          <w:color w:val="1F3864"/>
          <w:sz w:val="23"/>
        </w:rPr>
        <w:t>2. 아동 보호</w:t>
      </w:r>
    </w:p>
    <w:p>
      <w:pPr>
        <w:spacing w:before="40" w:after="40" w:line="300" w:lineRule="auto"/>
        <w:ind w:left="240"/>
      </w:pPr>
      <w:r>
        <w:rPr>
          <w:rFonts w:ascii="맑은 고딕" w:hAnsi="맑은 고딕" w:eastAsia="맑은 고딕" w:cs="맑은 고딕"/>
          <w:b w:val="0"/>
          <w:sz w:val="20"/>
        </w:rPr>
        <w:t>· 통학차량·보관실 등에 방치된 아동을 비영상으로 감지하여 방치 사고를 예방한다.</w:t>
      </w:r>
    </w:p>
    <w:p>
      <w:pPr>
        <w:spacing w:before="180" w:after="60"/>
      </w:pPr>
      <w:r>
        <w:rPr>
          <w:rFonts w:ascii="맑은 고딕" w:hAnsi="맑은 고딕" w:eastAsia="맑은 고딕" w:cs="맑은 고딕"/>
          <w:b/>
          <w:color w:val="1F3864"/>
          <w:sz w:val="23"/>
        </w:rPr>
        <w:t>3. 확장성</w:t>
      </w:r>
    </w:p>
    <w:p>
      <w:pPr>
        <w:spacing w:before="40" w:after="40" w:line="300" w:lineRule="auto"/>
        <w:ind w:left="240"/>
      </w:pPr>
      <w:r>
        <w:rPr>
          <w:rFonts w:ascii="맑은 고딕" w:hAnsi="맑은 고딕" w:eastAsia="맑은 고딕" w:cs="맑은 고딕"/>
          <w:b w:val="0"/>
          <w:sz w:val="20"/>
        </w:rPr>
        <w:t>· 냉동창고·양생공간·재난 현장 인명 탐색 등으로 적용 범위를 확대할 수 있으며, 다중 노드 분산 설치로 대형 공간까지 확장 가능하다.</w:t>
      </w:r>
    </w:p>
    <w:p>
      <w:pPr>
        <w:spacing w:before="180" w:after="60"/>
      </w:pPr>
      <w:r>
        <w:rPr>
          <w:rFonts w:ascii="맑은 고딕" w:hAnsi="맑은 고딕" w:eastAsia="맑은 고딕" w:cs="맑은 고딕"/>
          <w:b/>
          <w:color w:val="1F3864"/>
          <w:sz w:val="23"/>
        </w:rPr>
        <w:t>4. 시장성 및 사업화</w:t>
      </w:r>
    </w:p>
    <w:p>
      <w:pPr>
        <w:spacing w:before="40" w:after="40" w:line="300" w:lineRule="auto"/>
        <w:ind w:left="240"/>
      </w:pPr>
      <w:r>
        <w:rPr>
          <w:rFonts w:ascii="맑은 고딕" w:hAnsi="맑은 고딕" w:eastAsia="맑은 고딕" w:cs="맑은 고딕"/>
          <w:b w:val="0"/>
          <w:sz w:val="20"/>
        </w:rPr>
        <w:t>· 산업안전 의무화 흐름에 따라 B2B 수요가 크며, 저비용 소형 센서 모듈 기반으로 기존 고가 감시 설비 대비 가격 경쟁력을 확보한다. 기존 가스감지기·CCTV를 대체·보완하는 안전 솔루션으로 사업화가 가능하다.</w:t>
      </w:r>
    </w:p>
    <w:p>
      <w:pPr>
        <w:spacing w:before="180" w:after="60"/>
      </w:pPr>
      <w:r>
        <w:rPr>
          <w:rFonts w:ascii="맑은 고딕" w:hAnsi="맑은 고딕" w:eastAsia="맑은 고딕" w:cs="맑은 고딕"/>
          <w:b/>
          <w:color w:val="1F3864"/>
          <w:sz w:val="23"/>
        </w:rPr>
        <w:t>5. 사회적 가치</w:t>
      </w:r>
    </w:p>
    <w:p>
      <w:pPr>
        <w:spacing w:before="40" w:after="40" w:line="300" w:lineRule="auto"/>
        <w:ind w:left="240"/>
      </w:pPr>
      <w:r>
        <w:rPr>
          <w:rFonts w:ascii="맑은 고딕" w:hAnsi="맑은 고딕" w:eastAsia="맑은 고딕" w:cs="맑은 고딕"/>
          <w:b w:val="0"/>
          <w:sz w:val="20"/>
        </w:rPr>
        <w:t>· 사생활을 침해하지 않으면서 생명을 지키는 기술로, 산업재해 취약계층과 아동의 안전에 기여한다.</w:t>
      </w:r>
    </w:p>
    <w:p>
      <w:pPr>
        <w:rPr>
          <w:rFonts w:ascii="맑은 고딕" w:eastAsia="맑은 고딕" w:hAnsi="맑은 고딕" w:cs="맑은 고딕"/>
          <w:b/>
          <w:bCs/>
          <w:sz w:val="28"/>
          <w:szCs w:val="28"/>
        </w:rPr>
      </w:pPr>
      <w:r>
        <w:rPr>
          <w:rFonts w:ascii="맑은 고딕" w:eastAsia="맑은 고딕" w:hAnsi="맑은 고딕" w:cs="맑은 고딕"/>
          <w:b/>
          <w:bCs/>
          <w:sz w:val="28"/>
          <w:szCs w:val="28"/>
        </w:rPr>
        <w:br w:type="page"/>
      </w:r>
    </w:p>
    <w:p>
      <w:pPr>
        <w:spacing w:before="240" w:line="276" w:lineRule="auto"/>
        <w:rPr>
          <w:lang/>
          <w:rFonts w:ascii="맑은 고딕" w:eastAsia="맑은 고딕" w:hAnsi="맑은 고딕" w:cs="맑은 고딕"/>
          <w:b/>
          <w:bCs/>
          <w:sz w:val="28"/>
          <w:szCs w:val="28"/>
          <w:rtl w:val="off"/>
        </w:rPr>
      </w:pPr>
      <w:r>
        <w:rPr>
          <w:rFonts w:ascii="맑은 고딕" w:eastAsia="맑은 고딕" w:hAnsi="맑은 고딕" w:cs="맑은 고딕"/>
          <w:b/>
          <w:bCs/>
          <w:sz w:val="28"/>
          <w:szCs w:val="28"/>
        </w:rPr>
        <w:t xml:space="preserve">Ⅳ. </w:t>
      </w:r>
      <w:r>
        <w:rPr>
          <w:rFonts w:ascii="맑은 고딕" w:eastAsia="맑은 고딕" w:hAnsi="맑은 고딕" w:cs="맑은 고딕" w:hint="eastAsia"/>
          <w:b/>
          <w:bCs/>
          <w:sz w:val="28"/>
          <w:szCs w:val="28"/>
        </w:rPr>
        <w:t>수행방법</w:t>
      </w:r>
    </w:p>
    <w:p>
      <w:pPr>
        <w:spacing w:before="180" w:after="60"/>
      </w:pPr>
      <w:r>
        <w:rPr>
          <w:rFonts w:ascii="맑은 고딕" w:hAnsi="맑은 고딕" w:eastAsia="맑은 고딕" w:cs="맑은 고딕"/>
          <w:b/>
          <w:color w:val="1F3864"/>
          <w:sz w:val="23"/>
        </w:rPr>
        <w:t>1. 개발 방법론</w:t>
      </w:r>
    </w:p>
    <w:p>
      <w:pPr>
        <w:spacing w:before="40" w:after="40" w:line="300" w:lineRule="auto"/>
        <w:ind w:left="240"/>
      </w:pPr>
      <w:r>
        <w:rPr>
          <w:rFonts w:ascii="맑은 고딕" w:hAnsi="맑은 고딕" w:eastAsia="맑은 고딕" w:cs="맑은 고딕"/>
          <w:b w:val="0"/>
          <w:sz w:val="20"/>
        </w:rPr>
        <w:t>· 라즈베리파이 단일 노드에 센서를 직접 연결한 최소기능제품(MVP)을 우선 완성하여 핵심 감지–판단–경보 흐름을 검증한 뒤, 원격 알림 → 무선 다중 노드(MQTT/LoRa) → 출입구·웨어러블 노드 순으로 단계적으로 확장한다.</w:t>
      </w:r>
    </w:p>
    <w:p>
      <w:pPr>
        <w:spacing w:before="180" w:after="60"/>
      </w:pPr>
      <w:r>
        <w:rPr>
          <w:rFonts w:ascii="맑은 고딕" w:hAnsi="맑은 고딕" w:eastAsia="맑은 고딕" w:cs="맑은 고딕"/>
          <w:b/>
          <w:color w:val="1F3864"/>
          <w:sz w:val="23"/>
        </w:rPr>
        <w:t>2. 기술 스택</w:t>
      </w:r>
    </w:p>
    <w:p>
      <w:pPr>
        <w:spacing w:before="40" w:after="40" w:line="300" w:lineRule="auto"/>
        <w:ind w:left="240"/>
      </w:pPr>
      <w:r>
        <w:rPr>
          <w:rFonts w:ascii="맑은 고딕" w:hAnsi="맑은 고딕" w:eastAsia="맑은 고딕" w:cs="맑은 고딕"/>
          <w:b w:val="0"/>
          <w:sz w:val="20"/>
        </w:rPr>
        <w:t>· 하드웨어 : 라즈베리파이 5, mmWave(MR60BHA1)·CO2(SCD40)·PIR 센서, 부저·디스플레이</w:t>
      </w:r>
    </w:p>
    <w:p>
      <w:pPr>
        <w:spacing w:before="40" w:after="40" w:line="300" w:lineRule="auto"/>
        <w:ind w:left="240"/>
      </w:pPr>
      <w:r>
        <w:rPr>
          <w:rFonts w:ascii="맑은 고딕" w:hAnsi="맑은 고딕" w:eastAsia="맑은 고딕" w:cs="맑은 고딕"/>
          <w:b w:val="0"/>
          <w:sz w:val="20"/>
        </w:rPr>
        <w:t>· 소프트웨어 : Python(FastAPI) 게이트웨이, SQLite 로그 DB, 웹 대시보드(Chart.js)</w:t>
      </w:r>
    </w:p>
    <w:p>
      <w:pPr>
        <w:spacing w:before="40" w:after="40" w:line="300" w:lineRule="auto"/>
        <w:ind w:left="240"/>
      </w:pPr>
      <w:r>
        <w:rPr>
          <w:rFonts w:ascii="맑은 고딕" w:hAnsi="맑은 고딕" w:eastAsia="맑은 고딕" w:cs="맑은 고딕"/>
          <w:b w:val="0"/>
          <w:sz w:val="20"/>
        </w:rPr>
        <w:t>· 통신 : 센서 직결(MVP) → MQTT/LoRa 무선 확장</w:t>
      </w:r>
    </w:p>
    <w:p>
      <w:pPr>
        <w:spacing w:before="180" w:after="60"/>
      </w:pPr>
      <w:r>
        <w:rPr>
          <w:rFonts w:ascii="맑은 고딕" w:hAnsi="맑은 고딕" w:eastAsia="맑은 고딕" w:cs="맑은 고딕"/>
          <w:b/>
          <w:color w:val="1F3864"/>
          <w:sz w:val="23"/>
        </w:rPr>
        <w:t>3. 개발 단계</w:t>
      </w:r>
    </w:p>
    <w:p>
      <w:pPr>
        <w:spacing w:before="40" w:after="40" w:line="300" w:lineRule="auto"/>
        <w:ind w:left="240"/>
      </w:pPr>
      <w:r>
        <w:rPr>
          <w:rFonts w:ascii="맑은 고딕" w:hAnsi="맑은 고딕" w:eastAsia="맑은 고딕" w:cs="맑은 고딕"/>
          <w:b w:val="0"/>
          <w:sz w:val="20"/>
        </w:rPr>
        <w:t>· ① 센서별 드라이버 개발 및 단독 검증 (UART/I2C/GPIO 통신 확인)</w:t>
      </w:r>
    </w:p>
    <w:p>
      <w:pPr>
        <w:spacing w:before="40" w:after="40" w:line="300" w:lineRule="auto"/>
        <w:ind w:left="240"/>
      </w:pPr>
      <w:r>
        <w:rPr>
          <w:rFonts w:ascii="맑은 고딕" w:hAnsi="맑은 고딕" w:eastAsia="맑은 고딕" w:cs="맑은 고딕"/>
          <w:b w:val="0"/>
          <w:sz w:val="20"/>
        </w:rPr>
        <w:t>· ② 위험도 산출 알고리즘 구현 및 시나리오별 검증</w:t>
      </w:r>
    </w:p>
    <w:p>
      <w:pPr>
        <w:spacing w:before="40" w:after="40" w:line="300" w:lineRule="auto"/>
        <w:ind w:left="240"/>
      </w:pPr>
      <w:r>
        <w:rPr>
          <w:rFonts w:ascii="맑은 고딕" w:hAnsi="맑은 고딕" w:eastAsia="맑은 고딕" w:cs="맑은 고딕"/>
          <w:b w:val="0"/>
          <w:sz w:val="20"/>
        </w:rPr>
        <w:t>· ③ 시스템 통합 및 대시보드·경보 연동 (MVP 완성)</w:t>
      </w:r>
    </w:p>
    <w:p>
      <w:pPr>
        <w:spacing w:before="40" w:after="40" w:line="300" w:lineRule="auto"/>
        <w:ind w:left="240"/>
      </w:pPr>
      <w:r>
        <w:rPr>
          <w:rFonts w:ascii="맑은 고딕" w:hAnsi="맑은 고딕" w:eastAsia="맑은 고딕" w:cs="맑은 고딕"/>
          <w:b w:val="0"/>
          <w:sz w:val="20"/>
        </w:rPr>
        <w:t>· ④ 시연 시나리오 구성 및 안정화(오탐 억제·예외처리)</w:t>
      </w:r>
    </w:p>
    <w:p>
      <w:pPr>
        <w:spacing w:before="180" w:after="60"/>
      </w:pPr>
      <w:r>
        <w:rPr>
          <w:rFonts w:ascii="맑은 고딕" w:hAnsi="맑은 고딕" w:eastAsia="맑은 고딕" w:cs="맑은 고딕"/>
          <w:b/>
          <w:color w:val="1F3864"/>
          <w:sz w:val="23"/>
        </w:rPr>
        <w:t>4. 시연 및 검증 방법</w:t>
      </w:r>
    </w:p>
    <w:p>
      <w:pPr>
        <w:spacing w:before="40" w:after="40" w:line="300" w:lineRule="auto"/>
        <w:ind w:left="240"/>
      </w:pPr>
      <w:r>
        <w:rPr>
          <w:rFonts w:ascii="맑은 고딕" w:hAnsi="맑은 고딕" w:eastAsia="맑은 고딕" w:cs="맑은 고딕"/>
          <w:b w:val="0"/>
          <w:sz w:val="20"/>
        </w:rPr>
        <w:t>· 통제된 밀폐공간 모형에 정지한 대상을 두고, PIR은 반응하지 않으나 mmWave가 호흡을 감지하는 장면 → CO2 상승 → 다단계 경보 발동 → 로그 기록의 전 과정을 재현하여 검증한다.</w:t>
      </w:r>
    </w:p>
    <w:p>
      <w:pPr>
        <w:spacing w:before="180" w:after="60"/>
      </w:pPr>
      <w:r>
        <w:rPr>
          <w:rFonts w:ascii="맑은 고딕" w:hAnsi="맑은 고딕" w:eastAsia="맑은 고딕" w:cs="맑은 고딕"/>
          <w:b/>
          <w:color w:val="1F3864"/>
          <w:sz w:val="23"/>
        </w:rPr>
        <w:t>5. 예상 문제점 및 대응 방안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4513"/>
        <w:gridCol w:w="4513"/>
      </w:tblGrid>
      <w:tr>
        <w:tc>
          <w:tcPr>
            <w:tcW w:type="dxa" w:w="3744"/>
            <w:shd w:val="clear" w:fill="EAEAEA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>예상 문제점</w:t>
            </w:r>
          </w:p>
        </w:tc>
        <w:tc>
          <w:tcPr>
            <w:tcW w:type="dxa" w:w="5472"/>
            <w:shd w:val="clear" w:fill="EAEAEA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>대응 방안</w:t>
            </w:r>
          </w:p>
        </w:tc>
      </w:tr>
      <w:tr>
        <w:tc>
          <w:tcPr>
            <w:tcW w:type="dxa" w:w="3744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mmWave 생체감지 거리(~1.5m)</w:t>
            </w:r>
          </w:p>
        </w:tc>
        <w:tc>
          <w:tcPr>
            <w:tcW w:type="dxa" w:w="54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밀폐공간 특성상 근접 설치, 다중 노드 분산으로 확장</w:t>
            </w:r>
          </w:p>
        </w:tc>
      </w:tr>
      <w:tr>
        <w:tc>
          <w:tcPr>
            <w:tcW w:type="dxa" w:w="3744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센서 오탐·미탐</w:t>
            </w:r>
          </w:p>
        </w:tc>
        <w:tc>
          <w:tcPr>
            <w:tcW w:type="dxa" w:w="54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다중 센서 융합으로 상호 보완</w:t>
            </w:r>
          </w:p>
        </w:tc>
      </w:tr>
      <w:tr>
        <w:tc>
          <w:tcPr>
            <w:tcW w:type="dxa" w:w="3744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통합 시 센서 오작동</w:t>
            </w:r>
          </w:p>
        </w:tc>
        <w:tc>
          <w:tcPr>
            <w:tcW w:type="dxa" w:w="54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태스크 분리·예외처리·워치독 적용</w:t>
            </w:r>
          </w:p>
        </w:tc>
      </w:tr>
      <w:tr>
        <w:tc>
          <w:tcPr>
            <w:tcW w:type="dxa" w:w="3744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시연 불안정</w:t>
            </w:r>
          </w:p>
        </w:tc>
        <w:tc>
          <w:tcPr>
            <w:tcW w:type="dxa" w:w="54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통제 모형·리허설 반복, 백업 세트 준비</w:t>
            </w:r>
          </w:p>
        </w:tc>
      </w:tr>
      <w:tr>
        <w:tc>
          <w:tcPr>
            <w:tcW w:type="dxa" w:w="3744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사생활 침해 우려</w:t>
            </w:r>
          </w:p>
        </w:tc>
        <w:tc>
          <w:tcPr>
            <w:tcW w:type="dxa" w:w="54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비영상 센서 기반 설계로 원천 차단</w:t>
            </w:r>
          </w:p>
        </w:tc>
      </w:tr>
    </w:tbl>
    <w:p>
      <w:pPr>
        <w:spacing w:before="240" w:line="276" w:lineRule="auto"/>
        <w:rPr>
          <w:rFonts w:ascii="맑은 고딕" w:eastAsia="맑은 고딕" w:hAnsi="맑은 고딕" w:cs="맑은 고딕"/>
          <w:b/>
          <w:bCs/>
          <w:sz w:val="28"/>
          <w:szCs w:val="28"/>
        </w:rPr>
      </w:pPr>
      <w:r>
        <w:rPr>
          <w:rFonts w:ascii="맑은 고딕" w:eastAsia="맑은 고딕" w:hAnsi="맑은 고딕" w:cs="맑은 고딕" w:hint="eastAsia"/>
          <w:b/>
          <w:bCs/>
          <w:sz w:val="28"/>
          <w:szCs w:val="28"/>
        </w:rPr>
        <w:t>Ⅳ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 xml:space="preserve">. 진행계획 및 역할분담 </w:t>
      </w:r>
    </w:p>
    <w:p>
      <w:pPr>
        <w:spacing w:before="240" w:line="276" w:lineRule="auto"/>
        <w:rPr>
          <w:rFonts w:ascii="맑은 고딕" w:eastAsia="맑은 고딕" w:hAnsi="맑은 고딕" w:cs="맑은 고딕"/>
          <w:b/>
          <w:bCs/>
          <w:sz w:val="28"/>
          <w:szCs w:val="28"/>
        </w:rPr>
      </w:pPr>
      <w:r>
        <w:rPr>
          <w:rFonts w:ascii="맑은 고딕" w:eastAsia="맑은 고딕" w:hAnsi="맑은 고딕" w:cs="맑은 고딕" w:hint="eastAsia"/>
          <w:b/>
          <w:bCs/>
          <w:sz w:val="28"/>
          <w:szCs w:val="28"/>
        </w:rPr>
        <w:t>진행계획</w:t>
      </w:r>
    </w:p>
    <w:tbl>
      <w:tblPr>
        <w:tblOverlap w:val="never"/>
        <w:tblW w:w="906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000" w:firstRow="0" w:lastRow="0" w:firstColumn="0" w:lastColumn="0" w:noHBand="0" w:noVBand="0"/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2759"/>
        <w:gridCol w:w="1577"/>
        <w:gridCol w:w="1578"/>
        <w:gridCol w:w="1577"/>
        <w:gridCol w:w="1578"/>
      </w:tblGrid>
      <w:tr>
        <w:trPr>
          <w:trHeight w:val="200" w:hRule="atLeast"/>
        </w:trPr>
        <w:tc>
          <w:tcPr>
            <w:tcW w:w="2759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E5E5E5"/>
            <w:vAlign w:val="center"/>
          </w:tcPr>
          <w:p>
            <w:pPr>
              <w:pStyle w:val="FFFFB9FFFFD9FFFFC5FFFFC1FFFFB1FFFFDB"/>
              <w:wordWrap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추진내용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E5E5E5"/>
            <w:vAlign w:val="center"/>
          </w:tcPr>
          <w:p>
            <w:pPr>
              <w:pStyle w:val="FFFFB9FFFFD9FFFFC5FFFFC1FFFFB1FFFFDB"/>
              <w:wordWrap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6</w:t>
            </w:r>
            <w:r>
              <w:rPr>
                <w:rFonts w:ascii="맑은 고딕" w:eastAsia="맑은 고딕" w:hAnsi="맑은 고딕" w:cs="맑은 고딕" w:hint="eastAsia"/>
              </w:rPr>
              <w:t xml:space="preserve">월 </w:t>
            </w:r>
            <w:r>
              <w:rPr>
                <w:rFonts w:ascii="맑은 고딕" w:eastAsia="맑은 고딕" w:hAnsi="맑은 고딕" w:cs="맑은 고딕" w:hint="eastAsia"/>
              </w:rPr>
              <w:t>3</w:t>
            </w:r>
            <w:r>
              <w:rPr>
                <w:rFonts w:ascii="맑은 고딕" w:eastAsia="맑은 고딕" w:hAnsi="맑은 고딕" w:cs="맑은 고딕" w:hint="eastAsia"/>
              </w:rPr>
              <w:t>주차</w:t>
            </w:r>
          </w:p>
        </w:tc>
        <w:tc>
          <w:tcPr>
            <w:tcW w:w="157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E5E5E5"/>
            <w:vAlign w:val="center"/>
          </w:tcPr>
          <w:p>
            <w:pPr>
              <w:pStyle w:val="FFFFB9FFFFD9FFFFC5FFFFC1FFFFB1FFFFDB"/>
              <w:wordWrap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6</w:t>
            </w:r>
            <w:r>
              <w:rPr>
                <w:rFonts w:ascii="맑은 고딕" w:eastAsia="맑은 고딕" w:hAnsi="맑은 고딕" w:cs="맑은 고딕" w:hint="eastAsia"/>
              </w:rPr>
              <w:t xml:space="preserve">월 </w:t>
            </w:r>
            <w:r>
              <w:rPr>
                <w:rFonts w:ascii="맑은 고딕" w:eastAsia="맑은 고딕" w:hAnsi="맑은 고딕" w:cs="맑은 고딕" w:hint="eastAsia"/>
              </w:rPr>
              <w:t>4</w:t>
            </w:r>
            <w:r>
              <w:rPr>
                <w:rFonts w:ascii="맑은 고딕" w:eastAsia="맑은 고딕" w:hAnsi="맑은 고딕" w:cs="맑은 고딕" w:hint="eastAsia"/>
              </w:rPr>
              <w:t>주차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E5E5E5"/>
            <w:vAlign w:val="center"/>
          </w:tcPr>
          <w:p>
            <w:pPr>
              <w:pStyle w:val="FFFFB9FFFFD9FFFFC5FFFFC1FFFFB1FFFFDB"/>
              <w:wordWrap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7월 </w:t>
            </w:r>
            <w:r>
              <w:rPr>
                <w:rFonts w:ascii="맑은 고딕" w:eastAsia="맑은 고딕" w:hAnsi="맑은 고딕" w:cs="맑은 고딕" w:hint="eastAsia"/>
              </w:rPr>
              <w:t>1</w:t>
            </w:r>
            <w:r>
              <w:rPr>
                <w:rFonts w:ascii="맑은 고딕" w:eastAsia="맑은 고딕" w:hAnsi="맑은 고딕" w:cs="맑은 고딕" w:hint="eastAsia"/>
              </w:rPr>
              <w:t>주차</w:t>
            </w:r>
          </w:p>
        </w:tc>
        <w:tc>
          <w:tcPr>
            <w:tcW w:w="157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E5E5E5"/>
            <w:vAlign w:val="center"/>
          </w:tcPr>
          <w:p>
            <w:pPr>
              <w:pStyle w:val="FFFFB9FFFFD9FFFFC5FFFFC1FFFFB1FFFFDB"/>
              <w:wordWrap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7월 </w:t>
            </w:r>
            <w:r>
              <w:rPr>
                <w:rFonts w:ascii="맑은 고딕" w:eastAsia="맑은 고딕" w:hAnsi="맑은 고딕" w:cs="맑은 고딕" w:hint="eastAsia"/>
              </w:rPr>
              <w:t>2</w:t>
            </w:r>
            <w:r>
              <w:rPr>
                <w:rFonts w:ascii="맑은 고딕" w:eastAsia="맑은 고딕" w:hAnsi="맑은 고딕" w:cs="맑은 고딕" w:hint="eastAsia"/>
              </w:rPr>
              <w:t>주차</w:t>
            </w:r>
          </w:p>
        </w:tc>
      </w:tr>
      <w:tr>
        <w:trPr>
          <w:trHeight w:val="370" w:hRule="atLeast"/>
        </w:trPr>
        <w:tc>
          <w:tcPr>
            <w:tcW w:w="2759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>
            <w:pPr>
              <w:pStyle w:val="FFFFB9FFFFD9FFFFC5FFFFC1FFFFB1FFFFDB"/>
              <w:wordWrap/>
              <w:spacing w:before="20" w:after="2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요구사항 정의 및 시스템 아키텍처 설계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>
            <w:pPr>
              <w:pStyle w:val="FFFFB9FFFFD9FFFFC5FFFFC1FFFFB1FFFFDB"/>
              <w:wordWrap/>
              <w:spacing w:before="20" w:after="2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hAnsi="맑은 고딕" w:eastAsia="맑은 고딕" w:cs="맑은 고딕"/>
                <w:b w:val="0"/>
                <w:sz w:val="22"/>
              </w:rPr>
              <w:t>●</w:t>
            </w:r>
          </w:p>
        </w:tc>
        <w:tc>
          <w:tcPr>
            <w:tcW w:w="157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>
            <w:pPr>
              <w:pStyle w:val="FFFFB9FFFFD9FFFFC5FFFFC1FFFFB1FFFFDB"/>
              <w:wordWrap/>
              <w:spacing w:before="20" w:after="2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hAnsi="맑은 고딕" w:eastAsia="맑은 고딕" w:cs="맑은 고딕"/>
                <w:b w:val="0"/>
                <w:sz w:val="22"/>
              </w:rPr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>
            <w:pPr>
              <w:pStyle w:val="FFFFB9FFFFD9FFFFC5FFFFC1FFFFB1FFFFDB"/>
              <w:wordWrap/>
              <w:spacing w:before="20" w:after="2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hAnsi="맑은 고딕" w:eastAsia="맑은 고딕" w:cs="맑은 고딕"/>
                <w:b w:val="0"/>
                <w:sz w:val="22"/>
              </w:rPr>
            </w:r>
          </w:p>
        </w:tc>
        <w:tc>
          <w:tcPr>
            <w:tcW w:w="157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>
            <w:pPr>
              <w:pStyle w:val="FFFFB9FFFFD9FFFFC5FFFFC1FFFFB1FFFFDB"/>
              <w:wordWrap/>
              <w:spacing w:before="20" w:after="2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hAnsi="맑은 고딕" w:eastAsia="맑은 고딕" w:cs="맑은 고딕"/>
                <w:b w:val="0"/>
                <w:sz w:val="22"/>
              </w:rPr>
            </w:r>
          </w:p>
        </w:tc>
      </w:tr>
      <w:tr>
        <w:trPr>
          <w:trHeight w:val="370" w:hRule="atLeast"/>
        </w:trPr>
        <w:tc>
          <w:tcPr>
            <w:tcW w:w="2759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>
            <w:pPr>
              <w:pStyle w:val="FFFFB9FFFFD9FFFFC5FFFFC1FFFFB1FFFFDB"/>
              <w:wordWrap/>
              <w:spacing w:before="20" w:after="2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핵심 부품 확보 및 개발환경 구축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>
            <w:pPr>
              <w:pStyle w:val="FFFFB9FFFFD9FFFFC5FFFFC1FFFFB1FFFFDB"/>
              <w:wordWrap/>
              <w:spacing w:before="20" w:after="2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hAnsi="맑은 고딕" w:eastAsia="맑은 고딕" w:cs="맑은 고딕"/>
                <w:b w:val="0"/>
                <w:sz w:val="22"/>
              </w:rPr>
              <w:t>●</w:t>
            </w:r>
          </w:p>
        </w:tc>
        <w:tc>
          <w:tcPr>
            <w:tcW w:w="157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>
            <w:pPr>
              <w:pStyle w:val="FFFFB9FFFFD9FFFFC5FFFFC1FFFFB1FFFFDB"/>
              <w:wordWrap/>
              <w:spacing w:before="20" w:after="2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hAnsi="맑은 고딕" w:eastAsia="맑은 고딕" w:cs="맑은 고딕"/>
                <w:b w:val="0"/>
                <w:sz w:val="22"/>
              </w:rPr>
              <w:t>●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>
            <w:pPr>
              <w:pStyle w:val="FFFFB9FFFFD9FFFFC5FFFFC1FFFFB1FFFFDB"/>
              <w:wordWrap/>
              <w:spacing w:before="20" w:after="2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hAnsi="맑은 고딕" w:eastAsia="맑은 고딕" w:cs="맑은 고딕"/>
                <w:b w:val="0"/>
                <w:sz w:val="22"/>
              </w:rPr>
            </w:r>
          </w:p>
        </w:tc>
        <w:tc>
          <w:tcPr>
            <w:tcW w:w="157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>
            <w:pPr>
              <w:pStyle w:val="FFFFB9FFFFD9FFFFC5FFFFC1FFFFB1FFFFDB"/>
              <w:wordWrap/>
              <w:spacing w:before="20" w:after="2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hAnsi="맑은 고딕" w:eastAsia="맑은 고딕" w:cs="맑은 고딕"/>
                <w:b w:val="0"/>
                <w:sz w:val="22"/>
              </w:rPr>
            </w:r>
          </w:p>
        </w:tc>
      </w:tr>
      <w:tr>
        <w:trPr>
          <w:trHeight w:val="370" w:hRule="atLeast"/>
        </w:trPr>
        <w:tc>
          <w:tcPr>
            <w:tcW w:w="2759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>
            <w:pPr>
              <w:pStyle w:val="FFFFB9FFFFD9FFFFC5FFFFC1FFFFB1FFFFDB"/>
              <w:wordWrap/>
              <w:spacing w:before="20" w:after="2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센서 드라이버 개발·위험도 알고리즘 구현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>
            <w:pPr>
              <w:pStyle w:val="FFFFB9FFFFD9FFFFC5FFFFC1FFFFB1FFFFDB"/>
              <w:wordWrap/>
              <w:spacing w:before="20" w:after="2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hAnsi="맑은 고딕" w:eastAsia="맑은 고딕" w:cs="맑은 고딕"/>
                <w:b w:val="0"/>
                <w:sz w:val="22"/>
              </w:rPr>
            </w:r>
          </w:p>
        </w:tc>
        <w:tc>
          <w:tcPr>
            <w:tcW w:w="157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>
            <w:pPr>
              <w:pStyle w:val="FFFFB9FFFFD9FFFFC5FFFFC1FFFFB1FFFFDB"/>
              <w:wordWrap/>
              <w:spacing w:before="20" w:after="2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hAnsi="맑은 고딕" w:eastAsia="맑은 고딕" w:cs="맑은 고딕"/>
                <w:b w:val="0"/>
                <w:sz w:val="22"/>
              </w:rPr>
              <w:t>●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>
            <w:pPr>
              <w:pStyle w:val="FFFFB9FFFFD9FFFFC5FFFFC1FFFFB1FFFFDB"/>
              <w:wordWrap/>
              <w:spacing w:before="20" w:after="2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hAnsi="맑은 고딕" w:eastAsia="맑은 고딕" w:cs="맑은 고딕"/>
                <w:b w:val="0"/>
                <w:sz w:val="22"/>
              </w:rPr>
              <w:t>●</w:t>
            </w:r>
          </w:p>
        </w:tc>
        <w:tc>
          <w:tcPr>
            <w:tcW w:w="157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>
            <w:pPr>
              <w:pStyle w:val="FFFFB9FFFFD9FFFFC5FFFFC1FFFFB1FFFFDB"/>
              <w:wordWrap/>
              <w:spacing w:before="20" w:after="2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hAnsi="맑은 고딕" w:eastAsia="맑은 고딕" w:cs="맑은 고딕"/>
                <w:b w:val="0"/>
                <w:sz w:val="22"/>
              </w:rPr>
            </w:r>
          </w:p>
        </w:tc>
      </w:tr>
      <w:tr>
        <w:trPr>
          <w:trHeight w:val="370" w:hRule="atLeast"/>
        </w:trPr>
        <w:tc>
          <w:tcPr>
            <w:tcW w:w="2759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>
            <w:pPr>
              <w:pStyle w:val="FFFFB9FFFFD9FFFFC5FFFFC1FFFFB1FFFFDB"/>
              <w:wordWrap/>
              <w:spacing w:before="20" w:after="2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시스템 통합·대시보드·경보 연동 (MVP)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>
            <w:pPr>
              <w:pStyle w:val="FFFFB9FFFFD9FFFFC5FFFFC1FFFFB1FFFFDB"/>
              <w:wordWrap/>
              <w:spacing w:before="20" w:after="2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hAnsi="맑은 고딕" w:eastAsia="맑은 고딕" w:cs="맑은 고딕"/>
                <w:b w:val="0"/>
                <w:sz w:val="22"/>
              </w:rPr>
            </w:r>
          </w:p>
        </w:tc>
        <w:tc>
          <w:tcPr>
            <w:tcW w:w="157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>
            <w:pPr>
              <w:pStyle w:val="FFFFB9FFFFD9FFFFC5FFFFC1FFFFB1FFFFDB"/>
              <w:wordWrap/>
              <w:spacing w:before="20" w:after="2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hAnsi="맑은 고딕" w:eastAsia="맑은 고딕" w:cs="맑은 고딕"/>
                <w:b w:val="0"/>
                <w:sz w:val="22"/>
              </w:rPr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>
            <w:pPr>
              <w:pStyle w:val="FFFFB9FFFFD9FFFFC5FFFFC1FFFFB1FFFFDB"/>
              <w:wordWrap/>
              <w:spacing w:before="20" w:after="2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hAnsi="맑은 고딕" w:eastAsia="맑은 고딕" w:cs="맑은 고딕"/>
                <w:b w:val="0"/>
                <w:sz w:val="22"/>
              </w:rPr>
              <w:t>●</w:t>
            </w:r>
          </w:p>
        </w:tc>
        <w:tc>
          <w:tcPr>
            <w:tcW w:w="157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>
            <w:pPr>
              <w:pStyle w:val="FFFFB9FFFFD9FFFFC5FFFFC1FFFFB1FFFFDB"/>
              <w:wordWrap/>
              <w:spacing w:before="20" w:after="2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hAnsi="맑은 고딕" w:eastAsia="맑은 고딕" w:cs="맑은 고딕"/>
                <w:b w:val="0"/>
                <w:sz w:val="22"/>
              </w:rPr>
              <w:t>●</w:t>
            </w:r>
          </w:p>
        </w:tc>
      </w:tr>
      <w:tr>
        <w:trPr>
          <w:trHeight w:val="370" w:hRule="atLeast"/>
        </w:trPr>
        <w:tc>
          <w:tcPr>
            <w:tcW w:w="2759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>
            <w:pPr>
              <w:pStyle w:val="FFFFB9FFFFD9FFFFC5FFFFC1FFFFB1FFFFDB"/>
              <w:wordWrap/>
              <w:spacing w:before="20" w:after="2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시연 시나리오 구성 및 중간 점검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>
            <w:pPr>
              <w:pStyle w:val="FFFFB9FFFFD9FFFFC5FFFFC1FFFFB1FFFFDB"/>
              <w:wordWrap/>
              <w:spacing w:before="20" w:after="2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hAnsi="맑은 고딕" w:eastAsia="맑은 고딕" w:cs="맑은 고딕"/>
                <w:b w:val="0"/>
                <w:sz w:val="22"/>
              </w:rPr>
            </w:r>
          </w:p>
        </w:tc>
        <w:tc>
          <w:tcPr>
            <w:tcW w:w="157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>
            <w:pPr>
              <w:pStyle w:val="FFFFB9FFFFD9FFFFC5FFFFC1FFFFB1FFFFDB"/>
              <w:wordWrap/>
              <w:spacing w:before="20" w:after="2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hAnsi="맑은 고딕" w:eastAsia="맑은 고딕" w:cs="맑은 고딕"/>
                <w:b w:val="0"/>
                <w:sz w:val="22"/>
              </w:rPr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>
            <w:pPr>
              <w:pStyle w:val="FFFFB9FFFFD9FFFFC5FFFFC1FFFFB1FFFFDB"/>
              <w:wordWrap/>
              <w:spacing w:before="20" w:after="2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hAnsi="맑은 고딕" w:eastAsia="맑은 고딕" w:cs="맑은 고딕"/>
                <w:b w:val="0"/>
                <w:sz w:val="22"/>
              </w:rPr>
            </w:r>
          </w:p>
        </w:tc>
        <w:tc>
          <w:tcPr>
            <w:tcW w:w="157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>
            <w:pPr>
              <w:pStyle w:val="FFFFB9FFFFD9FFFFC5FFFFC1FFFFB1FFFFDB"/>
              <w:wordWrap/>
              <w:spacing w:before="20" w:after="2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hAnsi="맑은 고딕" w:eastAsia="맑은 고딕" w:cs="맑은 고딕"/>
                <w:b w:val="0"/>
                <w:sz w:val="22"/>
              </w:rPr>
              <w:t>●</w:t>
            </w:r>
          </w:p>
        </w:tc>
      </w:tr>
    </w:tbl>
    <w:p>
      <w:pPr>
        <w:autoSpaceDE/>
        <w:autoSpaceDN/>
        <w:widowControl/>
        <w:wordWrap/>
        <w:rPr>
          <w:rFonts w:ascii="맑은 고딕" w:eastAsia="맑은 고딕" w:hAnsi="맑은 고딕" w:cs="맑은 고딕"/>
          <w:b/>
          <w:bCs/>
          <w:sz w:val="28"/>
          <w:szCs w:val="28"/>
        </w:rPr>
      </w:pPr>
    </w:p>
    <w:p>
      <w:pPr>
        <w:spacing w:before="240" w:line="276" w:lineRule="auto"/>
        <w:rPr>
          <w:rFonts w:ascii="맑은 고딕" w:eastAsia="맑은 고딕" w:hAnsi="맑은 고딕" w:cs="맑은 고딕"/>
          <w:b/>
          <w:bCs/>
          <w:sz w:val="28"/>
          <w:szCs w:val="28"/>
        </w:rPr>
      </w:pPr>
      <w:r>
        <w:rPr>
          <w:rFonts w:ascii="맑은 고딕" w:eastAsia="맑은 고딕" w:hAnsi="맑은 고딕" w:cs="맑은 고딕"/>
          <w:b/>
          <w:bCs/>
          <w:sz w:val="28"/>
          <w:szCs w:val="28"/>
        </w:rPr>
        <w:t>역할분담</w:t>
      </w:r>
    </w:p>
    <w:tbl>
      <w:tblPr>
        <w:tblOverlap w:val="never"/>
        <w:tblW w:w="9044" w:type="dxa"/>
        <w:tblInd w:w="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000" w:firstRow="0" w:lastRow="0" w:firstColumn="0" w:lastColumn="0" w:noHBand="0" w:noVBand="0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532"/>
        <w:gridCol w:w="7512"/>
      </w:tblGrid>
      <w:tr>
        <w:trPr>
          <w:trHeight w:val="200" w:hRule="atLeast"/>
        </w:trPr>
        <w:tc>
          <w:tcPr>
            <w:tcW w:w="1532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E5E5E5"/>
            <w:vAlign w:val="center"/>
          </w:tcPr>
          <w:p>
            <w:pPr>
              <w:pStyle w:val="FFFFB9FFFFD9FFFFC5FFFFC1FFFFB1FFFFDB"/>
              <w:wordWrap/>
              <w:jc w:val="center"/>
              <w:spacing w:line="36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이름</w:t>
            </w:r>
          </w:p>
        </w:tc>
        <w:tc>
          <w:tcPr>
            <w:tcW w:w="751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E5E5E5"/>
            <w:vAlign w:val="center"/>
          </w:tcPr>
          <w:p>
            <w:pPr>
              <w:pStyle w:val="FFFFB9FFFFD9FFFFC5FFFFC1FFFFB1FFFFDB"/>
              <w:wordWrap/>
              <w:jc w:val="center"/>
              <w:spacing w:line="36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역할</w:t>
            </w:r>
          </w:p>
        </w:tc>
      </w:tr>
      <w:tr>
        <w:trPr>
          <w:trHeight w:val="370" w:hRule="atLeast"/>
        </w:trPr>
        <w:tc>
          <w:tcPr>
            <w:tcW w:w="1532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>
            <w:pPr>
              <w:pStyle w:val="FFFFB9FFFFD9FFFFC5FFFFC1FFFFB1FFFFDB"/>
              <w:wordWrap/>
              <w:jc w:val="center"/>
              <w:spacing w:line="360" w:lineRule="auto" w:before="20" w:after="2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________</w:t>
            </w:r>
          </w:p>
        </w:tc>
        <w:tc>
          <w:tcPr>
            <w:tcW w:w="751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>
            <w:pPr>
              <w:pStyle w:val="FFFFB9FFFFD9FFFFC5FFFFC1FFFFB1FFFFDB"/>
              <w:wordWrap/>
              <w:jc w:val="center"/>
              <w:spacing w:line="360" w:lineRule="auto" w:before="20" w:after="2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(팀장) 시스템 통합 및 위험도 알고리즘 개발, 개발 일정 관리</w:t>
            </w:r>
          </w:p>
        </w:tc>
      </w:tr>
      <w:tr>
        <w:trPr>
          <w:trHeight w:val="370" w:hRule="atLeast"/>
        </w:trPr>
        <w:tc>
          <w:tcPr>
            <w:tcW w:w="1532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>
            <w:pPr>
              <w:pStyle w:val="FFFFB9FFFFD9FFFFC5FFFFC1FFFFB1FFFFDB"/>
              <w:wordWrap/>
              <w:jc w:val="center"/>
              <w:spacing w:line="360" w:lineRule="auto" w:before="20" w:after="2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________</w:t>
            </w:r>
          </w:p>
        </w:tc>
        <w:tc>
          <w:tcPr>
            <w:tcW w:w="751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>
            <w:pPr>
              <w:pStyle w:val="FFFFB9FFFFD9FFFFC5FFFFC1FFFFB1FFFFDB"/>
              <w:wordWrap/>
              <w:jc w:val="center"/>
              <w:spacing w:line="360" w:lineRule="auto" w:before="20" w:after="2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mmWave·센서 펌웨어 개발 및 UART 데이터 처리</w:t>
            </w:r>
          </w:p>
        </w:tc>
      </w:tr>
      <w:tr>
        <w:trPr>
          <w:trHeight w:val="370" w:hRule="atLeast"/>
        </w:trPr>
        <w:tc>
          <w:tcPr>
            <w:tcW w:w="1532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>
            <w:pPr>
              <w:pStyle w:val="FFFFB9FFFFD9FFFFC5FFFFC1FFFFB1FFFFDB"/>
              <w:wordWrap/>
              <w:jc w:val="center"/>
              <w:spacing w:line="360" w:lineRule="auto" w:before="20" w:after="2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________</w:t>
            </w:r>
          </w:p>
        </w:tc>
        <w:tc>
          <w:tcPr>
            <w:tcW w:w="751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>
            <w:pPr>
              <w:pStyle w:val="FFFFB9FFFFD9FFFFC5FFFFC1FFFFB1FFFFDB"/>
              <w:wordWrap/>
              <w:jc w:val="center"/>
              <w:spacing w:line="360" w:lineRule="auto" w:before="20" w:after="2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환경센서·경보 제어 및 하드웨어 배선·회로 구성</w:t>
            </w:r>
          </w:p>
        </w:tc>
      </w:tr>
      <w:tr>
        <w:trPr>
          <w:trHeight w:val="370" w:hRule="atLeast"/>
        </w:trPr>
        <w:tc>
          <w:tcPr>
            <w:tcW w:w="1532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>
            <w:pPr>
              <w:pStyle w:val="FFFFB9FFFFD9FFFFC5FFFFC1FFFFB1FFFFDB"/>
              <w:wordWrap/>
              <w:jc w:val="center"/>
              <w:spacing w:line="360" w:lineRule="auto" w:before="20" w:after="2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________</w:t>
            </w:r>
          </w:p>
        </w:tc>
        <w:tc>
          <w:tcPr>
            <w:tcW w:w="751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>
            <w:pPr>
              <w:pStyle w:val="FFFFB9FFFFD9FFFFC5FFFFC1FFFFB1FFFFDB"/>
              <w:wordWrap/>
              <w:jc w:val="center"/>
              <w:spacing w:line="360" w:lineRule="auto" w:before="20" w:after="2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게이트웨이 서버·웹 대시보드·데이터 로깅</w:t>
            </w:r>
          </w:p>
        </w:tc>
      </w:tr>
      <w:tr>
        <w:trPr>
          <w:trHeight w:val="370" w:hRule="atLeast"/>
        </w:trPr>
        <w:tc>
          <w:tcPr>
            <w:tcW w:w="1532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>
            <w:pPr>
              <w:pStyle w:val="FFFFB9FFFFD9FFFFC5FFFFC1FFFFB1FFFFDB"/>
              <w:wordWrap/>
              <w:jc w:val="center"/>
              <w:spacing w:line="360" w:lineRule="auto" w:before="20" w:after="2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________</w:t>
            </w:r>
          </w:p>
        </w:tc>
        <w:tc>
          <w:tcPr>
            <w:tcW w:w="751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>
            <w:pPr>
              <w:pStyle w:val="FFFFB9FFFFD9FFFFC5FFFFC1FFFFB1FFFFDB"/>
              <w:wordWrap/>
              <w:jc w:val="center"/>
              <w:spacing w:line="360" w:lineRule="auto" w:before="20" w:after="2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자료조사·문서 작성 및 시연 영상·발표자료 제작</w:t>
            </w:r>
          </w:p>
        </w:tc>
      </w:tr>
    </w:tbl>
    <w:p>
      <w:pPr>
        <w:rPr>
          <w:rFonts w:ascii="맑은 고딕" w:eastAsia="맑은 고딕" w:hAnsi="맑은 고딕" w:cs="맑은 고딕"/>
          <w:sz w:val="24"/>
        </w:rPr>
      </w:pPr>
    </w:p>
    <w:sectPr>
      <w:pgSz w:w="11906" w:h="16838"/>
      <w:pgMar w:top="1701" w:right="1440" w:bottom="1440" w:left="1440" w:header="851" w:footer="992" w:gutter="0"/>
      <w:cols/>
      <w:docGrid w:linePitch="360"/>
      <w:headerReference w:type="default" r:id="rId2"/>
      <w:footerReference w:type="default" r:id="rId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  <w:font w:name="ÇÔÃÊ·Òµ¸¿ò">
    <w:panose1 w:val="00000000000000000000"/>
    <w:family w:val="auto"/>
    <w:altName w:val="Calibri"/>
    <w:charset w:val="00"/>
    <w:notTrueType w:val="false"/>
    <w:sig w:usb0="00000003" w:usb1="00000000" w:usb2="00000000" w:usb3="00000000" w:csb0="00000001" w:csb1="00000000"/>
  </w:font>
  <w:font w:name="Times New Roman">
    <w:panose1 w:val="02020603050405020304"/>
    <w:family w:val="Times New Roman"/>
    <w:charset w:val="00"/>
    <w:notTrueType w:val="false"/>
    <w:sig w:usb0="7FFFFFFF" w:usb1="7FFFFFFF" w:usb2="00000009" w:usb3="00000001" w:csb0="400001FF" w:csb1="7FFFFFFF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w="0" w:type="auto"/>
      <w:tblLook w:val="06A0" w:firstRow="1" w:lastRow="0" w:firstColumn="1" w:lastColumn="0" w:noHBand="1" w:noVBand="1"/>
      <w:tblLayout w:type="fixed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</w:tcPr>
        <w:p>
          <w:pPr>
            <w:pStyle w:val="ab"/>
            <w:ind w:left="-115"/>
            <w:jc w:val="left"/>
          </w:pPr>
        </w:p>
      </w:tc>
      <w:tc>
        <w:tcPr>
          <w:tcW w:w="3005" w:type="dxa"/>
        </w:tcPr>
        <w:p>
          <w:pPr>
            <w:pStyle w:val="ab"/>
            <w:jc w:val="center"/>
          </w:pPr>
        </w:p>
      </w:tc>
      <w:tc>
        <w:tcPr>
          <w:tcW w:w="3005" w:type="dxa"/>
        </w:tcPr>
        <w:p>
          <w:pPr>
            <w:pStyle w:val="ab"/>
            <w:ind w:right="-115"/>
            <w:jc w:val="right"/>
          </w:pPr>
        </w:p>
      </w:tc>
    </w:tr>
  </w:tbl>
  <w:p>
    <w:pPr>
      <w:pStyle w:val="ac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w="0" w:type="auto"/>
      <w:tblLook w:val="06A0" w:firstRow="1" w:lastRow="0" w:firstColumn="1" w:lastColumn="0" w:noHBand="1" w:noVBand="1"/>
      <w:tblLayout w:type="fixed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</w:tcPr>
        <w:p>
          <w:pPr>
            <w:pStyle w:val="ab"/>
            <w:ind w:left="-115"/>
            <w:jc w:val="left"/>
          </w:pPr>
        </w:p>
      </w:tc>
      <w:tc>
        <w:tcPr>
          <w:tcW w:w="3005" w:type="dxa"/>
        </w:tcPr>
        <w:p>
          <w:pPr>
            <w:pStyle w:val="ab"/>
            <w:jc w:val="center"/>
          </w:pPr>
        </w:p>
      </w:tc>
      <w:tc>
        <w:tcPr>
          <w:tcW w:w="3005" w:type="dxa"/>
        </w:tcPr>
        <w:p>
          <w:pPr>
            <w:pStyle w:val="ab"/>
            <w:ind w:right="-115"/>
            <w:jc w:val="right"/>
          </w:pPr>
        </w:p>
      </w:tc>
    </w:tr>
  </w:tbl>
  <w:p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60f30a30"/>
    <w:multiLevelType w:val="hybridMultilevel"/>
    <w:tmpl w:val="f7d6923c"/>
    <w:lvl w:ilvl="0" w:tplc="409000f">
      <w:start w:val="1"/>
      <w:lvlText w:val="%1."/>
      <w:lvlJc w:val="left"/>
      <w:pPr>
        <w:ind w:left="880" w:hanging="440"/>
      </w:pPr>
    </w:lvl>
    <w:lvl w:ilvl="1" w:tplc="b23c4d58">
      <w:start w:val="1"/>
      <w:lvlText w:val="%2"/>
      <w:lvlJc w:val="left"/>
      <w:pPr>
        <w:ind w:left="1240" w:hanging="360"/>
      </w:pPr>
      <w:rPr>
        <w:rFonts w:hint="default"/>
      </w:rPr>
    </w:lvl>
    <w:lvl w:ilvl="2" w:tentative="on" w:tplc="409001b">
      <w:start w:val="1"/>
      <w:numFmt w:val="lowerRoman"/>
      <w:lvlText w:val="%3."/>
      <w:lvlJc w:val="right"/>
      <w:pPr>
        <w:ind w:left="1760" w:hanging="440"/>
      </w:pPr>
    </w:lvl>
    <w:lvl w:ilvl="3" w:tentative="on" w:tplc="409000f">
      <w:start w:val="1"/>
      <w:lvlText w:val="%4."/>
      <w:lvlJc w:val="left"/>
      <w:pPr>
        <w:ind w:left="2200" w:hanging="440"/>
      </w:pPr>
    </w:lvl>
    <w:lvl w:ilvl="4" w:tentative="on" w:tplc="4090019">
      <w:start w:val="1"/>
      <w:numFmt w:val="upperLetter"/>
      <w:lvlText w:val="%5."/>
      <w:lvlJc w:val="left"/>
      <w:pPr>
        <w:ind w:left="2640" w:hanging="440"/>
      </w:pPr>
    </w:lvl>
    <w:lvl w:ilvl="5" w:tentative="on" w:tplc="409001b">
      <w:start w:val="1"/>
      <w:numFmt w:val="lowerRoman"/>
      <w:lvlText w:val="%6."/>
      <w:lvlJc w:val="right"/>
      <w:pPr>
        <w:ind w:left="3080" w:hanging="440"/>
      </w:pPr>
    </w:lvl>
    <w:lvl w:ilvl="6" w:tentative="on" w:tplc="409000f">
      <w:start w:val="1"/>
      <w:lvlText w:val="%7."/>
      <w:lvlJc w:val="left"/>
      <w:pPr>
        <w:ind w:left="3520" w:hanging="440"/>
      </w:pPr>
    </w:lvl>
    <w:lvl w:ilvl="7" w:tentative="on" w:tplc="4090019">
      <w:start w:val="1"/>
      <w:numFmt w:val="upperLetter"/>
      <w:lvlText w:val="%8."/>
      <w:lvlJc w:val="left"/>
      <w:pPr>
        <w:ind w:left="3960" w:hanging="440"/>
      </w:pPr>
    </w:lvl>
    <w:lvl w:ilvl="8" w:tentative="on" w:tplc="409001b">
      <w:start w:val="1"/>
      <w:numFmt w:val="lowerRoman"/>
      <w:lvlText w:val="%9."/>
      <w:lvlJc w:val="right"/>
      <w:pPr>
        <w:ind w:left="440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HAnsi" w:hAnsiTheme="minorHAnsi" w:cstheme="minorEastAsia"/>
        <w:szCs w:val="24"/>
        <w:kern w:val="2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280"/>
    </w:pPr>
    <w:rPr>
      <w:rFonts w:asciiTheme="majorHAnsi" w:eastAsiaTheme="majorHAnsi" w:hAnsiTheme="majorHAnsi" w:cstheme="majorEastAsia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HAnsi" w:hAnsiTheme="majorHAnsi" w:cstheme="majorEastAsia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HAnsi" w:hAnsiTheme="majorHAnsi" w:cstheme="majorEastAsia"/>
      <w:color w:val="000000"/>
      <w:sz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HAnsi" w:hAnsiTheme="majorHAnsi" w:cstheme="majorEastAsia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HAnsi" w:hAnsiTheme="majorHAnsi" w:cstheme="majorEastAsia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HAnsi" w:hAnsiTheme="majorHAnsi" w:cstheme="majorEastAsia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HAnsi" w:hAnsiTheme="majorHAnsi" w:cstheme="majorEastAsia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HAnsi" w:hAnsiTheme="majorHAnsi" w:cstheme="majorEastAsia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HAnsi" w:hAnsiTheme="majorHAnsi" w:cstheme="majorEastAsia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HAnsi" w:hAnsiTheme="majorHAnsi" w:cstheme="majorEastAsia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HAnsi" w:hAnsiTheme="majorHAnsi" w:cstheme="majorEastAsia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HAnsi" w:hAnsiTheme="majorHAnsi" w:cstheme="majorEastAsia"/>
      <w:color w:val="000000"/>
      <w:sz w:val="24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HAnsi" w:hAnsiTheme="majorHAnsi" w:cstheme="majorEastAsia"/>
      <w:color w:val="00000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HAnsi" w:hAnsiTheme="majorHAnsi" w:cstheme="majorEastAsia"/>
      <w:color w:val="000000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HAnsi" w:hAnsiTheme="majorHAnsi" w:cstheme="majorEastAsia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HAnsi" w:hAnsiTheme="majorHAnsi" w:cstheme="majorEastAsia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HAnsi" w:hAnsiTheme="majorHAnsi" w:cstheme="majorEastAsia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HAnsi" w:hAnsiTheme="majorHAnsi" w:cstheme="majorEastAsia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/>
    </w:pPr>
    <w:rPr>
      <w:rFonts w:asciiTheme="majorHAnsi" w:eastAsiaTheme="majorHAnsi" w:hAnsiTheme="majorHAnsi" w:cstheme="majorEastAsia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HAnsi" w:hAnsiTheme="majorHAnsi" w:cstheme="majorEastAsia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  <w:numPr>
        <w:ilvl w:val="1"/>
      </w:numPr>
      <w:spacing w:after="160"/>
    </w:pPr>
    <w:rPr>
      <w:rFonts w:asciiTheme="majorHAnsi" w:eastAsiaTheme="majorHAnsi" w:hAnsiTheme="majorHAnsi" w:cstheme="majorEastAsia"/>
      <w:color w:val="A1A1A1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asciiTheme="majorHAnsi" w:eastAsiaTheme="majorHAnsi" w:hAnsiTheme="majorHAnsi" w:cstheme="majorEastAsia"/>
      <w:color w:val="A1A1A1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after="160" w:before="160"/>
    </w:pPr>
    <w:rPr>
      <w:i/>
      <w:iCs/>
      <w:color w:val="8C8C8C"/>
    </w:rPr>
  </w:style>
  <w:style w:type="character" w:customStyle="1" w:styleId="Char1">
    <w:name w:val="인용 Char"/>
    <w:uiPriority w:val="29"/>
    <w:basedOn w:val="a0"/>
    <w:link w:val="a5"/>
    <w:rPr>
      <w:i/>
      <w:iCs/>
      <w:color w:val="8C8C8C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104861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</w:pPr>
    <w:rPr>
      <w:i/>
      <w:iCs/>
      <w:color w:val="104861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104861"/>
    </w:rPr>
  </w:style>
  <w:style w:type="character" w:styleId="a9">
    <w:name w:val="Intense Reference"/>
    <w:uiPriority w:val="32"/>
    <w:basedOn w:val="a0"/>
    <w:qFormat/>
    <w:rPr>
      <w:b/>
      <w:bCs/>
      <w:smallCaps/>
      <w:color w:val="104861"/>
      <w:spacing w:val="5"/>
    </w:rPr>
  </w:style>
  <w:style w:type="table" w:styleId="aa">
    <w:name w:val="Table Grid"/>
    <w:uiPriority w:val="59"/>
    <w:basedOn w:val="a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b">
    <w:name w:val="header"/>
    <w:uiPriority w:val="99"/>
    <w:basedOn w:val="a"/>
    <w:link w:val="Char3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3">
    <w:name w:val="머리글 Char"/>
    <w:uiPriority w:val="99"/>
    <w:basedOn w:val="a0"/>
    <w:link w:val="ab"/>
  </w:style>
  <w:style w:type="paragraph" w:styleId="ac">
    <w:name w:val="footer"/>
    <w:uiPriority w:val="99"/>
    <w:basedOn w:val="a"/>
    <w:link w:val="Char4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4">
    <w:name w:val="바닥글 Char"/>
    <w:uiPriority w:val="99"/>
    <w:basedOn w:val="a0"/>
    <w:link w:val="ac"/>
  </w:style>
  <w:style w:type="paragraph" w:customStyle="1" w:styleId="FFFFB9FFFFD9FFFFC5FFFFC1FFFFB1FFFFDB">
    <w:name w:val="FFFFB9FFFFD9FFFFC5FFFFC1FFFFB1FFFFDB"/>
    <w:pPr>
      <w:adjustRightInd/>
      <w:autoSpaceDE w:val="off"/>
      <w:autoSpaceDN w:val="off"/>
      <w:widowControl w:val="off"/>
      <w:wordWrap w:val="off"/>
      <w:spacing w:line="384" w:lineRule="auto"/>
      <w:textAlignment w:val="baseline"/>
    </w:pPr>
    <w:rPr>
      <w:rFonts w:ascii="ÇÔÃÊ·Òµ¸¿ò" w:eastAsia="Times New Roman" w:hAnsi="ÇÔÃÊ·Òµ¸¿ò" w:cs="ÇÔÃÊ·Òµ¸¿ò"/>
      <w:color w:val="000000"/>
      <w:szCs w:val="20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2" Type="http://schemas.openxmlformats.org/officeDocument/2006/relationships/header" Target="header1.xml"/><Relationship Id="rId3" Type="http://schemas.openxmlformats.org/officeDocument/2006/relationships/footer" Target="footer1.xml"/><Relationship Id="rId1" Type="http://schemas.openxmlformats.org/officeDocument/2006/relationships/image" Target="media/image1.png"/><Relationship Id="rId4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fontTable" Target="fontTable.xml"/><Relationship Id="rId7" Type="http://schemas.openxmlformats.org/officeDocument/2006/relationships/webSettings" Target="webSettings.xml"/><Relationship Id="rId8" Type="http://schemas.openxmlformats.org/officeDocument/2006/relationships/numbering" Target="numbering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최규철</dc:creator>
  <cp:keywords/>
  <dc:description/>
  <cp:lastModifiedBy>황영석</cp:lastModifiedBy>
  <cp:revision>1</cp:revision>
  <dcterms:created xsi:type="dcterms:W3CDTF">2026-05-04T01:54:00Z</dcterms:created>
  <dcterms:modified xsi:type="dcterms:W3CDTF">2026-06-26T07:09:00Z</dcterms:modified>
  <cp:version>1300.0100.01</cp:version>
</cp:coreProperties>
</file>