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360" w:lineRule="auto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-1424</wp:posOffset>
            </wp:positionH>
            <wp:positionV relativeFrom="page">
              <wp:posOffset>5625</wp:posOffset>
            </wp:positionV>
            <wp:extent cx="7567557" cy="713513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67557" cy="7135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SIMULAÇÃO DE ANTECIPAÇÃO DE RECEBÍVEIS</w:t>
      </w:r>
    </w:p>
    <w:tbl>
      <w:tblPr>
        <w:tblStyle w:val="Table1"/>
        <w:tblW w:w="90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37.5"/>
        <w:gridCol w:w="4537.5"/>
        <w:tblGridChange w:id="0">
          <w:tblGrid>
            <w:gridCol w:w="4537.5"/>
            <w:gridCol w:w="4537.5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2"/>
            <w:tcBorders>
              <w:top w:color="000000" w:space="0" w:sz="12" w:val="single"/>
              <w:left w:color="ffffff" w:space="0" w:sz="8" w:val="single"/>
              <w:bottom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rPr>
                <w:rFonts w:ascii="Calibri" w:cs="Calibri" w:eastAsia="Calibri" w:hAnsi="Calibri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Valor Total da NF: </w:t>
            </w:r>
            <w:r w:rsidDel="00000000" w:rsidR="00000000" w:rsidRPr="00000000">
              <w:rPr>
                <w:rFonts w:ascii="Calibri" w:cs="Calibri" w:eastAsia="Calibri" w:hAnsi="Calibri"/>
                <w:color w:val="ff0000"/>
                <w:sz w:val="24"/>
                <w:szCs w:val="24"/>
                <w:rtl w:val="0"/>
              </w:rPr>
              <w:t xml:space="preserve">&lt;&lt;Valor Total da NF*&gt;&gt;</w:t>
            </w:r>
          </w:p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rFonts w:ascii="Calibri" w:cs="Calibri" w:eastAsia="Calibri" w:hAnsi="Calibri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Data de Emissão: </w:t>
            </w:r>
            <w:r w:rsidDel="00000000" w:rsidR="00000000" w:rsidRPr="00000000">
              <w:rPr>
                <w:rFonts w:ascii="Calibri" w:cs="Calibri" w:eastAsia="Calibri" w:hAnsi="Calibri"/>
                <w:color w:val="ff0000"/>
                <w:sz w:val="24"/>
                <w:szCs w:val="24"/>
                <w:rtl w:val="0"/>
              </w:rPr>
              <w:t xml:space="preserve">&lt;&lt;Data de Emissão*&gt;&gt;</w:t>
            </w:r>
          </w:p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rFonts w:ascii="Calibri" w:cs="Calibri" w:eastAsia="Calibri" w:hAnsi="Calibri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Data de Vencimento: </w:t>
            </w:r>
            <w:r w:rsidDel="00000000" w:rsidR="00000000" w:rsidRPr="00000000">
              <w:rPr>
                <w:rFonts w:ascii="Calibri" w:cs="Calibri" w:eastAsia="Calibri" w:hAnsi="Calibri"/>
                <w:color w:val="ff0000"/>
                <w:sz w:val="24"/>
                <w:szCs w:val="24"/>
                <w:rtl w:val="0"/>
              </w:rPr>
              <w:t xml:space="preserve">&lt;&lt;Data de Vencimento*&gt;&gt;</w:t>
            </w:r>
          </w:p>
        </w:tc>
      </w:tr>
    </w:tbl>
    <w:p w:rsidR="00000000" w:rsidDel="00000000" w:rsidP="00000000" w:rsidRDefault="00000000" w:rsidRPr="00000000" w14:paraId="00000008">
      <w:pPr>
        <w:spacing w:line="3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CONDIÇÕES DA OPERAÇÃO</w:t>
      </w:r>
    </w:p>
    <w:p w:rsidR="00000000" w:rsidDel="00000000" w:rsidP="00000000" w:rsidRDefault="00000000" w:rsidRPr="00000000" w14:paraId="0000000A">
      <w:pPr>
        <w:spacing w:line="36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jc w:val="both"/>
        <w:rPr>
          <w:rFonts w:ascii="Calibri" w:cs="Calibri" w:eastAsia="Calibri" w:hAnsi="Calibri"/>
          <w:color w:val="ff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Valor a ser antecipado: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0000"/>
          <w:sz w:val="24"/>
          <w:szCs w:val="24"/>
          <w:rtl w:val="0"/>
        </w:rPr>
        <w:t xml:space="preserve">&lt;&lt;Valor a Ser Antecipado Etiqueta&gt;&gt;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Taxa de desconto:</w:t>
      </w:r>
      <w:r w:rsidDel="00000000" w:rsidR="00000000" w:rsidRPr="00000000">
        <w:rPr>
          <w:rFonts w:ascii="Calibri" w:cs="Calibri" w:eastAsia="Calibri" w:hAnsi="Calibri"/>
          <w:color w:val="ff0000"/>
          <w:sz w:val="24"/>
          <w:szCs w:val="24"/>
          <w:rtl w:val="0"/>
        </w:rPr>
        <w:t xml:space="preserve"> &lt;&lt;Taxa de Desconto Etiqueta&gt;&gt;</w:t>
      </w:r>
    </w:p>
    <w:p w:rsidR="00000000" w:rsidDel="00000000" w:rsidP="00000000" w:rsidRDefault="00000000" w:rsidRPr="00000000" w14:paraId="0000000C">
      <w:pPr>
        <w:spacing w:line="360" w:lineRule="auto"/>
        <w:jc w:val="both"/>
        <w:rPr>
          <w:rFonts w:ascii="Calibri" w:cs="Calibri" w:eastAsia="Calibri" w:hAnsi="Calibri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Período de antecipação: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0000"/>
          <w:sz w:val="24"/>
          <w:szCs w:val="24"/>
          <w:rtl w:val="0"/>
        </w:rPr>
        <w:t xml:space="preserve">&lt;&lt;Período de Antecipação Etiqueta&gt;&gt;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before="280" w:line="3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Cálculo do valor a ser antecipado:</w:t>
      </w:r>
    </w:p>
    <w:p w:rsidR="00000000" w:rsidDel="00000000" w:rsidP="00000000" w:rsidRDefault="00000000" w:rsidRPr="00000000" w14:paraId="0000000E">
      <w:pPr>
        <w:spacing w:after="240" w:before="240" w:line="360" w:lineRule="auto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Juros proporcionais aplicados: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before="240" w:line="36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Taxa diária de </w:t>
      </w:r>
      <w:r w:rsidDel="00000000" w:rsidR="00000000" w:rsidRPr="00000000">
        <w:rPr>
          <w:rFonts w:ascii="Calibri" w:cs="Calibri" w:eastAsia="Calibri" w:hAnsi="Calibri"/>
          <w:color w:val="ff0000"/>
          <w:sz w:val="24"/>
          <w:szCs w:val="24"/>
          <w:rtl w:val="0"/>
        </w:rPr>
        <w:t xml:space="preserve">&lt;&lt;Taxa Diária&gt;&gt;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ao dia (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taxa de desconto ÷ 30 dias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line="36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Período de </w:t>
      </w:r>
      <w:r w:rsidDel="00000000" w:rsidR="00000000" w:rsidRPr="00000000">
        <w:rPr>
          <w:rFonts w:ascii="Calibri" w:cs="Calibri" w:eastAsia="Calibri" w:hAnsi="Calibri"/>
          <w:color w:val="ff0000"/>
          <w:sz w:val="24"/>
          <w:szCs w:val="24"/>
          <w:rtl w:val="0"/>
        </w:rPr>
        <w:t xml:space="preserve">&lt;&lt;Período de Dias&gt;&gt; dias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240" w:line="360" w:lineRule="auto"/>
        <w:ind w:left="720" w:hanging="360"/>
        <w:jc w:val="both"/>
        <w:rPr>
          <w:rFonts w:ascii="Barlow" w:cs="Barlow" w:eastAsia="Barlow" w:hAnsi="Barlow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Juros totais: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0000"/>
          <w:sz w:val="24"/>
          <w:szCs w:val="24"/>
          <w:rtl w:val="0"/>
        </w:rPr>
        <w:t xml:space="preserve">&lt;&lt;Valor a Ser Antecipado*&gt;&gt;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× </w:t>
      </w:r>
      <w:r w:rsidDel="00000000" w:rsidR="00000000" w:rsidRPr="00000000">
        <w:rPr>
          <w:rFonts w:ascii="Calibri" w:cs="Calibri" w:eastAsia="Calibri" w:hAnsi="Calibri"/>
          <w:color w:val="ff0000"/>
          <w:sz w:val="24"/>
          <w:szCs w:val="24"/>
          <w:rtl w:val="0"/>
        </w:rPr>
        <w:t xml:space="preserve">&lt;&lt;Taxa Diária Total&gt;&gt;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taxa diária × período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) = </w:t>
      </w:r>
      <w:r w:rsidDel="00000000" w:rsidR="00000000" w:rsidRPr="00000000">
        <w:rPr>
          <w:rFonts w:ascii="Calibri" w:cs="Calibri" w:eastAsia="Calibri" w:hAnsi="Calibri"/>
          <w:color w:val="ff0000"/>
          <w:sz w:val="24"/>
          <w:szCs w:val="24"/>
          <w:rtl w:val="0"/>
        </w:rPr>
        <w:t xml:space="preserve">&lt;&lt;Juros Totais&gt;&gt;</w:t>
      </w:r>
    </w:p>
    <w:p w:rsidR="00000000" w:rsidDel="00000000" w:rsidP="00000000" w:rsidRDefault="00000000" w:rsidRPr="00000000" w14:paraId="00000012">
      <w:pPr>
        <w:spacing w:after="240" w:before="240" w:line="360" w:lineRule="auto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Valor líquido a ser antecipado: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240" w:before="240" w:line="360" w:lineRule="auto"/>
        <w:ind w:left="720" w:hanging="360"/>
        <w:jc w:val="both"/>
        <w:rPr>
          <w:rFonts w:ascii="Barlow" w:cs="Barlow" w:eastAsia="Barlow" w:hAnsi="Barlow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Valor antecipado: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0000"/>
          <w:sz w:val="24"/>
          <w:szCs w:val="24"/>
          <w:rtl w:val="0"/>
        </w:rPr>
        <w:t xml:space="preserve">&lt;&lt;Valor a Ser Antecipado*&gt;&gt; - &lt;&lt;Juros Totais&gt;&gt; = &lt;&lt;Valor Efetivamente Antecipado&gt;&gt;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before="280" w:line="360" w:lineRule="auto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60" w:lineRule="auto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Rio de janeiro,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sz w:val="24"/>
          <w:szCs w:val="24"/>
          <w:rtl w:val="0"/>
        </w:rPr>
        <w:t xml:space="preserve">&lt;&lt;Data da Proposta&gt;&gt;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footerReference r:id="rId9" w:type="first"/>
      <w:pgSz w:h="16834" w:w="11909" w:orient="portrait"/>
      <w:pgMar w:bottom="1417.3228346456694" w:top="1133.8582677165355" w:left="1417.3228346456694" w:right="1417.322834645669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Barlow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spacing w:line="276" w:lineRule="auto"/>
      <w:jc w:val="center"/>
      <w:rPr>
        <w:b w:val="1"/>
        <w:bCs w:val="1"/>
        <w:color w:val="999999"/>
        <w:sz w:val="16"/>
        <w:szCs w:val="16"/>
      </w:rPr>
    </w:pPr>
    <w:r w:rsidDel="00000000" w:rsidR="00000000" w:rsidRPr="00000000">
      <w:rPr>
        <w:b w:val="1"/>
        <w:bCs w:val="1"/>
        <w:color w:val="999999"/>
        <w:sz w:val="16"/>
        <w:szCs w:val="16"/>
        <w:rtl w:val="0"/>
      </w:rPr>
      <w:t xml:space="preserve">__________________________________________________________________________________________</w:t>
    </w:r>
  </w:p>
  <w:p w:rsidR="00000000" w:rsidDel="00000000" w:rsidP="00000000" w:rsidRDefault="00000000" w:rsidRPr="00000000">
    <w:pPr>
      <w:spacing w:line="276" w:lineRule="auto"/>
      <w:jc w:val="center"/>
      <w:rPr>
        <w:b w:val="1"/>
        <w:bCs w:val="1"/>
        <w:color w:val="999999"/>
        <w:sz w:val="16"/>
        <w:szCs w:val="16"/>
      </w:rPr>
    </w:pPr>
    <w:r>
      <w:rPr>
        <w:b w:val="1"/>
        <w:bCs w:val="1"/>
        <w:color w:val="999999"/>
        <w:sz w:val="16"/>
        <w:szCs w:val="16"/>
        <w:rtl w:val="0"/>
      </w:rPr>
      <w:t xml:space="preserve">DUX FACTORING E SOLUCOES FINANCEIRAS LTDA | 60.180.043/0001-28</w:t>
    </w:r>
  </w:p>
  <w:p w:rsidR="00000000" w:rsidDel="00000000" w:rsidP="00000000" w:rsidRDefault="00000000" w:rsidRPr="00000000" w14:paraId="0000002E">
    <w:pPr>
      <w:spacing w:line="276" w:lineRule="auto"/>
      <w:jc w:val="center"/>
      <w:rPr>
        <w:b w:val="1"/>
        <w:bCs w:val="1"/>
        <w:color w:val="999999"/>
        <w:sz w:val="16"/>
        <w:szCs w:val="16"/>
      </w:rPr>
    </w:pPr>
    <w:r w:rsidDel="00000000" w:rsidR="00000000" w:rsidRPr="00000000">
      <w:rPr>
        <w:b w:val="1"/>
        <w:bCs w:val="1"/>
        <w:color w:val="999999"/>
        <w:sz w:val="16"/>
        <w:szCs w:val="16"/>
        <w:rtl w:val="0"/>
      </w:rPr>
      <w:t xml:space="preserve">Avenida Presidente Vargas, 3131, </w:t>
    </w:r>
    <w:r w:rsidDel="00000000" w:rsidR="00000000" w:rsidRPr="00000000">
      <w:rPr>
        <w:b w:val="1"/>
        <w:bCs w:val="1"/>
        <w:color w:val="999999"/>
        <w:sz w:val="16"/>
        <w:szCs w:val="16"/>
        <w:rtl w:val="0"/>
      </w:rPr>
      <w:t xml:space="preserve">SAL</w:t>
    </w:r>
    <w:r w:rsidDel="00000000" w:rsidR="00000000" w:rsidRPr="00000000">
      <w:rPr>
        <w:b w:val="1"/>
        <w:bCs w:val="1"/>
        <w:color w:val="999999"/>
        <w:sz w:val="16"/>
        <w:szCs w:val="16"/>
        <w:rtl w:val="0"/>
      </w:rPr>
      <w:t xml:space="preserve"> 604, Cidade Nova, Rio de Janeiro-RJ, 20.210-030</w:t>
    </w:r>
  </w:p>
  <w:p w:rsidR="00000000" w:rsidDel="00000000" w:rsidP="00000000" w:rsidRDefault="00000000" w:rsidRPr="00000000" w14:paraId="0000002F">
    <w:pPr>
      <w:spacing w:line="276" w:lineRule="auto"/>
      <w:jc w:val="center"/>
      <w:rPr/>
    </w:pPr>
    <w:hyperlink r:id="rId1">
      <w:r w:rsidDel="00000000" w:rsidR="00000000" w:rsidRPr="00000000">
        <w:rPr>
          <w:b w:val="1"/>
          <w:bCs w:val="1"/>
          <w:color w:val="999999"/>
          <w:sz w:val="16"/>
          <w:szCs w:val="16"/>
          <w:rtl w:val="0"/>
        </w:rPr>
        <w:t xml:space="preserve">www.wearedux.com</w:t>
      </w:r>
    </w:hyperlink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0">
    <w:pPr>
      <w:spacing w:line="276" w:lineRule="auto"/>
      <w:jc w:val="center"/>
      <w:rPr>
        <w:b w:val="1"/>
        <w:bCs w:val="1"/>
        <w:color w:val="999999"/>
        <w:sz w:val="16"/>
        <w:szCs w:val="16"/>
      </w:rPr>
    </w:pPr>
    <w:r w:rsidDel="00000000" w:rsidR="00000000" w:rsidRPr="00000000">
      <w:rPr>
        <w:b w:val="1"/>
        <w:bCs w:val="1"/>
        <w:color w:val="999999"/>
        <w:sz w:val="16"/>
        <w:szCs w:val="16"/>
        <w:rtl w:val="0"/>
      </w:rPr>
      <w:t xml:space="preserve">__________________________________________________________________________________________</w:t>
    </w:r>
  </w:p>
  <w:p w:rsidR="00000000" w:rsidDel="00000000" w:rsidP="00000000" w:rsidRDefault="00000000" w:rsidRPr="00000000">
    <w:pPr>
      <w:spacing w:line="276" w:lineRule="auto"/>
      <w:jc w:val="center"/>
      <w:rPr>
        <w:b w:val="1"/>
        <w:bCs w:val="1"/>
        <w:color w:val="999999"/>
        <w:sz w:val="16"/>
        <w:szCs w:val="16"/>
      </w:rPr>
    </w:pPr>
    <w:r>
      <w:rPr>
        <w:b w:val="1"/>
        <w:bCs w:val="1"/>
        <w:color w:val="999999"/>
        <w:sz w:val="16"/>
        <w:szCs w:val="16"/>
        <w:rtl w:val="0"/>
      </w:rPr>
      <w:t xml:space="preserve">DUX FACTORING E SOLUCOES FINANCEIRAS LTDA | 60.180.043/0001-28</w:t>
    </w:r>
  </w:p>
  <w:p w:rsidR="00000000" w:rsidDel="00000000" w:rsidP="00000000" w:rsidRDefault="00000000" w:rsidRPr="00000000" w14:paraId="00000031">
    <w:pPr>
      <w:spacing w:line="276" w:lineRule="auto"/>
      <w:jc w:val="center"/>
      <w:rPr>
        <w:b w:val="1"/>
        <w:bCs w:val="1"/>
        <w:color w:val="999999"/>
        <w:sz w:val="16"/>
        <w:szCs w:val="16"/>
      </w:rPr>
    </w:pPr>
    <w:r w:rsidDel="00000000" w:rsidR="00000000" w:rsidRPr="00000000">
      <w:rPr>
        <w:b w:val="1"/>
        <w:bCs w:val="1"/>
        <w:color w:val="999999"/>
        <w:sz w:val="16"/>
        <w:szCs w:val="16"/>
        <w:rtl w:val="0"/>
      </w:rPr>
      <w:t xml:space="preserve">Avenida Presidente Vargas, 3131, </w:t>
    </w:r>
    <w:r w:rsidDel="00000000" w:rsidR="00000000" w:rsidRPr="00000000">
      <w:rPr>
        <w:b w:val="1"/>
        <w:bCs w:val="1"/>
        <w:color w:val="999999"/>
        <w:sz w:val="16"/>
        <w:szCs w:val="16"/>
        <w:rtl w:val="0"/>
      </w:rPr>
      <w:t xml:space="preserve">SAL</w:t>
    </w:r>
    <w:r w:rsidDel="00000000" w:rsidR="00000000" w:rsidRPr="00000000">
      <w:rPr>
        <w:b w:val="1"/>
        <w:bCs w:val="1"/>
        <w:color w:val="999999"/>
        <w:sz w:val="16"/>
        <w:szCs w:val="16"/>
        <w:rtl w:val="0"/>
      </w:rPr>
      <w:t xml:space="preserve"> 604, Cidade Nova, Rio de Janeiro-RJ, 20.210-030</w:t>
    </w:r>
  </w:p>
  <w:p w:rsidR="00000000" w:rsidDel="00000000" w:rsidP="00000000" w:rsidRDefault="00000000" w:rsidRPr="00000000" w14:paraId="00000032">
    <w:pPr>
      <w:spacing w:line="276" w:lineRule="auto"/>
      <w:jc w:val="center"/>
      <w:rPr/>
    </w:pPr>
    <w:hyperlink r:id="rId1">
      <w:r w:rsidDel="00000000" w:rsidR="00000000" w:rsidRPr="00000000">
        <w:rPr>
          <w:b w:val="1"/>
          <w:bCs w:val="1"/>
          <w:color w:val="999999"/>
          <w:sz w:val="16"/>
          <w:szCs w:val="16"/>
          <w:rtl w:val="0"/>
        </w:rPr>
        <w:t xml:space="preserve">www.wearedux.com</w:t>
      </w:r>
    </w:hyperlink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tabs>
        <w:tab w:val="center" w:leader="none" w:pos="4252"/>
        <w:tab w:val="right" w:leader="none" w:pos="8504"/>
      </w:tabs>
      <w:spacing w:after="160" w:line="240" w:lineRule="auto"/>
      <w:jc w:val="center"/>
      <w:rPr/>
    </w:pPr>
    <w:bookmarkStart w:colFirst="0" w:colLast="0" w:name="_3dy6vkm" w:id="0"/>
    <w:bookmarkEnd w:id="0"/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80" w:before="280" w:line="360" w:lineRule="auto"/>
      <w:jc w:val="both"/>
    </w:pPr>
    <w:rPr>
      <w:rFonts w:ascii="Calibri" w:cs="Calibri" w:eastAsia="Calibri" w:hAnsi="Calibri"/>
      <w:b w:val="1"/>
      <w:bCs w:val="1"/>
      <w:sz w:val="24"/>
      <w:szCs w:val="2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Barlow-regular.ttf"/><Relationship Id="rId2" Type="http://schemas.openxmlformats.org/officeDocument/2006/relationships/font" Target="fonts/Barlow-bold.ttf"/><Relationship Id="rId3" Type="http://schemas.openxmlformats.org/officeDocument/2006/relationships/font" Target="fonts/Barlow-italic.ttf"/><Relationship Id="rId4" Type="http://schemas.openxmlformats.org/officeDocument/2006/relationships/font" Target="fonts/Barlow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hyperlink" Target="http://www.wearedux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