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仿宋" w:eastAsia="仿宋" w:hAnsi="仿宋" w:cs="仿宋" w:hint="eastAsia"/>
          <w:sz w:val="32"/>
          <w:szCs w:val="32"/>
        </w:rPr>
        <w:id w:val="726409239"/>
        <w15:color w:val="DBDBDB"/>
        <w:docPartObj>
          <w:docPartGallery w:val="Table of Contents"/>
          <w:docPartUnique/>
        </w:docPartObj>
      </w:sdtPr>
      <w:sdtContent>
        <w:p w14:paraId="40453684" w14:textId="77777777" w:rsidR="00664776" w:rsidRDefault="00664776" w:rsidP="00664776">
          <w:pPr>
            <w:spacing w:after="156"/>
            <w:rPr>
              <w:rFonts w:cs="Arial"/>
              <w:sz w:val="18"/>
              <w:szCs w:val="18"/>
            </w:rPr>
          </w:pPr>
        </w:p>
        <w:p w14:paraId="3A49438A" w14:textId="77777777" w:rsidR="00664776" w:rsidRDefault="00664776" w:rsidP="00664776">
          <w:pPr>
            <w:spacing w:after="156"/>
          </w:pPr>
        </w:p>
        <w:p w14:paraId="27B0D9F4" w14:textId="77777777" w:rsidR="00664776" w:rsidRPr="000B1F41" w:rsidRDefault="00664776" w:rsidP="00664776">
          <w:pPr>
            <w:spacing w:after="156"/>
            <w:jc w:val="center"/>
            <w:rPr>
              <w:rFonts w:ascii="仿宋" w:eastAsia="仿宋" w:hAnsi="仿宋" w:cs="Times New Roman" w:hint="eastAsia"/>
              <w:b/>
              <w:bCs/>
              <w:sz w:val="52"/>
              <w:szCs w:val="52"/>
              <w:lang w:eastAsia="zh-CN"/>
            </w:rPr>
          </w:pPr>
          <w:r w:rsidRPr="00666F61">
            <w:rPr>
              <w:rFonts w:ascii="仿宋" w:eastAsia="仿宋" w:hAnsi="仿宋" w:cs="Times New Roman"/>
              <w:b/>
              <w:bCs/>
              <w:sz w:val="52"/>
              <w:szCs w:val="52"/>
              <w:lang w:eastAsia="zh-CN"/>
            </w:rPr>
            <w:t>中国工商银行</w:t>
          </w:r>
          <w:r w:rsidRPr="000B1F41">
            <w:rPr>
              <w:rFonts w:ascii="仿宋" w:eastAsia="仿宋" w:hAnsi="仿宋" w:cs="Times New Roman" w:hint="eastAsia"/>
              <w:b/>
              <w:bCs/>
              <w:sz w:val="52"/>
              <w:szCs w:val="52"/>
              <w:lang w:eastAsia="zh-CN"/>
            </w:rPr>
            <w:t>信用卡交易欺诈（含电诈）实时监测大模型</w:t>
          </w:r>
        </w:p>
        <w:p w14:paraId="46A630CB" w14:textId="77777777" w:rsidR="00664776" w:rsidRDefault="00664776" w:rsidP="00C557D4">
          <w:pPr>
            <w:spacing w:after="156"/>
            <w:rPr>
              <w:rFonts w:ascii="仿宋" w:eastAsia="仿宋" w:hAnsi="仿宋"/>
              <w:b/>
              <w:sz w:val="52"/>
              <w:szCs w:val="52"/>
              <w:lang w:eastAsia="zh-CN"/>
            </w:rPr>
          </w:pPr>
        </w:p>
        <w:p w14:paraId="426848DE" w14:textId="77777777" w:rsidR="00C557D4" w:rsidRPr="000B1F41" w:rsidRDefault="00C557D4" w:rsidP="00C557D4">
          <w:pPr>
            <w:spacing w:after="156"/>
            <w:rPr>
              <w:rFonts w:ascii="仿宋" w:eastAsia="仿宋" w:hAnsi="仿宋" w:hint="eastAsia"/>
              <w:b/>
              <w:sz w:val="52"/>
              <w:szCs w:val="52"/>
              <w:lang w:eastAsia="zh-CN"/>
            </w:rPr>
          </w:pPr>
        </w:p>
        <w:p w14:paraId="3C783E1B" w14:textId="7913EDC6" w:rsidR="00664776" w:rsidRDefault="00664776" w:rsidP="00C557D4">
          <w:pPr>
            <w:spacing w:after="156"/>
            <w:jc w:val="center"/>
            <w:rPr>
              <w:b/>
              <w:sz w:val="48"/>
              <w:szCs w:val="48"/>
              <w:lang w:eastAsia="zh-CN"/>
            </w:rPr>
          </w:pPr>
          <w:r>
            <w:rPr>
              <w:rFonts w:hint="eastAsia"/>
              <w:b/>
              <w:sz w:val="48"/>
              <w:szCs w:val="48"/>
              <w:lang w:eastAsia="zh-CN"/>
            </w:rPr>
            <w:t>交付</w:t>
          </w:r>
          <w:r w:rsidRPr="00C557D4">
            <w:rPr>
              <w:rFonts w:hint="eastAsia"/>
              <w:b/>
              <w:sz w:val="48"/>
              <w:szCs w:val="48"/>
            </w:rPr>
            <w:t>报告</w:t>
          </w:r>
        </w:p>
        <w:p w14:paraId="6850FFC0" w14:textId="77777777" w:rsidR="00C557D4" w:rsidRDefault="00C557D4" w:rsidP="00C557D4">
          <w:pPr>
            <w:spacing w:after="156"/>
            <w:jc w:val="center"/>
            <w:rPr>
              <w:b/>
              <w:sz w:val="48"/>
              <w:szCs w:val="48"/>
              <w:lang w:eastAsia="zh-CN"/>
            </w:rPr>
          </w:pPr>
        </w:p>
        <w:p w14:paraId="21ADC7DC" w14:textId="77777777" w:rsidR="00C557D4" w:rsidRDefault="00C557D4" w:rsidP="00C557D4">
          <w:pPr>
            <w:spacing w:after="156"/>
            <w:jc w:val="center"/>
            <w:rPr>
              <w:sz w:val="48"/>
              <w:szCs w:val="48"/>
              <w:lang w:eastAsia="zh-CN"/>
            </w:rPr>
          </w:pPr>
        </w:p>
        <w:p w14:paraId="7823DC37" w14:textId="77777777" w:rsidR="00C557D4" w:rsidRDefault="00C557D4" w:rsidP="00C557D4">
          <w:pPr>
            <w:spacing w:after="156"/>
            <w:jc w:val="center"/>
            <w:rPr>
              <w:sz w:val="48"/>
              <w:szCs w:val="48"/>
              <w:lang w:eastAsia="zh-CN"/>
            </w:rPr>
          </w:pPr>
        </w:p>
        <w:p w14:paraId="0E42BEBF" w14:textId="77777777" w:rsidR="00C557D4" w:rsidRPr="00C557D4" w:rsidRDefault="00C557D4" w:rsidP="00C557D4">
          <w:pPr>
            <w:spacing w:after="156"/>
            <w:jc w:val="center"/>
            <w:rPr>
              <w:rFonts w:hint="eastAsia"/>
              <w:sz w:val="48"/>
              <w:szCs w:val="48"/>
              <w:lang w:eastAsia="zh-CN"/>
            </w:rPr>
          </w:pPr>
        </w:p>
        <w:p w14:paraId="490A76B5" w14:textId="77777777" w:rsidR="00C557D4" w:rsidRDefault="00664776" w:rsidP="00664776">
          <w:pPr>
            <w:pStyle w:val="affa"/>
            <w:spacing w:after="156"/>
            <w:rPr>
              <w:rFonts w:cs="Arial"/>
            </w:rPr>
          </w:pPr>
          <w:r>
            <w:rPr>
              <w:rFonts w:cs="Arial" w:hint="eastAsia"/>
            </w:rPr>
            <w:t>北京大学</w:t>
          </w:r>
        </w:p>
        <w:p w14:paraId="6BF35D2F" w14:textId="5E78F8AF" w:rsidR="00664776" w:rsidRDefault="00664776" w:rsidP="00664776">
          <w:pPr>
            <w:pStyle w:val="affa"/>
            <w:spacing w:after="156"/>
            <w:rPr>
              <w:rFonts w:cs="Arial"/>
            </w:rPr>
          </w:pPr>
          <w:r>
            <w:rPr>
              <w:rFonts w:cs="Arial" w:hint="eastAsia"/>
            </w:rPr>
            <w:t>2026</w:t>
          </w:r>
          <w:r>
            <w:rPr>
              <w:rFonts w:cs="Arial" w:hint="eastAsia"/>
            </w:rPr>
            <w:t>年</w:t>
          </w:r>
          <w:r w:rsidR="00F11791">
            <w:rPr>
              <w:rFonts w:cs="Arial" w:hint="eastAsia"/>
            </w:rPr>
            <w:t>8</w:t>
          </w:r>
          <w:r>
            <w:rPr>
              <w:rFonts w:cs="Arial" w:hint="eastAsia"/>
            </w:rPr>
            <w:t>月</w:t>
          </w:r>
        </w:p>
        <w:p w14:paraId="724AC9EF" w14:textId="77777777" w:rsidR="00664776" w:rsidRDefault="00664776" w:rsidP="00664776">
          <w:pPr>
            <w:spacing w:after="156"/>
            <w:rPr>
              <w:lang w:eastAsia="zh-CN"/>
            </w:rPr>
          </w:pPr>
        </w:p>
        <w:p w14:paraId="3A31CB63" w14:textId="77777777" w:rsidR="00664776" w:rsidRDefault="00664776" w:rsidP="00664776">
          <w:pPr>
            <w:snapToGrid w:val="0"/>
            <w:spacing w:line="590" w:lineRule="exact"/>
            <w:rPr>
              <w:rFonts w:ascii="仿宋" w:eastAsia="仿宋" w:hAnsi="仿宋" w:cs="仿宋" w:hint="eastAsia"/>
              <w:sz w:val="32"/>
              <w:szCs w:val="32"/>
              <w:lang w:eastAsia="zh-CN"/>
            </w:rPr>
          </w:pPr>
        </w:p>
        <w:p w14:paraId="7925E6C3" w14:textId="77777777" w:rsidR="00664776" w:rsidRDefault="00664776" w:rsidP="00664776">
          <w:pPr>
            <w:snapToGrid w:val="0"/>
            <w:spacing w:line="590" w:lineRule="exact"/>
            <w:rPr>
              <w:rFonts w:ascii="仿宋" w:eastAsia="仿宋" w:hAnsi="仿宋" w:cs="仿宋" w:hint="eastAsia"/>
              <w:sz w:val="32"/>
              <w:szCs w:val="32"/>
              <w:lang w:eastAsia="zh-CN"/>
            </w:rPr>
          </w:pPr>
        </w:p>
        <w:p w14:paraId="0F63B5F2" w14:textId="77777777" w:rsidR="00664776" w:rsidRDefault="00664776" w:rsidP="00664776">
          <w:pPr>
            <w:snapToGrid w:val="0"/>
            <w:spacing w:line="590" w:lineRule="exact"/>
            <w:rPr>
              <w:rFonts w:ascii="仿宋" w:eastAsia="仿宋" w:hAnsi="仿宋" w:cs="仿宋" w:hint="eastAsia"/>
              <w:sz w:val="32"/>
              <w:szCs w:val="32"/>
              <w:lang w:eastAsia="zh-CN"/>
            </w:rPr>
          </w:pPr>
        </w:p>
        <w:p w14:paraId="7F47CA12" w14:textId="77777777" w:rsidR="00664776" w:rsidRPr="00F62151" w:rsidRDefault="00664776" w:rsidP="00664776">
          <w:pPr>
            <w:snapToGrid w:val="0"/>
            <w:spacing w:line="590" w:lineRule="exact"/>
            <w:jc w:val="center"/>
            <w:rPr>
              <w:rFonts w:ascii="仿宋" w:eastAsia="仿宋" w:hAnsi="仿宋" w:cs="仿宋" w:hint="eastAsia"/>
              <w:sz w:val="52"/>
              <w:szCs w:val="52"/>
              <w:lang w:eastAsia="zh-CN"/>
            </w:rPr>
          </w:pPr>
          <w:r w:rsidRPr="00F62151">
            <w:rPr>
              <w:rFonts w:ascii="仿宋" w:eastAsia="仿宋" w:hAnsi="仿宋" w:cs="仿宋" w:hint="eastAsia"/>
              <w:sz w:val="52"/>
              <w:szCs w:val="52"/>
              <w:lang w:eastAsia="zh-CN"/>
            </w:rPr>
            <w:lastRenderedPageBreak/>
            <w:t>目录</w:t>
          </w:r>
        </w:p>
        <w:p w14:paraId="384002A3" w14:textId="79912C16" w:rsidR="00664776" w:rsidRDefault="0066477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r>
            <w:rPr>
              <w:rFonts w:ascii="仿宋" w:eastAsia="仿宋" w:hAnsi="仿宋" w:cs="仿宋" w:hint="eastAsia"/>
              <w:sz w:val="28"/>
              <w:szCs w:val="28"/>
            </w:rPr>
            <w:fldChar w:fldCharType="begin"/>
          </w:r>
          <w:r>
            <w:rPr>
              <w:rFonts w:ascii="仿宋" w:eastAsia="仿宋" w:hAnsi="仿宋" w:cs="仿宋" w:hint="eastAsia"/>
              <w:sz w:val="28"/>
              <w:szCs w:val="28"/>
            </w:rPr>
            <w:instrText xml:space="preserve"> TOC \o "1-2" \h \z \u </w:instrText>
          </w:r>
          <w:r>
            <w:rPr>
              <w:rFonts w:ascii="仿宋" w:eastAsia="仿宋" w:hAnsi="仿宋" w:cs="仿宋" w:hint="eastAsia"/>
              <w:sz w:val="28"/>
              <w:szCs w:val="28"/>
            </w:rPr>
            <w:fldChar w:fldCharType="separate"/>
          </w:r>
          <w:hyperlink w:anchor="_Toc237208955" w:history="1">
            <w:r w:rsidRPr="00640B3C">
              <w:rPr>
                <w:rStyle w:val="aff9"/>
                <w:rFonts w:eastAsia="微软雅黑"/>
                <w:noProof/>
              </w:rPr>
              <w:t xml:space="preserve">1 </w:t>
            </w:r>
            <w:r w:rsidRPr="00640B3C">
              <w:rPr>
                <w:rStyle w:val="aff9"/>
                <w:rFonts w:eastAsia="微软雅黑"/>
                <w:noProof/>
              </w:rPr>
              <w:t>背景与目标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B2040E" w14:textId="507D2F60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56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1.1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背景介绍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524295" w14:textId="2E67CBDA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57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1.2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工作目标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D1427D" w14:textId="3F517A5C" w:rsidR="00664776" w:rsidRDefault="0066477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7208958" w:history="1">
            <w:r w:rsidRPr="00640B3C">
              <w:rPr>
                <w:rStyle w:val="aff9"/>
                <w:rFonts w:eastAsia="微软雅黑"/>
                <w:noProof/>
              </w:rPr>
              <w:t xml:space="preserve">2 </w:t>
            </w:r>
            <w:r w:rsidRPr="00640B3C">
              <w:rPr>
                <w:rStyle w:val="aff9"/>
                <w:rFonts w:eastAsia="微软雅黑"/>
                <w:noProof/>
              </w:rPr>
              <w:t>研究现状及技术选型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F0B8FC" w14:textId="4AA22CCA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59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2.1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同业调研与业务启示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F573E2" w14:textId="08B4252D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60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2.2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6BAB3A" w14:textId="42CD5572" w:rsidR="00664776" w:rsidRDefault="0066477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7208961" w:history="1">
            <w:r w:rsidRPr="00640B3C">
              <w:rPr>
                <w:rStyle w:val="aff9"/>
                <w:rFonts w:eastAsia="微软雅黑"/>
                <w:noProof/>
              </w:rPr>
              <w:t xml:space="preserve">3 </w:t>
            </w:r>
            <w:r w:rsidRPr="00640B3C">
              <w:rPr>
                <w:rStyle w:val="aff9"/>
                <w:rFonts w:eastAsia="微软雅黑"/>
                <w:noProof/>
              </w:rPr>
              <w:t>数据集构建方案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488F1" w14:textId="5DB6A749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62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3.1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数据清洗与预处理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565A39" w14:textId="031B68D4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63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3.2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标签定义与业务解释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CFF9ED" w14:textId="584A149C" w:rsidR="00664776" w:rsidRDefault="0066477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7208964" w:history="1">
            <w:r w:rsidRPr="00640B3C">
              <w:rPr>
                <w:rStyle w:val="aff9"/>
                <w:rFonts w:eastAsia="微软雅黑"/>
                <w:noProof/>
              </w:rPr>
              <w:t xml:space="preserve">4 </w:t>
            </w:r>
            <w:r w:rsidRPr="00640B3C">
              <w:rPr>
                <w:rStyle w:val="aff9"/>
                <w:rFonts w:eastAsia="微软雅黑"/>
                <w:noProof/>
              </w:rPr>
              <w:t>信用卡交易欺诈（含电诈）实时监测大模型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B3BBEF" w14:textId="4A039488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65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4.1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总体架构设计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3D9A91" w14:textId="14C105BF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66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4.2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模型训练与评估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F5EE2" w14:textId="25D681B7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67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4.3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大模型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Prompt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与决策输出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7AC09" w14:textId="3F51D150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68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4.4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建模效果与样例解析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1FCE5A" w14:textId="31A2B9A9" w:rsidR="00664776" w:rsidRDefault="0066477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7208969" w:history="1">
            <w:r w:rsidRPr="00640B3C">
              <w:rPr>
                <w:rStyle w:val="aff9"/>
                <w:rFonts w:eastAsia="微软雅黑"/>
                <w:noProof/>
              </w:rPr>
              <w:t xml:space="preserve">5 </w:t>
            </w:r>
            <w:r w:rsidRPr="00640B3C">
              <w:rPr>
                <w:rStyle w:val="aff9"/>
                <w:rFonts w:eastAsia="微软雅黑"/>
                <w:noProof/>
              </w:rPr>
              <w:t>应用方案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3C40EA" w14:textId="40A4DB64" w:rsidR="00664776" w:rsidRDefault="0066477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7208970" w:history="1">
            <w:r w:rsidRPr="00640B3C">
              <w:rPr>
                <w:rStyle w:val="aff9"/>
                <w:rFonts w:eastAsia="微软雅黑"/>
                <w:noProof/>
              </w:rPr>
              <w:t xml:space="preserve">6 </w:t>
            </w:r>
            <w:r w:rsidRPr="00640B3C">
              <w:rPr>
                <w:rStyle w:val="aff9"/>
                <w:rFonts w:eastAsia="微软雅黑"/>
                <w:noProof/>
              </w:rPr>
              <w:t>实施计划与交付总结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933243" w14:textId="6EEE1880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71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6.1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当前交付成果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FC2BB3" w14:textId="05B714BF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72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6.2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后续完善计划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25596D" w14:textId="2B196DE7" w:rsidR="00664776" w:rsidRDefault="00664776">
          <w:pPr>
            <w:pStyle w:val="TOC2"/>
            <w:tabs>
              <w:tab w:val="right" w:leader="dot" w:pos="9350"/>
            </w:tabs>
            <w:ind w:left="440"/>
            <w:rPr>
              <w:noProof/>
              <w:sz w:val="22"/>
              <w14:ligatures w14:val="standardContextual"/>
            </w:rPr>
          </w:pPr>
          <w:hyperlink w:anchor="_Toc237208973" w:history="1">
            <w:r w:rsidRPr="00640B3C">
              <w:rPr>
                <w:rStyle w:val="aff9"/>
                <w:rFonts w:ascii="Calibri" w:eastAsia="微软雅黑" w:hAnsi="Calibri"/>
                <w:noProof/>
              </w:rPr>
              <w:t xml:space="preserve">6.3 </w:t>
            </w:r>
            <w:r w:rsidRPr="00640B3C">
              <w:rPr>
                <w:rStyle w:val="aff9"/>
                <w:rFonts w:ascii="Calibri" w:eastAsia="微软雅黑" w:hAnsi="Calibri"/>
                <w:noProof/>
              </w:rPr>
              <w:t>结项结论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_Toc237208973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179E72" w14:textId="7AE49DE9" w:rsidR="00664776" w:rsidRPr="00F62151" w:rsidRDefault="00664776" w:rsidP="00664776">
          <w:pPr>
            <w:snapToGrid w:val="0"/>
            <w:spacing w:line="480" w:lineRule="auto"/>
            <w:rPr>
              <w:rFonts w:ascii="仿宋" w:eastAsia="仿宋" w:hAnsi="仿宋" w:cs="仿宋" w:hint="eastAsia"/>
              <w:sz w:val="32"/>
              <w:szCs w:val="32"/>
            </w:rPr>
          </w:pPr>
          <w:r>
            <w:rPr>
              <w:rFonts w:ascii="仿宋" w:eastAsia="仿宋" w:hAnsi="仿宋" w:cs="仿宋" w:hint="eastAsia"/>
              <w:kern w:val="2"/>
              <w:sz w:val="28"/>
              <w:szCs w:val="28"/>
              <w:lang w:eastAsia="zh-CN"/>
            </w:rPr>
            <w:fldChar w:fldCharType="end"/>
          </w:r>
        </w:p>
      </w:sdtContent>
    </w:sdt>
    <w:p w14:paraId="712641FE" w14:textId="77777777" w:rsidR="00664776" w:rsidRPr="00F62151" w:rsidRDefault="00664776" w:rsidP="00664776">
      <w:pPr>
        <w:snapToGrid w:val="0"/>
        <w:spacing w:line="480" w:lineRule="auto"/>
        <w:outlineLvl w:val="0"/>
        <w:rPr>
          <w:rFonts w:ascii="仿宋" w:eastAsia="仿宋" w:hAnsi="仿宋" w:cs="仿宋" w:hint="eastAsia"/>
          <w:b/>
          <w:bCs/>
          <w:sz w:val="32"/>
          <w:szCs w:val="32"/>
        </w:rPr>
      </w:pPr>
    </w:p>
    <w:p w14:paraId="63BEB185" w14:textId="77777777" w:rsidR="00664776" w:rsidRDefault="00664776" w:rsidP="00664776">
      <w:pPr>
        <w:tabs>
          <w:tab w:val="left" w:pos="4794"/>
        </w:tabs>
        <w:snapToGrid w:val="0"/>
        <w:spacing w:line="590" w:lineRule="exact"/>
        <w:outlineLvl w:val="0"/>
        <w:rPr>
          <w:rFonts w:ascii="仿宋" w:eastAsia="仿宋" w:hAnsi="仿宋" w:cs="仿宋" w:hint="eastAsia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ab/>
      </w:r>
    </w:p>
    <w:p w14:paraId="15514C21" w14:textId="08C7DE47" w:rsidR="00037819" w:rsidRDefault="00037819">
      <w:pPr>
        <w:rPr>
          <w:lang w:eastAsia="zh-CN"/>
        </w:rPr>
      </w:pPr>
    </w:p>
    <w:p w14:paraId="29A83A40" w14:textId="77777777" w:rsidR="00C557D4" w:rsidRDefault="00C557D4">
      <w:pPr>
        <w:rPr>
          <w:rFonts w:hint="eastAsia"/>
          <w:lang w:eastAsia="zh-CN"/>
        </w:rPr>
      </w:pPr>
    </w:p>
    <w:p w14:paraId="6AE259F7" w14:textId="77777777" w:rsidR="00037819" w:rsidRDefault="00936B65">
      <w:pPr>
        <w:pStyle w:val="1"/>
        <w:rPr>
          <w:lang w:eastAsia="zh-CN"/>
        </w:rPr>
      </w:pPr>
      <w:bookmarkStart w:id="0" w:name="_Toc237208955"/>
      <w:r>
        <w:rPr>
          <w:rFonts w:ascii="Calibri" w:eastAsia="微软雅黑" w:hAnsi="Calibri"/>
          <w:lang w:eastAsia="zh-CN"/>
        </w:rPr>
        <w:lastRenderedPageBreak/>
        <w:t xml:space="preserve">1 </w:t>
      </w:r>
      <w:r>
        <w:rPr>
          <w:rFonts w:ascii="Calibri" w:eastAsia="微软雅黑" w:hAnsi="Calibri"/>
          <w:lang w:eastAsia="zh-CN"/>
        </w:rPr>
        <w:t>背景与目标</w:t>
      </w:r>
      <w:bookmarkEnd w:id="0"/>
    </w:p>
    <w:p w14:paraId="08A2399E" w14:textId="77777777" w:rsidR="00037819" w:rsidRDefault="00936B65">
      <w:pPr>
        <w:pStyle w:val="21"/>
        <w:rPr>
          <w:lang w:eastAsia="zh-CN"/>
        </w:rPr>
      </w:pPr>
      <w:bookmarkStart w:id="1" w:name="_Toc237208956"/>
      <w:r>
        <w:rPr>
          <w:rFonts w:ascii="Calibri" w:eastAsia="微软雅黑" w:hAnsi="Calibri"/>
          <w:lang w:eastAsia="zh-CN"/>
        </w:rPr>
        <w:t xml:space="preserve">1.1 </w:t>
      </w:r>
      <w:r>
        <w:rPr>
          <w:rFonts w:ascii="Calibri" w:eastAsia="微软雅黑" w:hAnsi="Calibri"/>
          <w:lang w:eastAsia="zh-CN"/>
        </w:rPr>
        <w:t>背景介绍</w:t>
      </w:r>
      <w:bookmarkEnd w:id="1"/>
    </w:p>
    <w:p w14:paraId="528910A1" w14:textId="77777777" w:rsidR="00037819" w:rsidRDefault="00936B65">
      <w:pPr>
        <w:rPr>
          <w:lang w:eastAsia="zh-CN"/>
        </w:rPr>
      </w:pPr>
      <w:r>
        <w:rPr>
          <w:lang w:eastAsia="zh-CN"/>
        </w:rPr>
        <w:t>在电信网络诈骗、买卖银行卡、盗刷套现等风险持续演化的背景下，信用卡交易风险管控需要同时兼顾客户资金安全、交易便利性和运营处置效率。我行现阶段在电诈风险管控中大量采用实时模型</w:t>
      </w:r>
      <w:r>
        <w:rPr>
          <w:lang w:eastAsia="zh-CN"/>
        </w:rPr>
        <w:t>“</w:t>
      </w:r>
      <w:r>
        <w:rPr>
          <w:lang w:eastAsia="zh-CN"/>
        </w:rPr>
        <w:t>先控再核</w:t>
      </w:r>
      <w:r>
        <w:rPr>
          <w:lang w:eastAsia="zh-CN"/>
        </w:rPr>
        <w:t>”</w:t>
      </w:r>
      <w:r>
        <w:rPr>
          <w:lang w:eastAsia="zh-CN"/>
        </w:rPr>
        <w:t>的方式：当交易命中风险模型后，相关账户会被及时锁定为只收不付状态，再由分行运营及风控人员开展人工核查与处置。</w:t>
      </w:r>
    </w:p>
    <w:p w14:paraId="6F4FCD19" w14:textId="77777777" w:rsidR="00037819" w:rsidRDefault="00936B65">
      <w:pPr>
        <w:rPr>
          <w:lang w:eastAsia="zh-CN"/>
        </w:rPr>
      </w:pPr>
      <w:r>
        <w:rPr>
          <w:lang w:eastAsia="zh-CN"/>
        </w:rPr>
        <w:t>该模式能够在风险发生早期筑牢防线，但在业务落地过程中也暴露出模型精准度、客户体验、跨部门协同和解控标准化等方面的问题。由于模型无法做到百分之百精准识别，部分正常消费或民生交易可能被误判拦截，客户需要通过柜面、电话银行、手机银行等渠道发起解控诉求，处置链路长、响应要求高、口径一致性难以保障。</w:t>
      </w:r>
    </w:p>
    <w:p w14:paraId="637C2567" w14:textId="77777777" w:rsidR="00037819" w:rsidRDefault="00936B65">
      <w:pPr>
        <w:rPr>
          <w:lang w:eastAsia="zh-CN"/>
        </w:rPr>
      </w:pPr>
      <w:r>
        <w:rPr>
          <w:lang w:eastAsia="zh-CN"/>
        </w:rPr>
        <w:t>本项目以</w:t>
      </w:r>
      <w:r>
        <w:rPr>
          <w:lang w:eastAsia="zh-CN"/>
        </w:rPr>
        <w:t>“</w:t>
      </w:r>
      <w:r>
        <w:rPr>
          <w:lang w:eastAsia="zh-CN"/>
        </w:rPr>
        <w:t>信用卡交易欺诈（含电诈）实时监测大模型</w:t>
      </w:r>
      <w:r>
        <w:rPr>
          <w:lang w:eastAsia="zh-CN"/>
        </w:rPr>
        <w:t>”</w:t>
      </w:r>
      <w:r>
        <w:rPr>
          <w:lang w:eastAsia="zh-CN"/>
        </w:rPr>
        <w:t>为建设对象，围绕实时模型命中账户的解控判断与风险解释，探索以机器学习模型为底座、以大语言模型为解释与决策辅助层、以专家规则为底线约束的智能化处置体系，帮助业务人员获得可参考、可解释、可追责的标准化依据。</w:t>
      </w:r>
    </w:p>
    <w:p w14:paraId="2CB3BADC" w14:textId="77777777" w:rsidR="00037819" w:rsidRDefault="00936B65">
      <w:pPr>
        <w:pStyle w:val="21"/>
        <w:rPr>
          <w:lang w:eastAsia="zh-CN"/>
        </w:rPr>
      </w:pPr>
      <w:bookmarkStart w:id="2" w:name="_Toc237208957"/>
      <w:r>
        <w:rPr>
          <w:rFonts w:ascii="Calibri" w:eastAsia="微软雅黑" w:hAnsi="Calibri"/>
          <w:lang w:eastAsia="zh-CN"/>
        </w:rPr>
        <w:t xml:space="preserve">1.2 </w:t>
      </w:r>
      <w:r>
        <w:rPr>
          <w:rFonts w:ascii="Calibri" w:eastAsia="微软雅黑" w:hAnsi="Calibri"/>
          <w:lang w:eastAsia="zh-CN"/>
        </w:rPr>
        <w:t>工作目标</w:t>
      </w:r>
      <w:bookmarkEnd w:id="2"/>
    </w:p>
    <w:p w14:paraId="0614469E" w14:textId="77777777" w:rsidR="00037819" w:rsidRDefault="00936B65">
      <w:r>
        <w:rPr>
          <w:lang w:eastAsia="zh-CN"/>
        </w:rPr>
        <w:t>项目目标不是以大模型替代风控人员或直接绕过既有管控机制，而是在合规可控前提下提升识别、解释、分流与沟通效率。</w:t>
      </w:r>
      <w:r>
        <w:t>核心目标包括：</w:t>
      </w:r>
    </w:p>
    <w:p w14:paraId="52E5D3D2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建立面向信用卡欺诈与电诈风险的结构化特征体系，覆盖客户画像、卡片信息、交易行为、账户资产负债、渠道使用、产品服务与风险规则等维度。</w:t>
      </w:r>
    </w:p>
    <w:p w14:paraId="55FBF083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训练具备初步自动化识别能力的风险模型，并通过可解释模型输出风险评分、关键贡献特征和判定方向。</w:t>
      </w:r>
    </w:p>
    <w:p w14:paraId="3D46A788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设计面向风控处置的大模型</w:t>
      </w:r>
      <w:r>
        <w:rPr>
          <w:lang w:eastAsia="zh-CN"/>
        </w:rPr>
        <w:t>Prompt</w:t>
      </w:r>
      <w:r>
        <w:rPr>
          <w:lang w:eastAsia="zh-CN"/>
        </w:rPr>
        <w:t>模板，将模型评分、关键特征和原始交易数据转化为标准化决策报告。</w:t>
      </w:r>
    </w:p>
    <w:p w14:paraId="5A95F35B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输出</w:t>
      </w:r>
      <w:r>
        <w:rPr>
          <w:lang w:eastAsia="zh-CN"/>
        </w:rPr>
        <w:t>“</w:t>
      </w:r>
      <w:r>
        <w:rPr>
          <w:lang w:eastAsia="zh-CN"/>
        </w:rPr>
        <w:t>决策建议、判断依据、沟通话术</w:t>
      </w:r>
      <w:r>
        <w:rPr>
          <w:lang w:eastAsia="zh-CN"/>
        </w:rPr>
        <w:t>”</w:t>
      </w:r>
      <w:r>
        <w:rPr>
          <w:lang w:eastAsia="zh-CN"/>
        </w:rPr>
        <w:t>三层内容，分别服务于业务处置、内部审核和客户沟通。</w:t>
      </w:r>
    </w:p>
    <w:p w14:paraId="45A5D9ED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形成</w:t>
      </w:r>
      <w:r>
        <w:rPr>
          <w:lang w:eastAsia="zh-CN"/>
        </w:rPr>
        <w:t>“</w:t>
      </w:r>
      <w:r>
        <w:rPr>
          <w:lang w:eastAsia="zh-CN"/>
        </w:rPr>
        <w:t>自动解控</w:t>
      </w:r>
      <w:r>
        <w:rPr>
          <w:lang w:eastAsia="zh-CN"/>
        </w:rPr>
        <w:t>+</w:t>
      </w:r>
      <w:r>
        <w:rPr>
          <w:lang w:eastAsia="zh-CN"/>
        </w:rPr>
        <w:t>人工处理</w:t>
      </w:r>
      <w:r>
        <w:rPr>
          <w:lang w:eastAsia="zh-CN"/>
        </w:rPr>
        <w:t>+</w:t>
      </w:r>
      <w:r>
        <w:rPr>
          <w:lang w:eastAsia="zh-CN"/>
        </w:rPr>
        <w:t>超时兜底</w:t>
      </w:r>
      <w:r>
        <w:rPr>
          <w:lang w:eastAsia="zh-CN"/>
        </w:rPr>
        <w:t>”</w:t>
      </w:r>
      <w:r>
        <w:rPr>
          <w:lang w:eastAsia="zh-CN"/>
        </w:rPr>
        <w:t>的闭环思路，降低误控投诉压力，提高客户诉求处理覆盖率。</w:t>
      </w:r>
    </w:p>
    <w:p w14:paraId="06A63A35" w14:textId="77777777" w:rsidR="00037819" w:rsidRDefault="00936B65">
      <w:pPr>
        <w:pStyle w:val="1"/>
        <w:rPr>
          <w:lang w:eastAsia="zh-CN"/>
        </w:rPr>
      </w:pPr>
      <w:bookmarkStart w:id="3" w:name="_Toc237208958"/>
      <w:r>
        <w:rPr>
          <w:rFonts w:ascii="Calibri" w:eastAsia="微软雅黑" w:hAnsi="Calibri"/>
          <w:lang w:eastAsia="zh-CN"/>
        </w:rPr>
        <w:t xml:space="preserve">2 </w:t>
      </w:r>
      <w:r>
        <w:rPr>
          <w:rFonts w:ascii="Calibri" w:eastAsia="微软雅黑" w:hAnsi="Calibri"/>
          <w:lang w:eastAsia="zh-CN"/>
        </w:rPr>
        <w:t>研究现状及技术选型</w:t>
      </w:r>
      <w:bookmarkEnd w:id="3"/>
    </w:p>
    <w:p w14:paraId="3213C651" w14:textId="77777777" w:rsidR="00037819" w:rsidRDefault="00936B65">
      <w:pPr>
        <w:pStyle w:val="21"/>
        <w:rPr>
          <w:lang w:eastAsia="zh-CN"/>
        </w:rPr>
      </w:pPr>
      <w:bookmarkStart w:id="4" w:name="_Toc237208959"/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同业调研与业务启示</w:t>
      </w:r>
      <w:bookmarkEnd w:id="4"/>
    </w:p>
    <w:p w14:paraId="3BABDAB5" w14:textId="77777777" w:rsidR="00037819" w:rsidRDefault="00936B65">
      <w:pPr>
        <w:rPr>
          <w:lang w:eastAsia="zh-CN"/>
        </w:rPr>
      </w:pPr>
      <w:r>
        <w:rPr>
          <w:lang w:eastAsia="zh-CN"/>
        </w:rPr>
        <w:t>前期调研重点参考了个人金融业务中较成熟的解控模式。该类业务场景通常业务量级大、流程成熟，已形成</w:t>
      </w:r>
      <w:r>
        <w:rPr>
          <w:lang w:eastAsia="zh-CN"/>
        </w:rPr>
        <w:t>“</w:t>
      </w:r>
      <w:r>
        <w:rPr>
          <w:lang w:eastAsia="zh-CN"/>
        </w:rPr>
        <w:t>模型</w:t>
      </w:r>
      <w:r>
        <w:rPr>
          <w:lang w:eastAsia="zh-CN"/>
        </w:rPr>
        <w:t>+</w:t>
      </w:r>
      <w:r>
        <w:rPr>
          <w:lang w:eastAsia="zh-CN"/>
        </w:rPr>
        <w:t>专家规则</w:t>
      </w:r>
      <w:r>
        <w:rPr>
          <w:lang w:eastAsia="zh-CN"/>
        </w:rPr>
        <w:t>+</w:t>
      </w:r>
      <w:r>
        <w:rPr>
          <w:lang w:eastAsia="zh-CN"/>
        </w:rPr>
        <w:t>分流</w:t>
      </w:r>
      <w:r>
        <w:rPr>
          <w:lang w:eastAsia="zh-CN"/>
        </w:rPr>
        <w:t>+</w:t>
      </w:r>
      <w:r>
        <w:rPr>
          <w:lang w:eastAsia="zh-CN"/>
        </w:rPr>
        <w:t>兜底</w:t>
      </w:r>
      <w:r>
        <w:rPr>
          <w:lang w:eastAsia="zh-CN"/>
        </w:rPr>
        <w:t>”</w:t>
      </w:r>
      <w:r>
        <w:rPr>
          <w:lang w:eastAsia="zh-CN"/>
        </w:rPr>
        <w:t>的完整风控闭环，并较好地打通了手机银行等线上申请渠道，能够在效率与安全之间取得相对平衡。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860"/>
        <w:gridCol w:w="3900"/>
      </w:tblGrid>
      <w:tr w:rsidR="00037819" w14:paraId="34FDD0AB" w14:textId="77777777">
        <w:trPr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1DF5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lastRenderedPageBreak/>
              <w:t>环节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0F6E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做法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B71F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对本项目的启示</w:t>
            </w:r>
          </w:p>
        </w:tc>
      </w:tr>
      <w:tr w:rsidR="00037819" w14:paraId="021CB8E0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F0A3" w14:textId="77777777" w:rsidR="00037819" w:rsidRDefault="00936B65">
            <w:r>
              <w:t>线上申请发起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5FC0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客户通过手机银行等线上渠道自主提交解控申请。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2DFB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减少客户线下跑腿，提升申诉入口便利性。</w:t>
            </w:r>
          </w:p>
        </w:tc>
      </w:tr>
      <w:tr w:rsidR="00037819" w14:paraId="089B1107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0FD1" w14:textId="77777777" w:rsidR="00037819" w:rsidRDefault="00936B65">
            <w:r>
              <w:t>模型智能初筛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7F5E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大模型或风险模型先行初判，低风险标准化场景可自动解控。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4411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将低风险、标准化诉求前置分流，释放人工审核资源。</w:t>
            </w:r>
          </w:p>
        </w:tc>
      </w:tr>
      <w:tr w:rsidR="00037819" w14:paraId="158733B0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ECA5" w14:textId="77777777" w:rsidR="00037819" w:rsidRDefault="00936B65">
            <w:r>
              <w:t>人机联合研判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4B22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复杂场景进入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大模型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专家规则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环节，输出风险点、等级和处置建议。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4559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兼顾模型灵活判断与规则底线约束。</w:t>
            </w:r>
          </w:p>
        </w:tc>
      </w:tr>
      <w:tr w:rsidR="00037819" w14:paraId="5164A912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9DEE" w14:textId="77777777" w:rsidR="00037819" w:rsidRDefault="00936B65">
            <w:r>
              <w:t>人工审核兜底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C01B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疑难或高风险申请流转至人工审核。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7D09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确保高风险账户不因自动化流程被误放行。</w:t>
            </w:r>
          </w:p>
        </w:tc>
      </w:tr>
      <w:tr w:rsidR="00037819" w14:paraId="3A789065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F979" w14:textId="77777777" w:rsidR="00037819" w:rsidRDefault="00936B65">
            <w:r>
              <w:t>闭环收尾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59F2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超时未处理时由系统触发规则或模型自动收尾。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5B3A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保障申请百分百覆盖，避免客户诉求长期悬挂。</w:t>
            </w:r>
          </w:p>
        </w:tc>
      </w:tr>
    </w:tbl>
    <w:p w14:paraId="3E4841BE" w14:textId="77777777" w:rsidR="00037819" w:rsidRDefault="00936B65">
      <w:pPr>
        <w:pStyle w:val="21"/>
        <w:rPr>
          <w:lang w:eastAsia="zh-CN"/>
        </w:rPr>
      </w:pPr>
      <w:bookmarkStart w:id="5" w:name="_Toc237208960"/>
      <w:r>
        <w:rPr>
          <w:rFonts w:ascii="Calibri" w:eastAsia="微软雅黑" w:hAnsi="Calibri"/>
          <w:lang w:eastAsia="zh-CN"/>
        </w:rPr>
        <w:t xml:space="preserve">2.2 </w:t>
      </w:r>
      <w:r>
        <w:rPr>
          <w:rFonts w:ascii="Calibri" w:eastAsia="微软雅黑" w:hAnsi="Calibri"/>
          <w:lang w:eastAsia="zh-CN"/>
        </w:rPr>
        <w:t>技术选型</w:t>
      </w:r>
      <w:bookmarkEnd w:id="5"/>
    </w:p>
    <w:p w14:paraId="750EE1B3" w14:textId="77777777" w:rsidR="00037819" w:rsidRDefault="00936B65">
      <w:pPr>
        <w:rPr>
          <w:lang w:eastAsia="zh-CN"/>
        </w:rPr>
      </w:pPr>
      <w:r>
        <w:rPr>
          <w:lang w:eastAsia="zh-CN"/>
        </w:rPr>
        <w:t>结合信用卡欺诈和电诈风险处置对安全性、可解释性和可追责性的要求，项目采用</w:t>
      </w:r>
      <w:r>
        <w:rPr>
          <w:lang w:eastAsia="zh-CN"/>
        </w:rPr>
        <w:t>“</w:t>
      </w:r>
      <w:r>
        <w:rPr>
          <w:lang w:eastAsia="zh-CN"/>
        </w:rPr>
        <w:t>可解释机器学习模型</w:t>
      </w:r>
      <w:r>
        <w:rPr>
          <w:lang w:eastAsia="zh-CN"/>
        </w:rPr>
        <w:t>+</w:t>
      </w:r>
      <w:r>
        <w:rPr>
          <w:lang w:eastAsia="zh-CN"/>
        </w:rPr>
        <w:t>大语言模型推理</w:t>
      </w:r>
      <w:r>
        <w:rPr>
          <w:lang w:eastAsia="zh-CN"/>
        </w:rPr>
        <w:t>+</w:t>
      </w:r>
      <w:r>
        <w:rPr>
          <w:lang w:eastAsia="zh-CN"/>
        </w:rPr>
        <w:t>专家规则约束</w:t>
      </w:r>
      <w:r>
        <w:rPr>
          <w:lang w:eastAsia="zh-CN"/>
        </w:rPr>
        <w:t>”</w:t>
      </w:r>
      <w:r>
        <w:rPr>
          <w:lang w:eastAsia="zh-CN"/>
        </w:rPr>
        <w:t>的组合技术路线。</w:t>
      </w:r>
    </w:p>
    <w:p w14:paraId="56F57B66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特征工程层：基于客户基本信息、交易行为、账户状态、渠道使用和命中规则等变量构建风险特征，并进行标准化处理。</w:t>
      </w:r>
    </w:p>
    <w:p w14:paraId="228BDD23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模型训练层：采用逻辑回归保障可解释性，并同步训练多层感知机捕获非线性风险关系；针对样本失衡实施随机下采样。</w:t>
      </w:r>
    </w:p>
    <w:p w14:paraId="6AAF3C76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大模型应用层：通过结构化</w:t>
      </w:r>
      <w:r>
        <w:rPr>
          <w:lang w:eastAsia="zh-CN"/>
        </w:rPr>
        <w:t>Prompt</w:t>
      </w:r>
      <w:r>
        <w:rPr>
          <w:lang w:eastAsia="zh-CN"/>
        </w:rPr>
        <w:t>承接风险评分、核心特征和原始数据画像，输出面向业务处置的标准化报告。</w:t>
      </w:r>
    </w:p>
    <w:p w14:paraId="5FAF7646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专家规则层：对公安司法涉案账户、监管或人行明确管控账户等银行无权实质判断的场景进行前置拦截，保证合规底线。</w:t>
      </w:r>
    </w:p>
    <w:p w14:paraId="69593B7C" w14:textId="77777777" w:rsidR="00037819" w:rsidRDefault="00936B65">
      <w:pPr>
        <w:rPr>
          <w:lang w:eastAsia="zh-CN"/>
        </w:rPr>
      </w:pPr>
      <w:r>
        <w:rPr>
          <w:lang w:eastAsia="zh-CN"/>
        </w:rPr>
        <w:br w:type="page"/>
      </w:r>
    </w:p>
    <w:p w14:paraId="1F4BFF02" w14:textId="77777777" w:rsidR="00037819" w:rsidRDefault="00936B65">
      <w:pPr>
        <w:pStyle w:val="1"/>
        <w:rPr>
          <w:lang w:eastAsia="zh-CN"/>
        </w:rPr>
      </w:pPr>
      <w:bookmarkStart w:id="6" w:name="_Toc237208961"/>
      <w:r>
        <w:rPr>
          <w:rFonts w:ascii="Calibri" w:eastAsia="微软雅黑" w:hAnsi="Calibri"/>
          <w:lang w:eastAsia="zh-CN"/>
        </w:rPr>
        <w:lastRenderedPageBreak/>
        <w:t xml:space="preserve">3 </w:t>
      </w:r>
      <w:r>
        <w:rPr>
          <w:rFonts w:ascii="Calibri" w:eastAsia="微软雅黑" w:hAnsi="Calibri"/>
          <w:lang w:eastAsia="zh-CN"/>
        </w:rPr>
        <w:t>数据集构建方案</w:t>
      </w:r>
      <w:bookmarkEnd w:id="6"/>
    </w:p>
    <w:p w14:paraId="4182A5FA" w14:textId="77777777" w:rsidR="00037819" w:rsidRDefault="00936B65">
      <w:pPr>
        <w:rPr>
          <w:lang w:eastAsia="zh-CN"/>
        </w:rPr>
      </w:pPr>
      <w:r>
        <w:rPr>
          <w:lang w:eastAsia="zh-CN"/>
        </w:rPr>
        <w:t>项目数据准备围绕</w:t>
      </w:r>
      <w:r>
        <w:rPr>
          <w:lang w:eastAsia="zh-CN"/>
        </w:rPr>
        <w:t>“</w:t>
      </w:r>
      <w:r>
        <w:rPr>
          <w:lang w:eastAsia="zh-CN"/>
        </w:rPr>
        <w:t>能否支持风险识别、能否解释风险原因、能否转化为业务处置建议</w:t>
      </w:r>
      <w:r>
        <w:rPr>
          <w:lang w:eastAsia="zh-CN"/>
        </w:rPr>
        <w:t>”</w:t>
      </w:r>
      <w:r>
        <w:rPr>
          <w:lang w:eastAsia="zh-CN"/>
        </w:rPr>
        <w:t>三项要求展开。当前方案已对接工行银团建模平台完成数据读取和初步建模，后续需在全量数据特征工程和特征交叉组合方面继续优化。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3860"/>
      </w:tblGrid>
      <w:tr w:rsidR="00037819" w14:paraId="016498E2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2EC7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数据维度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62A7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代表字段</w:t>
            </w:r>
            <w:r>
              <w:rPr>
                <w:rFonts w:eastAsia="微软雅黑"/>
                <w:b/>
              </w:rPr>
              <w:t>/</w:t>
            </w:r>
            <w:r>
              <w:rPr>
                <w:rFonts w:eastAsia="微软雅黑"/>
                <w:b/>
              </w:rPr>
              <w:t>信息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A31F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建模用途</w:t>
            </w:r>
          </w:p>
        </w:tc>
      </w:tr>
      <w:tr w:rsidR="00037819" w14:paraId="71C2922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C78F" w14:textId="77777777" w:rsidR="00037819" w:rsidRDefault="00936B65">
            <w:r>
              <w:t>客户基本信息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67EF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年龄、职业、教育程度、婚姻状态等。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F688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形成客户画像，辅助识别异常行为与客户特征是否匹配。</w:t>
            </w:r>
          </w:p>
        </w:tc>
      </w:tr>
      <w:tr w:rsidR="00037819" w14:paraId="270F3FA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33D1" w14:textId="77777777" w:rsidR="00037819" w:rsidRDefault="00936B65">
            <w:r>
              <w:t>卡片信息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BBC2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卡片领取方式、产品信用额度等。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CB5C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识别新开卡、沉睡卡激活、额度异常使用等风险。</w:t>
            </w:r>
          </w:p>
        </w:tc>
      </w:tr>
      <w:tr w:rsidR="00037819" w14:paraId="7007D01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71C3" w14:textId="77777777" w:rsidR="00037819" w:rsidRDefault="00936B65">
            <w:r>
              <w:t>交易信息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10FD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入金金额、出金金额、交易笔数、夜间交易、跨区域交易等。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C13B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刻画资金快进快出、异地盗用、批量试卡和套现链路。</w:t>
            </w:r>
          </w:p>
        </w:tc>
      </w:tr>
      <w:tr w:rsidR="00037819" w14:paraId="3215C45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21FF" w14:textId="77777777" w:rsidR="00037819" w:rsidRDefault="00936B65">
            <w:r>
              <w:t>账户信息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1D5D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资产总额、负债总额、账户状态等。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37A7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判断资金能力、账户稳定性及风险暴露。</w:t>
            </w:r>
          </w:p>
        </w:tc>
      </w:tr>
      <w:tr w:rsidR="00037819" w14:paraId="3099DCD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A3DD" w14:textId="77777777" w:rsidR="00037819" w:rsidRDefault="00936B65">
            <w:r>
              <w:t>风险控制与设置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0FBC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ATM</w:t>
            </w:r>
            <w:r>
              <w:rPr>
                <w:lang w:eastAsia="zh-CN"/>
              </w:rPr>
              <w:t>适用范围、</w:t>
            </w:r>
            <w:r>
              <w:rPr>
                <w:lang w:eastAsia="zh-CN"/>
              </w:rPr>
              <w:t>POS</w:t>
            </w:r>
            <w:r>
              <w:rPr>
                <w:lang w:eastAsia="zh-CN"/>
              </w:rPr>
              <w:t>适用范围、命中规则代码等。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467B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承接专家规则信号，形成模型与规则联动。</w:t>
            </w:r>
          </w:p>
        </w:tc>
      </w:tr>
      <w:tr w:rsidR="00037819" w14:paraId="00F860E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EDCF" w14:textId="77777777" w:rsidR="00037819" w:rsidRDefault="00936B65">
            <w:r>
              <w:t>渠道与产品服务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D44C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网上银行外汇交易笔数、电话银行、</w:t>
            </w:r>
            <w:r>
              <w:rPr>
                <w:lang w:eastAsia="zh-CN"/>
              </w:rPr>
              <w:t>e</w:t>
            </w:r>
            <w:r>
              <w:rPr>
                <w:lang w:eastAsia="zh-CN"/>
              </w:rPr>
              <w:t>生活开通标志等。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46FF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识别远程操控风险、渠道活跃度与客户正常使用习惯。</w:t>
            </w:r>
          </w:p>
        </w:tc>
      </w:tr>
    </w:tbl>
    <w:p w14:paraId="53A97313" w14:textId="77777777" w:rsidR="00037819" w:rsidRDefault="00936B65">
      <w:pPr>
        <w:pStyle w:val="21"/>
        <w:rPr>
          <w:lang w:eastAsia="zh-CN"/>
        </w:rPr>
      </w:pPr>
      <w:bookmarkStart w:id="7" w:name="_Toc237208962"/>
      <w:r>
        <w:rPr>
          <w:rFonts w:ascii="Calibri" w:eastAsia="微软雅黑" w:hAnsi="Calibri"/>
          <w:lang w:eastAsia="zh-CN"/>
        </w:rPr>
        <w:t xml:space="preserve">3.1 </w:t>
      </w:r>
      <w:r>
        <w:rPr>
          <w:rFonts w:ascii="Calibri" w:eastAsia="微软雅黑" w:hAnsi="Calibri"/>
          <w:lang w:eastAsia="zh-CN"/>
        </w:rPr>
        <w:t>数据清洗与预处理</w:t>
      </w:r>
      <w:bookmarkEnd w:id="7"/>
    </w:p>
    <w:p w14:paraId="26B089DB" w14:textId="77777777" w:rsidR="00037819" w:rsidRDefault="00936B65">
      <w:pPr>
        <w:rPr>
          <w:lang w:eastAsia="zh-CN"/>
        </w:rPr>
      </w:pPr>
      <w:r>
        <w:rPr>
          <w:lang w:eastAsia="zh-CN"/>
        </w:rPr>
        <w:t>在建模处理上，项目采用</w:t>
      </w:r>
      <w:r>
        <w:rPr>
          <w:lang w:eastAsia="zh-CN"/>
        </w:rPr>
        <w:t>Scikit-learn</w:t>
      </w:r>
      <w:r>
        <w:rPr>
          <w:lang w:eastAsia="zh-CN"/>
        </w:rPr>
        <w:t>完成特征去中心化与方差缩放，减少不同量纲变量对模型权重的干扰；针对风控场景中正常卡与风险卡比例严重失衡的问题，采用随机下采样将训练集对齐至</w:t>
      </w:r>
      <w:r>
        <w:rPr>
          <w:lang w:eastAsia="zh-CN"/>
        </w:rPr>
        <w:t>1:1</w:t>
      </w:r>
      <w:r>
        <w:rPr>
          <w:lang w:eastAsia="zh-CN"/>
        </w:rPr>
        <w:t>，以纠正模型预测偏差。</w:t>
      </w:r>
    </w:p>
    <w:p w14:paraId="5DA54F5A" w14:textId="77777777" w:rsidR="00037819" w:rsidRDefault="00936B65">
      <w:pPr>
        <w:pStyle w:val="21"/>
        <w:rPr>
          <w:lang w:eastAsia="zh-CN"/>
        </w:rPr>
      </w:pPr>
      <w:bookmarkStart w:id="8" w:name="_Toc237208963"/>
      <w:r>
        <w:rPr>
          <w:rFonts w:ascii="Calibri" w:eastAsia="微软雅黑" w:hAnsi="Calibri"/>
          <w:lang w:eastAsia="zh-CN"/>
        </w:rPr>
        <w:t xml:space="preserve">3.2 </w:t>
      </w:r>
      <w:r>
        <w:rPr>
          <w:rFonts w:ascii="Calibri" w:eastAsia="微软雅黑" w:hAnsi="Calibri"/>
          <w:lang w:eastAsia="zh-CN"/>
        </w:rPr>
        <w:t>标签定义与业务解释</w:t>
      </w:r>
      <w:bookmarkEnd w:id="8"/>
    </w:p>
    <w:p w14:paraId="29E223C3" w14:textId="77777777" w:rsidR="00037819" w:rsidRDefault="00936B65">
      <w:pPr>
        <w:rPr>
          <w:lang w:eastAsia="zh-CN"/>
        </w:rPr>
      </w:pPr>
      <w:r>
        <w:rPr>
          <w:lang w:eastAsia="zh-CN"/>
        </w:rPr>
        <w:t>标签解释遵循风控处置方向：正系数特征值越高，模型越倾向于</w:t>
      </w:r>
      <w:r>
        <w:rPr>
          <w:lang w:eastAsia="zh-CN"/>
        </w:rPr>
        <w:t>“</w:t>
      </w:r>
      <w:r>
        <w:rPr>
          <w:lang w:eastAsia="zh-CN"/>
        </w:rPr>
        <w:t>及时止付</w:t>
      </w:r>
      <w:r>
        <w:rPr>
          <w:lang w:eastAsia="zh-CN"/>
        </w:rPr>
        <w:t>/</w:t>
      </w:r>
      <w:r>
        <w:rPr>
          <w:lang w:eastAsia="zh-CN"/>
        </w:rPr>
        <w:t>维持管控</w:t>
      </w:r>
      <w:r>
        <w:rPr>
          <w:lang w:eastAsia="zh-CN"/>
        </w:rPr>
        <w:t>”</w:t>
      </w:r>
      <w:r>
        <w:rPr>
          <w:lang w:eastAsia="zh-CN"/>
        </w:rPr>
        <w:t>；负系数特征值越高，模型越倾向于</w:t>
      </w:r>
      <w:r>
        <w:rPr>
          <w:lang w:eastAsia="zh-CN"/>
        </w:rPr>
        <w:t>“</w:t>
      </w:r>
      <w:r>
        <w:rPr>
          <w:lang w:eastAsia="zh-CN"/>
        </w:rPr>
        <w:t>解除风控</w:t>
      </w:r>
      <w:r>
        <w:rPr>
          <w:lang w:eastAsia="zh-CN"/>
        </w:rPr>
        <w:t>/</w:t>
      </w:r>
      <w:r>
        <w:rPr>
          <w:lang w:eastAsia="zh-CN"/>
        </w:rPr>
        <w:t>正常放行</w:t>
      </w:r>
      <w:r>
        <w:rPr>
          <w:lang w:eastAsia="zh-CN"/>
        </w:rPr>
        <w:t>”</w:t>
      </w:r>
      <w:r>
        <w:rPr>
          <w:lang w:eastAsia="zh-CN"/>
        </w:rPr>
        <w:t>。该定义便于将模型输出转化为业务人员可理解的处置依据。</w:t>
      </w:r>
    </w:p>
    <w:p w14:paraId="6382B12D" w14:textId="77777777" w:rsidR="00037819" w:rsidRDefault="00936B65">
      <w:pPr>
        <w:rPr>
          <w:lang w:eastAsia="zh-CN"/>
        </w:rPr>
      </w:pPr>
      <w:r>
        <w:rPr>
          <w:lang w:eastAsia="zh-CN"/>
        </w:rPr>
        <w:br w:type="page"/>
      </w:r>
    </w:p>
    <w:p w14:paraId="27D3F42D" w14:textId="77777777" w:rsidR="00037819" w:rsidRDefault="00936B65">
      <w:pPr>
        <w:pStyle w:val="1"/>
        <w:rPr>
          <w:lang w:eastAsia="zh-CN"/>
        </w:rPr>
      </w:pPr>
      <w:bookmarkStart w:id="9" w:name="_Toc237208964"/>
      <w:r>
        <w:rPr>
          <w:rFonts w:ascii="Calibri" w:eastAsia="微软雅黑" w:hAnsi="Calibri"/>
          <w:lang w:eastAsia="zh-CN"/>
        </w:rPr>
        <w:lastRenderedPageBreak/>
        <w:t xml:space="preserve">4 </w:t>
      </w:r>
      <w:r>
        <w:rPr>
          <w:rFonts w:ascii="Calibri" w:eastAsia="微软雅黑" w:hAnsi="Calibri"/>
          <w:lang w:eastAsia="zh-CN"/>
        </w:rPr>
        <w:t>信用卡交易欺诈（含电诈）实时监测大模型</w:t>
      </w:r>
      <w:bookmarkEnd w:id="9"/>
    </w:p>
    <w:p w14:paraId="094B1A3F" w14:textId="77777777" w:rsidR="00037819" w:rsidRDefault="00936B65">
      <w:pPr>
        <w:pStyle w:val="21"/>
        <w:rPr>
          <w:lang w:eastAsia="zh-CN"/>
        </w:rPr>
      </w:pPr>
      <w:bookmarkStart w:id="10" w:name="_Toc237208965"/>
      <w:r>
        <w:rPr>
          <w:rFonts w:ascii="Calibri" w:eastAsia="微软雅黑" w:hAnsi="Calibri"/>
          <w:lang w:eastAsia="zh-CN"/>
        </w:rPr>
        <w:t xml:space="preserve">4.1 </w:t>
      </w:r>
      <w:r>
        <w:rPr>
          <w:rFonts w:ascii="Calibri" w:eastAsia="微软雅黑" w:hAnsi="Calibri"/>
          <w:lang w:eastAsia="zh-CN"/>
        </w:rPr>
        <w:t>总体架构设计</w:t>
      </w:r>
      <w:bookmarkEnd w:id="10"/>
    </w:p>
    <w:p w14:paraId="213AA9B2" w14:textId="77777777" w:rsidR="00037819" w:rsidRDefault="00936B65">
      <w:pPr>
        <w:rPr>
          <w:lang w:eastAsia="zh-CN"/>
        </w:rPr>
      </w:pPr>
      <w:r>
        <w:rPr>
          <w:lang w:eastAsia="zh-CN"/>
        </w:rPr>
        <w:t>总体架构由数据准备、模型训练和大模型应用三层组成。数据层负责汇聚多维风控因子并完成预处理；模型层负责输出风险评分、特征贡献和风险方向；大模型层负责将结构化信息转译为标准化、合规化、可审阅的决策报告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037819" w14:paraId="33E188D3" w14:textId="77777777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DE17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层级</w:t>
            </w:r>
          </w:p>
        </w:tc>
        <w:tc>
          <w:tcPr>
            <w:tcW w:w="38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FCAF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核心输入</w:t>
            </w:r>
          </w:p>
        </w:tc>
        <w:tc>
          <w:tcPr>
            <w:tcW w:w="38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A7BB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核心输出</w:t>
            </w:r>
          </w:p>
        </w:tc>
      </w:tr>
      <w:tr w:rsidR="00037819" w14:paraId="59B9449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E2F6" w14:textId="77777777" w:rsidR="00037819" w:rsidRDefault="00936B65">
            <w:r>
              <w:t>数据准备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EF2D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客户画像、卡片、交易、账户、渠道、规则命中等变量。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7C45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标准化特征矩阵、标签样本和原始数据画像。</w:t>
            </w:r>
          </w:p>
        </w:tc>
      </w:tr>
      <w:tr w:rsidR="00037819" w14:paraId="63C7071C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74A2" w14:textId="77777777" w:rsidR="00037819" w:rsidRDefault="00936B65">
            <w:r>
              <w:t>模型训练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41C4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均衡后的训练样本、标准化特征。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F104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风险评分、判定方向、关键贡献特征和模型评估指标。</w:t>
            </w:r>
          </w:p>
        </w:tc>
      </w:tr>
      <w:tr w:rsidR="00037819" w14:paraId="38F64795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A326" w14:textId="77777777" w:rsidR="00037819" w:rsidRDefault="00936B65">
            <w:r>
              <w:t>大模型应用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CACF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风险评分、关键特征、客户画像、任务指令。</w:t>
            </w:r>
          </w:p>
        </w:tc>
        <w:tc>
          <w:tcPr>
            <w:tcW w:w="3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5785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决策建议、判断依据、客户沟通话术。</w:t>
            </w:r>
          </w:p>
        </w:tc>
      </w:tr>
    </w:tbl>
    <w:p w14:paraId="5B24F6CB" w14:textId="77777777" w:rsidR="00037819" w:rsidRDefault="00936B65">
      <w:pPr>
        <w:pStyle w:val="21"/>
        <w:rPr>
          <w:lang w:eastAsia="zh-CN"/>
        </w:rPr>
      </w:pPr>
      <w:bookmarkStart w:id="11" w:name="_Toc237208966"/>
      <w:r>
        <w:rPr>
          <w:rFonts w:ascii="Calibri" w:eastAsia="微软雅黑" w:hAnsi="Calibri"/>
          <w:lang w:eastAsia="zh-CN"/>
        </w:rPr>
        <w:t xml:space="preserve">4.2 </w:t>
      </w:r>
      <w:r>
        <w:rPr>
          <w:rFonts w:ascii="Calibri" w:eastAsia="微软雅黑" w:hAnsi="Calibri"/>
          <w:lang w:eastAsia="zh-CN"/>
        </w:rPr>
        <w:t>模型训练与评估</w:t>
      </w:r>
      <w:bookmarkEnd w:id="11"/>
    </w:p>
    <w:p w14:paraId="341CB784" w14:textId="77777777" w:rsidR="00037819" w:rsidRDefault="00936B65">
      <w:r>
        <w:rPr>
          <w:lang w:eastAsia="zh-CN"/>
        </w:rPr>
        <w:t>初步模型采用逻辑回归与多层感知机双模驱动：逻辑回归用于保障线性贡献可解释性，多层感知机用于捕获复杂非线性风险关系。</w:t>
      </w:r>
      <w:r>
        <w:t>基于当前样本训练，模型在任务上的平均</w:t>
      </w:r>
      <w:r>
        <w:t>Recall</w:t>
      </w:r>
      <w:r>
        <w:t>达到</w:t>
      </w:r>
      <w:r>
        <w:t>0.70</w:t>
      </w:r>
      <w:r>
        <w:t>，平均</w:t>
      </w:r>
      <w:r>
        <w:t>Precision</w:t>
      </w:r>
      <w:r>
        <w:t>达到</w:t>
      </w:r>
      <w:r>
        <w:t>0.67</w:t>
      </w:r>
      <w:r>
        <w:t>，平均</w:t>
      </w:r>
      <w:r>
        <w:t>F1-score</w:t>
      </w:r>
      <w:r>
        <w:t>达到</w:t>
      </w:r>
      <w:r>
        <w:t>0.68</w:t>
      </w:r>
      <w:r>
        <w:t>，具备稳定的初步自动化识别能力。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37819" w14:paraId="6266FE76" w14:textId="77777777">
        <w:trPr>
          <w:tblHeader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20C3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Precision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C290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Recall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F378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F1-score</w:t>
            </w:r>
          </w:p>
        </w:tc>
      </w:tr>
      <w:tr w:rsidR="00037819" w14:paraId="4502AAB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D3BA" w14:textId="77777777" w:rsidR="00037819" w:rsidRDefault="00936B65">
            <w:r>
              <w:t>0.67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5EC3" w14:textId="77777777" w:rsidR="00037819" w:rsidRDefault="00936B65">
            <w:r>
              <w:t>0.70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30A9" w14:textId="77777777" w:rsidR="00037819" w:rsidRDefault="00936B65">
            <w:r>
              <w:t>0.68</w:t>
            </w:r>
          </w:p>
        </w:tc>
      </w:tr>
    </w:tbl>
    <w:p w14:paraId="125C4131" w14:textId="77777777" w:rsidR="00037819" w:rsidRDefault="00936B65">
      <w:r>
        <w:br w:type="page"/>
      </w:r>
    </w:p>
    <w:p w14:paraId="783DC14D" w14:textId="77777777" w:rsidR="00037819" w:rsidRDefault="00936B65">
      <w:pPr>
        <w:pStyle w:val="21"/>
      </w:pPr>
      <w:bookmarkStart w:id="12" w:name="_Toc237208967"/>
      <w:r>
        <w:rPr>
          <w:rFonts w:ascii="Calibri" w:eastAsia="微软雅黑" w:hAnsi="Calibri"/>
        </w:rPr>
        <w:lastRenderedPageBreak/>
        <w:t xml:space="preserve">4.3 </w:t>
      </w:r>
      <w:r>
        <w:rPr>
          <w:rFonts w:ascii="Calibri" w:eastAsia="微软雅黑" w:hAnsi="Calibri"/>
        </w:rPr>
        <w:t>大模型</w:t>
      </w:r>
      <w:r>
        <w:rPr>
          <w:rFonts w:ascii="Calibri" w:eastAsia="微软雅黑" w:hAnsi="Calibri"/>
        </w:rPr>
        <w:t>Prompt</w:t>
      </w:r>
      <w:r>
        <w:rPr>
          <w:rFonts w:ascii="Calibri" w:eastAsia="微软雅黑" w:hAnsi="Calibri"/>
        </w:rPr>
        <w:t>与决策输出</w:t>
      </w:r>
      <w:bookmarkEnd w:id="12"/>
    </w:p>
    <w:p w14:paraId="742D9244" w14:textId="77777777" w:rsidR="00037819" w:rsidRDefault="00936B65">
      <w:pPr>
        <w:rPr>
          <w:lang w:eastAsia="zh-CN"/>
        </w:rPr>
      </w:pPr>
      <w:r>
        <w:rPr>
          <w:lang w:eastAsia="zh-CN"/>
        </w:rPr>
        <w:t>大模型应用以结构化</w:t>
      </w:r>
      <w:r>
        <w:rPr>
          <w:lang w:eastAsia="zh-CN"/>
        </w:rPr>
        <w:t>Prompt</w:t>
      </w:r>
      <w:r>
        <w:rPr>
          <w:lang w:eastAsia="zh-CN"/>
        </w:rPr>
        <w:t>为核心，将风险模型输出、贡献特征和原始交易数据画像统一封装，输入给高级反洗钱与反电诈风控审核专家角色，要求其严格按照三层结构输出，不输出与处置无关的内容。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300"/>
        <w:gridCol w:w="5360"/>
      </w:tblGrid>
      <w:tr w:rsidR="00037819" w14:paraId="40F89761" w14:textId="77777777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13F1B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输出层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A0CA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面向对象</w:t>
            </w:r>
          </w:p>
        </w:tc>
        <w:tc>
          <w:tcPr>
            <w:tcW w:w="5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1EC8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内容要求</w:t>
            </w:r>
          </w:p>
        </w:tc>
      </w:tr>
      <w:tr w:rsidR="00037819" w14:paraId="034A2E4A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2AF9" w14:textId="77777777" w:rsidR="00037819" w:rsidRDefault="00936B65">
            <w:r>
              <w:t>决策建议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57EB" w14:textId="77777777" w:rsidR="00037819" w:rsidRDefault="00936B65">
            <w:r>
              <w:t>业务处理人员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9475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明确结论：不予解控、建议解除封控或需进一步核实，并给出后续处理方向。</w:t>
            </w:r>
          </w:p>
        </w:tc>
      </w:tr>
      <w:tr w:rsidR="00037819" w14:paraId="1E56A9F4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81EE" w14:textId="77777777" w:rsidR="00037819" w:rsidRDefault="00936B65">
            <w:r>
              <w:t>判断依据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7862" w14:textId="77777777" w:rsidR="00037819" w:rsidRDefault="00936B65">
            <w:r>
              <w:t>内部审核员工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07D0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解释特征触发原因、风险等级匹配逻辑，以及行为为何符合电诈、洗钱或买卖银行卡特征。</w:t>
            </w:r>
          </w:p>
        </w:tc>
      </w:tr>
      <w:tr w:rsidR="00037819" w14:paraId="75BE445B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C4FC" w14:textId="77777777" w:rsidR="00037819" w:rsidRDefault="00936B65">
            <w:r>
              <w:t>沟通话术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0576" w14:textId="77777777" w:rsidR="00037819" w:rsidRDefault="00936B65">
            <w:r>
              <w:t>客户服务人员</w:t>
            </w:r>
            <w:r>
              <w:t>/</w:t>
            </w:r>
            <w:r>
              <w:t>客户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5AE8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生成客观、委婉、合规的客户沟通文案，不泄露风控核心规则。</w:t>
            </w:r>
          </w:p>
        </w:tc>
      </w:tr>
      <w:tr w:rsidR="00037819" w14:paraId="0A5A6775" w14:textId="77777777">
        <w:tc>
          <w:tcPr>
            <w:tcW w:w="9360" w:type="dxa"/>
            <w:gridSpan w:val="3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3B3D" w14:textId="77777777" w:rsidR="00037819" w:rsidRDefault="00936B65">
            <w:pPr>
              <w:spacing w:after="0"/>
              <w:rPr>
                <w:lang w:eastAsia="zh-CN"/>
              </w:rPr>
            </w:pPr>
            <w:r>
              <w:rPr>
                <w:rFonts w:eastAsia="微软雅黑"/>
                <w:b/>
                <w:color w:val="1F4D78"/>
                <w:lang w:eastAsia="zh-CN"/>
              </w:rPr>
              <w:t>Prompt</w:t>
            </w:r>
            <w:r>
              <w:rPr>
                <w:rFonts w:eastAsia="微软雅黑"/>
                <w:b/>
                <w:color w:val="1F4D78"/>
                <w:lang w:eastAsia="zh-CN"/>
              </w:rPr>
              <w:t>样式：</w:t>
            </w:r>
            <w:r>
              <w:rPr>
                <w:rFonts w:eastAsia="微软雅黑"/>
                <w:b/>
                <w:color w:val="1F4D78"/>
                <w:lang w:eastAsia="zh-CN"/>
              </w:rPr>
              <w:t xml:space="preserve"> </w:t>
            </w:r>
            <w:r>
              <w:rPr>
                <w:lang w:eastAsia="zh-CN"/>
              </w:rPr>
              <w:t>角色设定为高级反洗钱与反电诈风控审核专家；输入包括风险评分、核心高危特征和客户原始数据画像；任务指令要求严格输出决策建议、判断依据、沟通话术三部分。</w:t>
            </w:r>
          </w:p>
        </w:tc>
      </w:tr>
    </w:tbl>
    <w:p w14:paraId="493FB43E" w14:textId="77777777" w:rsidR="00037819" w:rsidRDefault="00936B65">
      <w:pPr>
        <w:pStyle w:val="21"/>
        <w:rPr>
          <w:lang w:eastAsia="zh-CN"/>
        </w:rPr>
      </w:pPr>
      <w:bookmarkStart w:id="13" w:name="_Toc237208968"/>
      <w:r>
        <w:rPr>
          <w:rFonts w:ascii="Calibri" w:eastAsia="微软雅黑" w:hAnsi="Calibri"/>
          <w:lang w:eastAsia="zh-CN"/>
        </w:rPr>
        <w:t xml:space="preserve">4.4 </w:t>
      </w:r>
      <w:r>
        <w:rPr>
          <w:rFonts w:ascii="Calibri" w:eastAsia="微软雅黑" w:hAnsi="Calibri"/>
          <w:lang w:eastAsia="zh-CN"/>
        </w:rPr>
        <w:t>建模效果与样例解析</w:t>
      </w:r>
      <w:bookmarkEnd w:id="13"/>
    </w:p>
    <w:p w14:paraId="2BF285F7" w14:textId="77777777" w:rsidR="00037819" w:rsidRDefault="00936B65">
      <w:pPr>
        <w:rPr>
          <w:lang w:eastAsia="zh-CN"/>
        </w:rPr>
      </w:pPr>
      <w:r>
        <w:rPr>
          <w:lang w:eastAsia="zh-CN"/>
        </w:rPr>
        <w:t>模型特征重要性显示，资金快进快出、夜间交易、长期线上无卡交易、长期跨区域交易以及高危</w:t>
      </w:r>
      <w:r>
        <w:rPr>
          <w:lang w:eastAsia="zh-CN"/>
        </w:rPr>
        <w:t>MCC</w:t>
      </w:r>
      <w:r>
        <w:rPr>
          <w:lang w:eastAsia="zh-CN"/>
        </w:rPr>
        <w:t>命中等变量更倾向于触发管控；出金金额、短期正常线上交易、短期跨区域消费以及部分白名单</w:t>
      </w:r>
      <w:r>
        <w:rPr>
          <w:lang w:eastAsia="zh-CN"/>
        </w:rPr>
        <w:t>/</w:t>
      </w:r>
      <w:r>
        <w:rPr>
          <w:lang w:eastAsia="zh-CN"/>
        </w:rPr>
        <w:t>豁免规则则更倾向于支持解除管控。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4460"/>
      </w:tblGrid>
      <w:tr w:rsidR="00037819" w14:paraId="343821D1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2D99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类别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0A65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代表特征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86EF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业务解释</w:t>
            </w:r>
          </w:p>
        </w:tc>
      </w:tr>
      <w:tr w:rsidR="00037819" w14:paraId="5459456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2218" w14:textId="77777777" w:rsidR="00037819" w:rsidRDefault="00936B65">
            <w:r>
              <w:t>核心拦截因子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463" w14:textId="77777777" w:rsidR="00037819" w:rsidRDefault="00936B65">
            <w:r>
              <w:t>list_in_out_ratio</w:t>
            </w:r>
            <w:r>
              <w:t>（</w:t>
            </w:r>
            <w:r>
              <w:t>+0.638</w:t>
            </w:r>
            <w:r>
              <w:t>）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727E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出入金比例极高，符合黑产洗钱、电诈资金转移中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快进快出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的典型链路。</w:t>
            </w:r>
          </w:p>
        </w:tc>
      </w:tr>
      <w:tr w:rsidR="00037819" w14:paraId="1314F34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92F2" w14:textId="77777777" w:rsidR="00037819" w:rsidRDefault="00936B65">
            <w:r>
              <w:t>核心拦截因子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3FA8" w14:textId="77777777" w:rsidR="00037819" w:rsidRDefault="00936B65">
            <w:r>
              <w:t>night_txn_cnt_7d</w:t>
            </w:r>
            <w:r>
              <w:t>（</w:t>
            </w:r>
            <w:r>
              <w:t>+0.621</w:t>
            </w:r>
            <w:r>
              <w:t>）、</w:t>
            </w:r>
            <w:r>
              <w:t>night_txn_cnt_30d</w:t>
            </w:r>
            <w:r>
              <w:t>（</w:t>
            </w:r>
            <w:r>
              <w:t>+0.615</w:t>
            </w:r>
            <w:r>
              <w:t>）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DFAE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夜间交易频次增加，与盗刷试单、海外时差作案和自动化脚本批量套现高度相关。</w:t>
            </w:r>
          </w:p>
        </w:tc>
      </w:tr>
      <w:tr w:rsidR="00037819" w14:paraId="7E25B12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8ED6" w14:textId="77777777" w:rsidR="00037819" w:rsidRDefault="00936B65">
            <w:r>
              <w:t>核心拦截因子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6962" w14:textId="77777777" w:rsidR="00037819" w:rsidRDefault="00936B65">
            <w:r>
              <w:t>online_txn_cnt_30d</w:t>
            </w:r>
            <w:r>
              <w:t>（</w:t>
            </w:r>
            <w:r>
              <w:t>+0.584</w:t>
            </w:r>
            <w:r>
              <w:t>）、</w:t>
            </w:r>
            <w:r>
              <w:t>cross_region_cnt_30d</w:t>
            </w:r>
            <w:r>
              <w:t>（</w:t>
            </w:r>
            <w:r>
              <w:t>+0.574</w:t>
            </w:r>
            <w:r>
              <w:t>）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8C93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长期线上无卡交易与跨区域交易异常活跃，提示账户异地盗用、信息泄露或倒卖风险。</w:t>
            </w:r>
          </w:p>
        </w:tc>
      </w:tr>
      <w:tr w:rsidR="00037819" w14:paraId="2626B7C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FA05" w14:textId="77777777" w:rsidR="00037819" w:rsidRDefault="00936B65">
            <w:r>
              <w:t>核心放行因子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503B" w14:textId="77777777" w:rsidR="00037819" w:rsidRDefault="00936B65">
            <w:r>
              <w:t>chujin_amt</w:t>
            </w:r>
            <w:r>
              <w:t>（</w:t>
            </w:r>
            <w:r>
              <w:t>-0.698</w:t>
            </w:r>
            <w:r>
              <w:t>）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CD0A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真实大额出金通常伴随较强身份校验，在模型中体现为安全信号。</w:t>
            </w:r>
          </w:p>
        </w:tc>
      </w:tr>
      <w:tr w:rsidR="00037819" w14:paraId="10A9532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EBAB" w14:textId="77777777" w:rsidR="00037819" w:rsidRDefault="00936B65">
            <w:r>
              <w:lastRenderedPageBreak/>
              <w:t>核心放行因子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E1CC" w14:textId="77777777" w:rsidR="00037819" w:rsidRDefault="00936B65">
            <w:r>
              <w:t>online_txn_cnt_7d</w:t>
            </w:r>
            <w:r>
              <w:t>（</w:t>
            </w:r>
            <w:r>
              <w:t>-0.544</w:t>
            </w:r>
            <w:r>
              <w:t>）、</w:t>
            </w:r>
            <w:r>
              <w:t>cross_region_cnt_7d</w:t>
            </w:r>
            <w:r>
              <w:t>（</w:t>
            </w:r>
            <w:r>
              <w:t>-0.510</w:t>
            </w:r>
            <w:r>
              <w:t>）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57C7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短期线上活跃或异地消费可能对应差旅、网购节等正常消费脉冲。</w:t>
            </w:r>
          </w:p>
        </w:tc>
      </w:tr>
      <w:tr w:rsidR="00037819" w14:paraId="2338FAB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A068" w14:textId="77777777" w:rsidR="00037819" w:rsidRDefault="00936B65">
            <w:r>
              <w:t>关注指标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8EF3" w14:textId="77777777" w:rsidR="00037819" w:rsidRDefault="00936B65">
            <w:r>
              <w:t>high_risk_CQMS_MCCCODE_cnt_7d</w:t>
            </w:r>
            <w:r>
              <w:t>（</w:t>
            </w:r>
            <w:r>
              <w:t>+0.200</w:t>
            </w:r>
            <w:r>
              <w:t>）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B99A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高危商户类别码直接指向套现、博彩、典当等涉险商户场景。</w:t>
            </w:r>
          </w:p>
        </w:tc>
      </w:tr>
    </w:tbl>
    <w:p w14:paraId="5BF66FE1" w14:textId="77777777" w:rsidR="00037819" w:rsidRDefault="00936B65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样例解析一：高危客户不予解控</w:t>
      </w:r>
    </w:p>
    <w:p w14:paraId="182EF630" w14:textId="77777777" w:rsidR="00037819" w:rsidRDefault="00936B65">
      <w:pPr>
        <w:rPr>
          <w:lang w:eastAsia="zh-CN"/>
        </w:rPr>
      </w:pPr>
      <w:r>
        <w:rPr>
          <w:lang w:eastAsia="zh-CN"/>
        </w:rPr>
        <w:t>样本风险评分为</w:t>
      </w:r>
      <w:r>
        <w:rPr>
          <w:lang w:eastAsia="zh-CN"/>
        </w:rPr>
        <w:t>0.9729</w:t>
      </w:r>
      <w:r>
        <w:rPr>
          <w:lang w:eastAsia="zh-CN"/>
        </w:rPr>
        <w:t>，处于高风险区间。核心贡献特征包括激活日期、命中</w:t>
      </w:r>
      <w:r>
        <w:rPr>
          <w:lang w:eastAsia="zh-CN"/>
        </w:rPr>
        <w:t>DZGY07</w:t>
      </w:r>
      <w:r>
        <w:rPr>
          <w:lang w:eastAsia="zh-CN"/>
        </w:rPr>
        <w:t>规则以及跨区域交易相关特征。大模型输出建议为不予解控，维持及时止付</w:t>
      </w:r>
      <w:r>
        <w:rPr>
          <w:lang w:eastAsia="zh-CN"/>
        </w:rPr>
        <w:t>/</w:t>
      </w:r>
      <w:r>
        <w:rPr>
          <w:lang w:eastAsia="zh-CN"/>
        </w:rPr>
        <w:t>高危管控，并要求客户携带身份证、银行卡及资金用途证明前往网点进行人工尽调与开户意愿核实。判断依据集中在新开卡即用或沉睡卡突发激活、硬性风控规则命中以及客户画像与风险模式叠加。</w:t>
      </w:r>
    </w:p>
    <w:p w14:paraId="5CA7550B" w14:textId="77777777" w:rsidR="00037819" w:rsidRDefault="00936B65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样例解析二：低风险客户建议解控</w:t>
      </w:r>
    </w:p>
    <w:p w14:paraId="1A767D63" w14:textId="77777777" w:rsidR="00037819" w:rsidRDefault="00936B65">
      <w:pPr>
        <w:rPr>
          <w:lang w:eastAsia="zh-CN"/>
        </w:rPr>
      </w:pPr>
      <w:r>
        <w:rPr>
          <w:lang w:eastAsia="zh-CN"/>
        </w:rPr>
        <w:t>样本风险评分为</w:t>
      </w:r>
      <w:r>
        <w:rPr>
          <w:lang w:eastAsia="zh-CN"/>
        </w:rPr>
        <w:t>0.0315</w:t>
      </w:r>
      <w:r>
        <w:rPr>
          <w:lang w:eastAsia="zh-CN"/>
        </w:rPr>
        <w:t>，处于低风险区间。核心贡献特征包括出金金额</w:t>
      </w:r>
      <w:r>
        <w:rPr>
          <w:lang w:eastAsia="zh-CN"/>
        </w:rPr>
        <w:t>5030</w:t>
      </w:r>
      <w:r>
        <w:rPr>
          <w:lang w:eastAsia="zh-CN"/>
        </w:rPr>
        <w:t>元、电话银行开通数为</w:t>
      </w:r>
      <w:r>
        <w:rPr>
          <w:lang w:eastAsia="zh-CN"/>
        </w:rPr>
        <w:t>0</w:t>
      </w:r>
      <w:r>
        <w:rPr>
          <w:lang w:eastAsia="zh-CN"/>
        </w:rPr>
        <w:t>、近</w:t>
      </w:r>
      <w:r>
        <w:rPr>
          <w:lang w:eastAsia="zh-CN"/>
        </w:rPr>
        <w:t>7</w:t>
      </w:r>
      <w:r>
        <w:rPr>
          <w:lang w:eastAsia="zh-CN"/>
        </w:rPr>
        <w:t>天线上交易</w:t>
      </w:r>
      <w:r>
        <w:rPr>
          <w:lang w:eastAsia="zh-CN"/>
        </w:rPr>
        <w:t>3</w:t>
      </w:r>
      <w:r>
        <w:rPr>
          <w:lang w:eastAsia="zh-CN"/>
        </w:rPr>
        <w:t>笔。大模型输出建议为解除封控，恢复非柜面业务权限，可由后台下发解控指令并支持手机银行人脸识别自助解冻。判断依据体现为金额合理、交易频次稳定、远程操控风险较低、客群画像整体稳定。</w:t>
      </w:r>
    </w:p>
    <w:p w14:paraId="4EB4F224" w14:textId="77777777" w:rsidR="00037819" w:rsidRDefault="00936B65">
      <w:pPr>
        <w:pStyle w:val="1"/>
        <w:rPr>
          <w:lang w:eastAsia="zh-CN"/>
        </w:rPr>
      </w:pPr>
      <w:bookmarkStart w:id="14" w:name="_Toc237208969"/>
      <w:r>
        <w:rPr>
          <w:rFonts w:ascii="Calibri" w:eastAsia="微软雅黑" w:hAnsi="Calibri"/>
          <w:lang w:eastAsia="zh-CN"/>
        </w:rPr>
        <w:t xml:space="preserve">5 </w:t>
      </w:r>
      <w:r>
        <w:rPr>
          <w:rFonts w:ascii="Calibri" w:eastAsia="微软雅黑" w:hAnsi="Calibri"/>
          <w:lang w:eastAsia="zh-CN"/>
        </w:rPr>
        <w:t>应用方案</w:t>
      </w:r>
      <w:bookmarkEnd w:id="14"/>
    </w:p>
    <w:p w14:paraId="0EBA2B3E" w14:textId="77777777" w:rsidR="00037819" w:rsidRDefault="00936B65">
      <w:pPr>
        <w:rPr>
          <w:lang w:eastAsia="zh-CN"/>
        </w:rPr>
      </w:pPr>
      <w:r>
        <w:rPr>
          <w:lang w:eastAsia="zh-CN"/>
        </w:rPr>
        <w:t>项目应用方案面向实时模型命中后的解控处置流程，重点服务分行运营、风控审核、客服沟通和客户自助申请等场景。系统不替代公安司法或监管明确管控账户的合规处置，不对</w:t>
      </w:r>
      <w:r>
        <w:rPr>
          <w:lang w:eastAsia="zh-CN"/>
        </w:rPr>
        <w:t>“</w:t>
      </w:r>
      <w:r>
        <w:rPr>
          <w:lang w:eastAsia="zh-CN"/>
        </w:rPr>
        <w:t>来即控、撤即解</w:t>
      </w:r>
      <w:r>
        <w:rPr>
          <w:lang w:eastAsia="zh-CN"/>
        </w:rPr>
        <w:t>”</w:t>
      </w:r>
      <w:r>
        <w:rPr>
          <w:lang w:eastAsia="zh-CN"/>
        </w:rPr>
        <w:t>的外部指令做实质判断；对于银行可判断的实时模型命中账户，则通过模型评分、专家规则和大模型报告辅助分流。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4300"/>
        <w:gridCol w:w="2960"/>
      </w:tblGrid>
      <w:tr w:rsidR="00037819" w14:paraId="752057FD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AD09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场景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FEFF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处置方式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567A" w14:textId="77777777" w:rsidR="00037819" w:rsidRDefault="00936B65">
            <w:pPr>
              <w:jc w:val="center"/>
            </w:pPr>
            <w:r>
              <w:rPr>
                <w:rFonts w:eastAsia="微软雅黑"/>
                <w:b/>
              </w:rPr>
              <w:t>预期价值</w:t>
            </w:r>
          </w:p>
        </w:tc>
      </w:tr>
      <w:tr w:rsidR="00037819" w14:paraId="53E0E5B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84A9" w14:textId="77777777" w:rsidR="00037819" w:rsidRDefault="00936B65">
            <w:r>
              <w:t>低风险标准化场景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3C0F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模型评分低且无底线规则命中时，建议在线自动解控或后台批量解控。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DE3F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缩短客户等待时间，降低误控投诉。</w:t>
            </w:r>
          </w:p>
        </w:tc>
      </w:tr>
      <w:tr w:rsidR="00037819" w14:paraId="31BDC10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5440" w14:textId="77777777" w:rsidR="00037819" w:rsidRDefault="00936B65">
            <w:r>
              <w:t>中风险复杂场景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12FD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进入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大模型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专家规则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联合研判，输出风险点、处置建议和客户话术。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3193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提升人工审核效率和处置一致性。</w:t>
            </w:r>
          </w:p>
        </w:tc>
      </w:tr>
      <w:tr w:rsidR="00037819" w14:paraId="4A564B5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D1E2" w14:textId="77777777" w:rsidR="00037819" w:rsidRDefault="00936B65">
            <w:r>
              <w:t>高风险或疑难场景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B3DA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流转人工审核或尽调，维持管控并要求补充证明材料。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897D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防止高风险账户被误放行。</w:t>
            </w:r>
          </w:p>
        </w:tc>
      </w:tr>
      <w:tr w:rsidR="00037819" w14:paraId="5022124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14A8" w14:textId="77777777" w:rsidR="00037819" w:rsidRDefault="00936B65">
            <w:r>
              <w:lastRenderedPageBreak/>
              <w:t>超时未处理场景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58E2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触发系统兜底规则或模型自动收尾机制。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A6A7" w14:textId="77777777" w:rsidR="00037819" w:rsidRDefault="00936B65">
            <w:pPr>
              <w:rPr>
                <w:lang w:eastAsia="zh-CN"/>
              </w:rPr>
            </w:pPr>
            <w:r>
              <w:rPr>
                <w:lang w:eastAsia="zh-CN"/>
              </w:rPr>
              <w:t>保障客户诉求有回应、有处理、有反馈。</w:t>
            </w:r>
          </w:p>
        </w:tc>
      </w:tr>
    </w:tbl>
    <w:p w14:paraId="462353A7" w14:textId="77777777" w:rsidR="00037819" w:rsidRDefault="00936B65">
      <w:pPr>
        <w:rPr>
          <w:lang w:eastAsia="zh-CN"/>
        </w:rPr>
      </w:pPr>
      <w:r>
        <w:rPr>
          <w:lang w:eastAsia="zh-CN"/>
        </w:rPr>
        <w:t>在客户沟通方面，系统输出的话术应坚持客观、审慎、合规原则，以</w:t>
      </w:r>
      <w:r>
        <w:rPr>
          <w:lang w:eastAsia="zh-CN"/>
        </w:rPr>
        <w:t>“</w:t>
      </w:r>
      <w:r>
        <w:rPr>
          <w:lang w:eastAsia="zh-CN"/>
        </w:rPr>
        <w:t>安全巡检、账户保护性限制、本人核实</w:t>
      </w:r>
      <w:r>
        <w:rPr>
          <w:lang w:eastAsia="zh-CN"/>
        </w:rPr>
        <w:t>”</w:t>
      </w:r>
      <w:r>
        <w:rPr>
          <w:lang w:eastAsia="zh-CN"/>
        </w:rPr>
        <w:t>等表述说明处置原因，避免直接暴露风控规则、模型阈值和具体拦截策略。</w:t>
      </w:r>
    </w:p>
    <w:p w14:paraId="544D1A2A" w14:textId="77777777" w:rsidR="00037819" w:rsidRDefault="00936B65">
      <w:pPr>
        <w:pStyle w:val="1"/>
        <w:rPr>
          <w:lang w:eastAsia="zh-CN"/>
        </w:rPr>
      </w:pPr>
      <w:bookmarkStart w:id="15" w:name="_Toc237208970"/>
      <w:r>
        <w:rPr>
          <w:rFonts w:ascii="Calibri" w:eastAsia="微软雅黑" w:hAnsi="Calibri"/>
          <w:lang w:eastAsia="zh-CN"/>
        </w:rPr>
        <w:t xml:space="preserve">6 </w:t>
      </w:r>
      <w:r>
        <w:rPr>
          <w:rFonts w:ascii="Calibri" w:eastAsia="微软雅黑" w:hAnsi="Calibri"/>
          <w:lang w:eastAsia="zh-CN"/>
        </w:rPr>
        <w:t>实施计划与交付总结</w:t>
      </w:r>
      <w:bookmarkEnd w:id="15"/>
    </w:p>
    <w:p w14:paraId="2CF197B3" w14:textId="77777777" w:rsidR="00037819" w:rsidRDefault="00936B65">
      <w:pPr>
        <w:pStyle w:val="21"/>
        <w:rPr>
          <w:lang w:eastAsia="zh-CN"/>
        </w:rPr>
      </w:pPr>
      <w:bookmarkStart w:id="16" w:name="_Toc237208971"/>
      <w:r>
        <w:rPr>
          <w:rFonts w:ascii="Calibri" w:eastAsia="微软雅黑" w:hAnsi="Calibri"/>
          <w:lang w:eastAsia="zh-CN"/>
        </w:rPr>
        <w:t xml:space="preserve">6.1 </w:t>
      </w:r>
      <w:r>
        <w:rPr>
          <w:rFonts w:ascii="Calibri" w:eastAsia="微软雅黑" w:hAnsi="Calibri"/>
          <w:lang w:eastAsia="zh-CN"/>
        </w:rPr>
        <w:t>当前交付成果</w:t>
      </w:r>
      <w:bookmarkEnd w:id="16"/>
    </w:p>
    <w:p w14:paraId="4B556AB8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形成信用卡交易欺诈实时监测大模型建模方案，构建</w:t>
      </w:r>
      <w:r>
        <w:rPr>
          <w:lang w:eastAsia="zh-CN"/>
        </w:rPr>
        <w:t>“</w:t>
      </w:r>
      <w:r>
        <w:rPr>
          <w:lang w:eastAsia="zh-CN"/>
        </w:rPr>
        <w:t>数据准备</w:t>
      </w:r>
      <w:r>
        <w:rPr>
          <w:lang w:eastAsia="zh-CN"/>
        </w:rPr>
        <w:t>+</w:t>
      </w:r>
      <w:r>
        <w:rPr>
          <w:lang w:eastAsia="zh-CN"/>
        </w:rPr>
        <w:t>模型训练</w:t>
      </w:r>
      <w:r>
        <w:rPr>
          <w:lang w:eastAsia="zh-CN"/>
        </w:rPr>
        <w:t>+</w:t>
      </w:r>
      <w:r>
        <w:rPr>
          <w:lang w:eastAsia="zh-CN"/>
        </w:rPr>
        <w:t>大模型应用</w:t>
      </w:r>
      <w:r>
        <w:rPr>
          <w:lang w:eastAsia="zh-CN"/>
        </w:rPr>
        <w:t>”</w:t>
      </w:r>
      <w:r>
        <w:rPr>
          <w:lang w:eastAsia="zh-CN"/>
        </w:rPr>
        <w:t>的三层判断体系。</w:t>
      </w:r>
    </w:p>
    <w:p w14:paraId="26EBF3A1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明确模型输入与输出标准，覆盖客户基本信息、交易行为信息、模型风险评分和关键贡献特征等输入。</w:t>
      </w:r>
    </w:p>
    <w:p w14:paraId="44EE38B6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完成与卡部关于建模细节和处置流程的讨论，围绕误控率、客户申诉和解控流程形成闭环共识。</w:t>
      </w:r>
    </w:p>
    <w:p w14:paraId="02027410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对接工行银团建模平台完成数据读取和初步建模，当前正常</w:t>
      </w:r>
      <w:r>
        <w:rPr>
          <w:lang w:eastAsia="zh-CN"/>
        </w:rPr>
        <w:t>/</w:t>
      </w:r>
      <w:r>
        <w:rPr>
          <w:lang w:eastAsia="zh-CN"/>
        </w:rPr>
        <w:t>解控</w:t>
      </w:r>
      <w:r>
        <w:rPr>
          <w:lang w:eastAsia="zh-CN"/>
        </w:rPr>
        <w:t>Recall</w:t>
      </w:r>
      <w:r>
        <w:rPr>
          <w:lang w:eastAsia="zh-CN"/>
        </w:rPr>
        <w:t>为</w:t>
      </w:r>
      <w:r>
        <w:rPr>
          <w:lang w:eastAsia="zh-CN"/>
        </w:rPr>
        <w:t>0.66</w:t>
      </w:r>
      <w:r>
        <w:rPr>
          <w:lang w:eastAsia="zh-CN"/>
        </w:rPr>
        <w:t>，风险</w:t>
      </w:r>
      <w:r>
        <w:rPr>
          <w:lang w:eastAsia="zh-CN"/>
        </w:rPr>
        <w:t>/</w:t>
      </w:r>
      <w:r>
        <w:rPr>
          <w:lang w:eastAsia="zh-CN"/>
        </w:rPr>
        <w:t>管控</w:t>
      </w:r>
      <w:r>
        <w:rPr>
          <w:lang w:eastAsia="zh-CN"/>
        </w:rPr>
        <w:t>Recall</w:t>
      </w:r>
      <w:r>
        <w:rPr>
          <w:lang w:eastAsia="zh-CN"/>
        </w:rPr>
        <w:t>为</w:t>
      </w:r>
      <w:r>
        <w:rPr>
          <w:lang w:eastAsia="zh-CN"/>
        </w:rPr>
        <w:t>0.43</w:t>
      </w:r>
      <w:r>
        <w:rPr>
          <w:lang w:eastAsia="zh-CN"/>
        </w:rPr>
        <w:t>。</w:t>
      </w:r>
    </w:p>
    <w:p w14:paraId="332B4A67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完成高风险不予解控和低风险建议解控两类样例的</w:t>
      </w:r>
      <w:r>
        <w:rPr>
          <w:lang w:eastAsia="zh-CN"/>
        </w:rPr>
        <w:t>Prompt</w:t>
      </w:r>
      <w:r>
        <w:rPr>
          <w:lang w:eastAsia="zh-CN"/>
        </w:rPr>
        <w:t>组装与决策报告验证。</w:t>
      </w:r>
    </w:p>
    <w:p w14:paraId="1ED21AED" w14:textId="77777777" w:rsidR="00037819" w:rsidRDefault="00936B65">
      <w:pPr>
        <w:pStyle w:val="21"/>
        <w:rPr>
          <w:lang w:eastAsia="zh-CN"/>
        </w:rPr>
      </w:pPr>
      <w:bookmarkStart w:id="17" w:name="_Toc237208972"/>
      <w:r>
        <w:rPr>
          <w:rFonts w:ascii="Calibri" w:eastAsia="微软雅黑" w:hAnsi="Calibri"/>
          <w:lang w:eastAsia="zh-CN"/>
        </w:rPr>
        <w:t xml:space="preserve">6.2 </w:t>
      </w:r>
      <w:r>
        <w:rPr>
          <w:rFonts w:ascii="Calibri" w:eastAsia="微软雅黑" w:hAnsi="Calibri"/>
          <w:lang w:eastAsia="zh-CN"/>
        </w:rPr>
        <w:t>后续完善计划</w:t>
      </w:r>
      <w:bookmarkEnd w:id="17"/>
    </w:p>
    <w:p w14:paraId="7D5FC7D7" w14:textId="77777777" w:rsidR="00037819" w:rsidRDefault="00936B65">
      <w:pPr>
        <w:rPr>
          <w:lang w:eastAsia="zh-CN"/>
        </w:rPr>
      </w:pPr>
      <w:r>
        <w:rPr>
          <w:lang w:eastAsia="zh-CN"/>
        </w:rPr>
        <w:t>后续需围绕生产级交付标准继续完善，重点包括：</w:t>
      </w:r>
    </w:p>
    <w:p w14:paraId="5E8289D3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开展全量特征工程优化，探索衍生变量和多特征交叉组合。</w:t>
      </w:r>
    </w:p>
    <w:p w14:paraId="50EE5445" w14:textId="77777777" w:rsidR="00037819" w:rsidRDefault="00936B65">
      <w:pPr>
        <w:pStyle w:val="a0"/>
        <w:spacing w:after="160" w:line="280" w:lineRule="auto"/>
        <w:ind w:left="720"/>
      </w:pPr>
      <w:r>
        <w:t>引入</w:t>
      </w:r>
      <w:r>
        <w:t>XGBoost</w:t>
      </w:r>
      <w:r>
        <w:t>、</w:t>
      </w:r>
      <w:r>
        <w:t>LightGBM</w:t>
      </w:r>
      <w:r>
        <w:t>等算法框架，通过交叉验证和参数搜索提升</w:t>
      </w:r>
      <w:r>
        <w:t>Recall</w:t>
      </w:r>
      <w:r>
        <w:t>。</w:t>
      </w:r>
    </w:p>
    <w:p w14:paraId="6223B521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完善专家规则与模型输出的冲突处理机制，明确处置边界。</w:t>
      </w:r>
    </w:p>
    <w:p w14:paraId="0EE89992" w14:textId="77777777" w:rsidR="00037819" w:rsidRDefault="00936B65">
      <w:pPr>
        <w:pStyle w:val="a0"/>
        <w:spacing w:after="160" w:line="280" w:lineRule="auto"/>
        <w:ind w:left="720"/>
        <w:rPr>
          <w:lang w:eastAsia="zh-CN"/>
        </w:rPr>
      </w:pPr>
      <w:r>
        <w:rPr>
          <w:lang w:eastAsia="zh-CN"/>
        </w:rPr>
        <w:t>推动申请渠道、后台处置和客户通知联调，形成可审计闭环。</w:t>
      </w:r>
    </w:p>
    <w:p w14:paraId="0C581CB5" w14:textId="77777777" w:rsidR="00037819" w:rsidRDefault="00936B65">
      <w:pPr>
        <w:pStyle w:val="21"/>
        <w:rPr>
          <w:lang w:eastAsia="zh-CN"/>
        </w:rPr>
      </w:pPr>
      <w:bookmarkStart w:id="18" w:name="_Toc237208973"/>
      <w:r>
        <w:rPr>
          <w:rFonts w:ascii="Calibri" w:eastAsia="微软雅黑" w:hAnsi="Calibri"/>
          <w:lang w:eastAsia="zh-CN"/>
        </w:rPr>
        <w:t xml:space="preserve">6.3 </w:t>
      </w:r>
      <w:r>
        <w:rPr>
          <w:rFonts w:ascii="Calibri" w:eastAsia="微软雅黑" w:hAnsi="Calibri"/>
          <w:lang w:eastAsia="zh-CN"/>
        </w:rPr>
        <w:t>结项结论</w:t>
      </w:r>
      <w:bookmarkEnd w:id="18"/>
    </w:p>
    <w:p w14:paraId="2B51F4BE" w14:textId="77777777" w:rsidR="00037819" w:rsidRDefault="00936B65">
      <w:pPr>
        <w:rPr>
          <w:lang w:eastAsia="zh-CN"/>
        </w:rPr>
      </w:pPr>
      <w:r>
        <w:rPr>
          <w:lang w:eastAsia="zh-CN"/>
        </w:rPr>
        <w:t>本项目已完成业务痛点梳理、同业流程借鉴、数据特征设计、模型训练评估和大模型</w:t>
      </w:r>
      <w:r>
        <w:rPr>
          <w:lang w:eastAsia="zh-CN"/>
        </w:rPr>
        <w:t>Prompt</w:t>
      </w:r>
      <w:r>
        <w:rPr>
          <w:lang w:eastAsia="zh-CN"/>
        </w:rPr>
        <w:t>输出等阶段性建设，形成了信用卡交易欺诈（含电诈）风险处置的可解释智能辅助框架。建议以本报告作为阶段性交付和后续验收依据，短期完成全量数据、算法调优和流程联调补强，中长期沉淀风控知识库、规则库和案例库，持续提升风险识别、处置效率和客户体验之间的平衡能力。</w:t>
      </w:r>
    </w:p>
    <w:sectPr w:rsidR="00037819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B3D21" w14:textId="77777777" w:rsidR="00A15FE9" w:rsidRDefault="00A15FE9">
      <w:pPr>
        <w:spacing w:after="0" w:line="240" w:lineRule="auto"/>
      </w:pPr>
      <w:r>
        <w:separator/>
      </w:r>
    </w:p>
  </w:endnote>
  <w:endnote w:type="continuationSeparator" w:id="0">
    <w:p w14:paraId="4FEB708B" w14:textId="77777777" w:rsidR="00A15FE9" w:rsidRDefault="00A15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83ECE" w14:textId="77777777" w:rsidR="00037819" w:rsidRDefault="00936B65">
    <w:pPr>
      <w:pStyle w:val="a7"/>
      <w:jc w:val="center"/>
      <w:rPr>
        <w:lang w:eastAsia="zh-CN"/>
      </w:rPr>
    </w:pPr>
    <w:r>
      <w:rPr>
        <w:color w:val="5A5A5A"/>
        <w:sz w:val="18"/>
        <w:lang w:eastAsia="zh-CN"/>
      </w:rPr>
      <w:t>中国工商银行｜内部项目资料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68B98" w14:textId="77777777" w:rsidR="00A15FE9" w:rsidRDefault="00A15FE9">
      <w:pPr>
        <w:spacing w:after="0" w:line="240" w:lineRule="auto"/>
      </w:pPr>
      <w:r>
        <w:separator/>
      </w:r>
    </w:p>
  </w:footnote>
  <w:footnote w:type="continuationSeparator" w:id="0">
    <w:p w14:paraId="04AD7E42" w14:textId="77777777" w:rsidR="00A15FE9" w:rsidRDefault="00A15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94EDA" w14:textId="77777777" w:rsidR="00037819" w:rsidRDefault="00936B65">
    <w:pPr>
      <w:pStyle w:val="a5"/>
      <w:jc w:val="right"/>
      <w:rPr>
        <w:lang w:eastAsia="zh-CN"/>
      </w:rPr>
    </w:pPr>
    <w:r>
      <w:rPr>
        <w:color w:val="5A5A5A"/>
        <w:sz w:val="18"/>
        <w:lang w:eastAsia="zh-CN"/>
      </w:rPr>
      <w:t>信用卡交易欺诈（含电诈）实时监测大模型｜项目结项报告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959247">
    <w:abstractNumId w:val="8"/>
  </w:num>
  <w:num w:numId="2" w16cid:durableId="1973057256">
    <w:abstractNumId w:val="6"/>
  </w:num>
  <w:num w:numId="3" w16cid:durableId="1543248747">
    <w:abstractNumId w:val="5"/>
  </w:num>
  <w:num w:numId="4" w16cid:durableId="832112301">
    <w:abstractNumId w:val="4"/>
  </w:num>
  <w:num w:numId="5" w16cid:durableId="1443377160">
    <w:abstractNumId w:val="7"/>
  </w:num>
  <w:num w:numId="6" w16cid:durableId="1451826612">
    <w:abstractNumId w:val="3"/>
  </w:num>
  <w:num w:numId="7" w16cid:durableId="1621955657">
    <w:abstractNumId w:val="2"/>
  </w:num>
  <w:num w:numId="8" w16cid:durableId="1192449502">
    <w:abstractNumId w:val="1"/>
  </w:num>
  <w:num w:numId="9" w16cid:durableId="125979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819"/>
    <w:rsid w:val="0006063C"/>
    <w:rsid w:val="0015074B"/>
    <w:rsid w:val="0029639D"/>
    <w:rsid w:val="00326F90"/>
    <w:rsid w:val="005D7BBE"/>
    <w:rsid w:val="00664776"/>
    <w:rsid w:val="00734DA1"/>
    <w:rsid w:val="00936B65"/>
    <w:rsid w:val="00A15FE9"/>
    <w:rsid w:val="00AA1D8D"/>
    <w:rsid w:val="00B47730"/>
    <w:rsid w:val="00C557D4"/>
    <w:rsid w:val="00CB0664"/>
    <w:rsid w:val="00F117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E8F33A"/>
  <w14:defaultImageDpi w14:val="300"/>
  <w15:docId w15:val="{3D9B3FAB-61AE-4357-AEEC-9E320A88A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uiPriority w:val="39"/>
    <w:rsid w:val="00664776"/>
    <w:pPr>
      <w:widowControl w:val="0"/>
      <w:spacing w:after="0" w:line="240" w:lineRule="auto"/>
      <w:jc w:val="both"/>
    </w:pPr>
    <w:rPr>
      <w:rFonts w:cs="黑体"/>
      <w:kern w:val="2"/>
      <w:sz w:val="21"/>
      <w:lang w:eastAsia="zh-CN"/>
    </w:rPr>
  </w:style>
  <w:style w:type="paragraph" w:styleId="TOC2">
    <w:name w:val="toc 2"/>
    <w:basedOn w:val="a1"/>
    <w:next w:val="a1"/>
    <w:uiPriority w:val="39"/>
    <w:qFormat/>
    <w:rsid w:val="00664776"/>
    <w:pPr>
      <w:widowControl w:val="0"/>
      <w:spacing w:after="0" w:line="240" w:lineRule="auto"/>
      <w:ind w:leftChars="200" w:left="420"/>
      <w:jc w:val="both"/>
    </w:pPr>
    <w:rPr>
      <w:rFonts w:asciiTheme="minorHAnsi" w:eastAsiaTheme="minorEastAsia" w:hAnsiTheme="minorHAnsi"/>
      <w:kern w:val="2"/>
      <w:sz w:val="21"/>
      <w:szCs w:val="24"/>
      <w:lang w:eastAsia="zh-CN"/>
    </w:rPr>
  </w:style>
  <w:style w:type="character" w:styleId="aff9">
    <w:name w:val="Hyperlink"/>
    <w:basedOn w:val="a2"/>
    <w:uiPriority w:val="99"/>
    <w:unhideWhenUsed/>
    <w:rsid w:val="00664776"/>
    <w:rPr>
      <w:color w:val="0000FF" w:themeColor="hyperlink"/>
      <w:u w:val="single"/>
    </w:rPr>
  </w:style>
  <w:style w:type="paragraph" w:customStyle="1" w:styleId="affa">
    <w:name w:val="封面落款"/>
    <w:basedOn w:val="a1"/>
    <w:qFormat/>
    <w:rsid w:val="00664776"/>
    <w:pPr>
      <w:widowControl w:val="0"/>
      <w:spacing w:after="0" w:line="360" w:lineRule="auto"/>
      <w:jc w:val="center"/>
    </w:pPr>
    <w:rPr>
      <w:rFonts w:ascii="Arial" w:eastAsia="黑体" w:hAnsi="Arial" w:cs="Times New Roman"/>
      <w:kern w:val="2"/>
      <w:sz w:val="3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3132</Words>
  <Characters>3415</Characters>
  <Application>Microsoft Office Word</Application>
  <DocSecurity>0</DocSecurity>
  <Lines>213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信用卡交易欺诈（含电诈）实时监测大模型项目结项报告</dc:title>
  <dc:subject>项目结项报告</dc:subject>
  <dc:creator>python-docx</dc:creator>
  <cp:keywords>信用卡交易欺诈, 电诈, 大模型, 风控, 解控</cp:keywords>
  <dc:description>generated by python-docx</dc:description>
  <cp:lastModifiedBy>Jiaye Feng</cp:lastModifiedBy>
  <cp:revision>4</cp:revision>
  <dcterms:created xsi:type="dcterms:W3CDTF">2013-12-23T23:15:00Z</dcterms:created>
  <dcterms:modified xsi:type="dcterms:W3CDTF">2026-08-09T15:08:00Z</dcterms:modified>
  <cp:category/>
</cp:coreProperties>
</file>