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Microsoft YaHei" w:hAnsi="Microsoft YaHei" w:eastAsia="Microsoft YaHei"/>
          <w:color w:val="000000"/>
        </w:rPr>
        <w:t>信用卡欺诈监测 Agent 业务规则逻辑</w:t>
      </w:r>
    </w:p>
    <w:p>
      <w:pPr>
        <w:spacing w:after="120"/>
        <w:jc w:val="center"/>
      </w:pPr>
      <w:r>
        <w:rPr>
          <w:i/>
        </w:rPr>
        <w:t>依据信用卡交易欺诈 含电诈 实时监测大模型交付报告整理</w:t>
      </w:r>
    </w:p>
    <w:p>
      <w:pPr>
        <w:spacing w:after="120"/>
      </w:pPr>
      <w:r>
        <w:t>本文件将交付报告中明确的风险特征、模型输出和处置流程整理为可配置的 Agent 规则逻辑。报告未披露生产阈值，本文中的数值阈值均标为“示例阈值”，仅用于联调、演示和规则评审，投产前应由业务、合规和模型团队联合校准。</w:t>
      </w:r>
    </w:p>
    <w:p>
      <w:pPr>
        <w:pStyle w:val="Heading1"/>
        <w:spacing w:after="120"/>
      </w:pPr>
      <w:r>
        <w:t>1 规则目标和决策边界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96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规则逻辑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对信用卡交易欺诈及电诈相关异常进行实时分层，输出处置建议、内部审核依据和客户沟通要点。</w:t>
            </w:r>
          </w:p>
        </w:tc>
      </w:tr>
      <w:tr>
        <w:tc>
          <w:tcPr>
            <w:tcW w:type="dxa" w:w="187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核心输入</w:t>
            </w:r>
          </w:p>
        </w:tc>
        <w:tc>
          <w:tcPr>
            <w:tcW w:type="dxa" w:w="8496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客户画像、卡片信息、交易行为、账户资产负债、风险控制开关和金融产品使用情况。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决策原则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模型风险分与专家规则共同判断。规则负责对黑名单、明确管控条件和权限恢复条件提供约束。</w:t>
            </w:r>
          </w:p>
        </w:tc>
      </w:tr>
      <w:tr>
        <w:tc>
          <w:tcPr>
            <w:tcW w:type="dxa" w:w="187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处置边界</w:t>
            </w:r>
          </w:p>
        </w:tc>
        <w:tc>
          <w:tcPr>
            <w:tcW w:type="dxa" w:w="8496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高风险可进入人工审核或维持管控；恢复权限、补充材料要求等应由有权限人员最终确认。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>2 Agent 决策流程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80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904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 行为</w:t>
            </w:r>
          </w:p>
        </w:tc>
        <w:tc>
          <w:tcPr>
            <w:tcW w:type="dxa" w:w="3384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数据校验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校验交易、客户、卡片、账户和风控开关字段是否齐全；缺失关键字段时标记“数据不完整”。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字段完整性状态</w:t>
            </w:r>
          </w:p>
        </w:tc>
      </w:tr>
      <w:tr>
        <w:tc>
          <w:tcPr>
            <w:tcW w:type="dxa" w:w="10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特征计算</w:t>
            </w:r>
          </w:p>
        </w:tc>
        <w:tc>
          <w:tcPr>
            <w:tcW w:type="dxa" w:w="590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计算近7日/30日夜间交易、线上交易、跨区域交易、高风险MCC交易及入出账比等特征。</w:t>
            </w:r>
          </w:p>
        </w:tc>
        <w:tc>
          <w:tcPr>
            <w:tcW w:type="dxa" w:w="338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特征快照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模型读取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读取风险模型分数及关键贡献因素。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模型风险分、原因因子</w:t>
            </w:r>
          </w:p>
        </w:tc>
      </w:tr>
      <w:tr>
        <w:tc>
          <w:tcPr>
            <w:tcW w:type="dxa" w:w="10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规则命中</w:t>
            </w:r>
          </w:p>
        </w:tc>
        <w:tc>
          <w:tcPr>
            <w:tcW w:type="dxa" w:w="590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按优先级执行硬规则、强化规则和恢复规则。</w:t>
            </w:r>
          </w:p>
        </w:tc>
        <w:tc>
          <w:tcPr>
            <w:tcW w:type="dxa" w:w="338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命中规则、风险等级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决策编排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结合规则、模型分与人工审核状态，生成管控、复核、认证或放行建议。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业务建议、审核口径、客户沟通稿</w:t>
            </w:r>
          </w:p>
        </w:tc>
      </w:tr>
      <w:tr>
        <w:tc>
          <w:tcPr>
            <w:tcW w:type="dxa" w:w="10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闭环处理</w:t>
            </w:r>
          </w:p>
        </w:tc>
        <w:tc>
          <w:tcPr>
            <w:tcW w:type="dxa" w:w="590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超时未处理的管控案件按既定流程自动闭环；人工处理结果回写用于后续复盘。</w:t>
            </w:r>
          </w:p>
        </w:tc>
        <w:tc>
          <w:tcPr>
            <w:tcW w:type="dxa" w:w="338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处置状态、审计记录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>3 风险特征与方向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特征组</w:t>
            </w:r>
          </w:p>
        </w:tc>
        <w:tc>
          <w:tcPr>
            <w:tcW w:type="dxa" w:w="3600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报告中的特征</w:t>
            </w:r>
          </w:p>
        </w:tc>
        <w:tc>
          <w:tcPr>
            <w:tcW w:type="dxa" w:w="5040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风险方向与解释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资金流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list_in_out_ratio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数值升高与黑产洗钱或欺诈资金转移风险相关。</w:t>
            </w:r>
          </w:p>
        </w:tc>
      </w:tr>
      <w:tr>
        <w:tc>
          <w:tcPr>
            <w:tcW w:type="dxa" w:w="1728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夜间行为</w:t>
            </w:r>
          </w:p>
        </w:tc>
        <w:tc>
          <w:tcPr>
            <w:tcW w:type="dxa" w:w="360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night_txn_cnt_7d、night_txn_cnt_30d</w:t>
            </w:r>
          </w:p>
        </w:tc>
        <w:tc>
          <w:tcPr>
            <w:tcW w:type="dxa" w:w="504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夜间交易频率增加与盗刷、电诈高发时段风险相关。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线上与地域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online_txn_cnt_30d、cross_region_cnt_30d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线上无卡及跨区域异常活跃，提示账户被盗用、信息泄露或远程操控风险。</w:t>
            </w:r>
          </w:p>
        </w:tc>
      </w:tr>
      <w:tr>
        <w:tc>
          <w:tcPr>
            <w:tcW w:type="dxa" w:w="1728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高风险商户</w:t>
            </w:r>
          </w:p>
        </w:tc>
        <w:tc>
          <w:tcPr>
            <w:tcW w:type="dxa" w:w="360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high_risk_CQMS_MCCCODE_cnt_7d</w:t>
            </w:r>
          </w:p>
        </w:tc>
        <w:tc>
          <w:tcPr>
            <w:tcW w:type="dxa" w:w="504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高风险MCC交易计数作为辅助风险信号，不应单独决定拒绝。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稳定性信号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chujin_amt、online_txn_cnt_7d、cross_region_cnt_7d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报告中列为负向贡献或低风险样本参考信号，应与历史行为稳定性共同解释。</w:t>
            </w:r>
          </w:p>
        </w:tc>
      </w:tr>
      <w:tr>
        <w:tc>
          <w:tcPr>
            <w:tcW w:type="dxa" w:w="1728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卡片和联系能力</w:t>
            </w:r>
          </w:p>
        </w:tc>
        <w:tc>
          <w:tcPr>
            <w:tcW w:type="dxa" w:w="360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新开卡、休眠后激活、手机号可用性、e支付开通等</w:t>
            </w:r>
          </w:p>
        </w:tc>
        <w:tc>
          <w:tcPr>
            <w:tcW w:type="dxa" w:w="504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用于识别卡片异常使用、远程操控和客户可联络性。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>4 规则优先级与业务规则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92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24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规则类型</w:t>
            </w:r>
          </w:p>
        </w:tc>
        <w:tc>
          <w:tcPr>
            <w:tcW w:type="dxa" w:w="2952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880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建议动作</w:t>
            </w:r>
          </w:p>
        </w:tc>
        <w:tc>
          <w:tcPr>
            <w:tcW w:type="dxa" w:w="2880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参数说明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硬约束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黑名单或明确禁止交易主体命中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命中即进入人工审核/维持管控，不以低模型分覆盖。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生产名单、匹配规则未在报告中披露</w:t>
            </w:r>
          </w:p>
        </w:tc>
      </w:tr>
      <w:tr>
        <w:tc>
          <w:tcPr>
            <w:tcW w:type="dxa" w:w="79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22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高风险组合</w:t>
            </w:r>
          </w:p>
        </w:tc>
        <w:tc>
          <w:tcPr>
            <w:tcW w:type="dxa" w:w="295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新开卡或休眠后激活，且夜间高频、跨区域、线上无卡中任意两项异常</w:t>
            </w:r>
          </w:p>
        </w:tc>
        <w:tc>
          <w:tcPr>
            <w:tcW w:type="dxa" w:w="28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标记高风险，建议即时止付或维持管控，并转人工复核。</w:t>
            </w:r>
          </w:p>
        </w:tc>
        <w:tc>
          <w:tcPr>
            <w:tcW w:type="dxa" w:w="28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组合规则来自报告的高风险样本描述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高风险资金流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入出账比显著升高，且伴随高风险MCC或跨区域交易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标记高风险，核验资金来源和用途。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示例阈值：入出账比 &gt;= 2.0；投产需校准</w:t>
            </w:r>
          </w:p>
        </w:tc>
      </w:tr>
      <w:tr>
        <w:tc>
          <w:tcPr>
            <w:tcW w:type="dxa" w:w="79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22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夜间异常</w:t>
            </w:r>
          </w:p>
        </w:tc>
        <w:tc>
          <w:tcPr>
            <w:tcW w:type="dxa" w:w="295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近7日夜间交易次数或近30日夜间交易次数显著高于客户历史</w:t>
            </w:r>
          </w:p>
        </w:tc>
        <w:tc>
          <w:tcPr>
            <w:tcW w:type="dxa" w:w="28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提升风险等级并补充夜间异常原因。</w:t>
            </w:r>
          </w:p>
        </w:tc>
        <w:tc>
          <w:tcPr>
            <w:tcW w:type="dxa" w:w="28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示例阈值：7日 &gt;= 5 或 30日 &gt;= 12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线上和地域异常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近30日线上交易或跨区域交易显著增加，且与客户历史不一致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进入加强认证或人工复核队列。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示例阈值：线上 &gt;= 15 或 跨区域 &gt;= 6</w:t>
            </w:r>
          </w:p>
        </w:tc>
      </w:tr>
      <w:tr>
        <w:tc>
          <w:tcPr>
            <w:tcW w:type="dxa" w:w="79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22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高风险商户</w:t>
            </w:r>
          </w:p>
        </w:tc>
        <w:tc>
          <w:tcPr>
            <w:tcW w:type="dxa" w:w="295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近7日高风险MCC交易达到关注水平</w:t>
            </w:r>
          </w:p>
        </w:tc>
        <w:tc>
          <w:tcPr>
            <w:tcW w:type="dxa" w:w="28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作为增强信号，与模型分及其他规则合并判断。</w:t>
            </w:r>
          </w:p>
        </w:tc>
        <w:tc>
          <w:tcPr>
            <w:tcW w:type="dxa" w:w="28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示例阈值：近7日 &gt;= 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中风险复核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模型风险分处于中间区间，且命中至少一项增强规则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建议加强认证、补充核验或人工复核。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示例阈值：0.40 &lt;= 分数 &lt; 0.80</w:t>
            </w:r>
          </w:p>
        </w:tc>
      </w:tr>
      <w:tr>
        <w:tc>
          <w:tcPr>
            <w:tcW w:type="dxa" w:w="79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122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低风险恢复</w:t>
            </w:r>
          </w:p>
        </w:tc>
        <w:tc>
          <w:tcPr>
            <w:tcW w:type="dxa" w:w="295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模型低分，交易金额及频率稳定，且远程操控风险低</w:t>
            </w:r>
          </w:p>
        </w:tc>
        <w:tc>
          <w:tcPr>
            <w:tcW w:type="dxa" w:w="28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建议恢复正常业务权限；最终由后台授权操作。</w:t>
            </w:r>
          </w:p>
        </w:tc>
        <w:tc>
          <w:tcPr>
            <w:tcW w:type="dxa" w:w="28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报告低风险样本含5030元交易、手机号可用为0、近7日跨区域3笔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数据质量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关键字段缺失、时间窗口异常或模型分不可用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不得自动放行；进入数据补全或人工核验流程。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保护性规则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>5 风险分层和处置逻辑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判定逻辑</w:t>
            </w:r>
          </w:p>
        </w:tc>
        <w:tc>
          <w:tcPr>
            <w:tcW w:type="dxa" w:w="2880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 输出</w:t>
            </w:r>
          </w:p>
        </w:tc>
        <w:tc>
          <w:tcPr>
            <w:tcW w:type="dxa" w:w="3024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后续处置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P0命中；或模型分 &gt;= 0.80 且命中强化规则；或高风险组合规则命中。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明确风险结论、命中因素、证据字段、材料清单。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人工审核或维持管控；必要时要求补充身份证明、资金来源及用途材料。</w:t>
            </w:r>
          </w:p>
        </w:tc>
      </w:tr>
      <w:tr>
        <w:tc>
          <w:tcPr>
            <w:tcW w:type="dxa" w:w="144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中风险</w:t>
            </w:r>
          </w:p>
        </w:tc>
        <w:tc>
          <w:tcPr>
            <w:tcW w:type="dxa" w:w="3456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模型分在0.40至0.80之间且至少命中一项增强规则，或规则风险与模型结论不一致。</w:t>
            </w:r>
          </w:p>
        </w:tc>
        <w:tc>
          <w:tcPr>
            <w:tcW w:type="dxa" w:w="28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风险点、待核验问题、建议认证方式。</w:t>
            </w:r>
          </w:p>
        </w:tc>
        <w:tc>
          <w:tcPr>
            <w:tcW w:type="dxa" w:w="302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加强认证、人工复核或有限制放行。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低风险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模型分 &lt; 0.40，未命中硬规则，且行为稳定、远程操控风险低。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低风险依据和恢复建议。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后台授权恢复正常业务权限，保留审计记录。</w:t>
            </w:r>
          </w:p>
        </w:tc>
      </w:tr>
      <w:tr>
        <w:tc>
          <w:tcPr>
            <w:tcW w:type="dxa" w:w="144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数据不完整</w:t>
            </w:r>
          </w:p>
        </w:tc>
        <w:tc>
          <w:tcPr>
            <w:tcW w:type="dxa" w:w="3456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关键输入、模型分或身份/账户状态缺失。</w:t>
            </w:r>
          </w:p>
        </w:tc>
        <w:tc>
          <w:tcPr>
            <w:tcW w:type="dxa" w:w="288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缺失字段及不可自动决策说明。</w:t>
            </w:r>
          </w:p>
        </w:tc>
        <w:tc>
          <w:tcPr>
            <w:tcW w:type="dxa" w:w="3024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补齐数据或转人工核验。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>6 输出规范和审计要求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输出对象</w:t>
            </w:r>
          </w:p>
        </w:tc>
        <w:tc>
          <w:tcPr>
            <w:tcW w:type="dxa" w:w="4320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必须包含</w:t>
            </w:r>
          </w:p>
        </w:tc>
        <w:tc>
          <w:tcPr>
            <w:tcW w:type="dxa" w:w="4752"/>
            <w:shd w:fill="1F4E7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业务建议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风险等级、建议动作、是否需人工审核、建议材料。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不得将示例阈值或内部规则细节直接暴露给客户。</w:t>
            </w:r>
          </w:p>
        </w:tc>
      </w:tr>
      <w:tr>
        <w:tc>
          <w:tcPr>
            <w:tcW w:type="dxa" w:w="1728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内部审核依据</w:t>
            </w:r>
          </w:p>
        </w:tc>
        <w:tc>
          <w:tcPr>
            <w:tcW w:type="dxa" w:w="432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模型分、命中规则、关键特征、触发时间、数据完整性状态。</w:t>
            </w:r>
          </w:p>
        </w:tc>
        <w:tc>
          <w:tcPr>
            <w:tcW w:type="dxa" w:w="475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保留规则版本、模型版本和操作人，支持追溯。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客户沟通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客观说明为安全巡检、账户风险管理或身份核实需要。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不披露模型分、规则阈值、黑名单逻辑或具体风控策略。</w:t>
            </w:r>
          </w:p>
        </w:tc>
      </w:tr>
      <w:tr>
        <w:tc>
          <w:tcPr>
            <w:tcW w:type="dxa" w:w="1728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闭环记录</w:t>
            </w:r>
          </w:p>
        </w:tc>
        <w:tc>
          <w:tcPr>
            <w:tcW w:type="dxa" w:w="4320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案件状态、处理时限、人工结论、最终动作。</w:t>
            </w:r>
          </w:p>
        </w:tc>
        <w:tc>
          <w:tcPr>
            <w:tcW w:type="dxa" w:w="4752"/>
            <w:shd w:fill="F3F7FA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超时自动闭环规则应由运营流程单独配置。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>7 参数治理建议</w:t>
      </w:r>
    </w:p>
    <w:p>
      <w:pPr>
        <w:spacing w:after="120"/>
      </w:pPr>
      <w:r>
        <w:t>所有阈值和名单规则应参数化管理，至少包含规则编号、版本、生效时间、阈值、适用客群、审批人和回滚版本。模型分界、夜间交易阈值、跨区域阈值及入出账比阈值需要根据样本分布、误报率、人工审核产能和合规要求进行回测校准。规则变更后应保留前后效果对比，并在灰度期观察误报、漏报和客户体验指标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