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Microsoft YaHei" w:hAnsi="Microsoft YaHei" w:eastAsia="Microsoft YaHei"/>
          <w:color w:val="000000"/>
        </w:rPr>
        <w:t>信用卡欺诈监测 Agent 业务规则逻辑</w:t>
      </w:r>
    </w:p>
    <w:p>
      <w:pPr>
        <w:spacing w:after="100"/>
        <w:jc w:val="center"/>
      </w:pPr>
      <w:r>
        <w:rPr>
          <w:i/>
        </w:rPr>
        <w:t>公开信息映射版 适用于模拟与规则评审</w:t>
      </w:r>
    </w:p>
    <w:p>
      <w:pPr>
        <w:spacing w:after="100"/>
      </w:pPr>
      <w:r>
        <w:t>本版采用“风险编号、风险标签、风险等级、处置代码”的四段式输出。工行公开资料表明，信用卡可设置境外锁、地区锁、夜间锁、境外无卡支付锁和限额锁，触发后可阻断交易并通知客户；也提醒客户发现非本人或可疑交易及时通过官方渠道联系银行、办理挂失或冻结。本文据此细化了规则流程。内部阈值、黑名单和处置权限未公开，文中所有数值为模拟参数，不能视为工行生产规则。</w:t>
      </w:r>
    </w:p>
    <w:p>
      <w:pPr>
        <w:pStyle w:val="Heading1"/>
        <w:spacing w:after="100"/>
      </w:pPr>
      <w:r>
        <w:t>1 标签体系与输出字段</w:t>
      </w:r>
    </w:p>
    <w:tbl>
      <w:tblPr>
        <w:tblStyle w:val="TableGrid"/>
        <w:tblW w:type="auto" w:w="0"/>
        <w:jc w:val="center"/>
        <w:tblLook w:firstColumn="1" w:firstRow="1" w:lastColumn="0" w:lastRow="0" w:noHBand="0" w:noVBand="1" w:val="04A0"/>
      </w:tblPr>
      <w:tblGrid>
        <w:gridCol w:w="4992"/>
        <w:gridCol w:w="4992"/>
        <w:gridCol w:w="4992"/>
      </w:tblGrid>
      <w:tr>
        <w:tc>
          <w:tcPr>
            <w:tcW w:type="dxa" w:w="1656"/>
            <w:shd w:fill="1F4E78"/>
            <w:vAlign w:val="center"/>
          </w:tcPr>
          <w:p>
            <w:pPr>
              <w:spacing w:after="0"/>
            </w:pPr>
            <w:r/>
            <w:r>
              <w:rPr>
                <w:rFonts w:ascii="Microsoft YaHei" w:hAnsi="Microsoft YaHei" w:eastAsia="Microsoft YaHei"/>
                <w:b/>
                <w:color w:val="FFFFFF"/>
                <w:sz w:val="17"/>
              </w:rPr>
              <w:t>输出字段</w:t>
            </w:r>
          </w:p>
        </w:tc>
        <w:tc>
          <w:tcPr>
            <w:tcW w:type="dxa" w:w="3888"/>
            <w:shd w:fill="1F4E78"/>
            <w:vAlign w:val="center"/>
          </w:tcPr>
          <w:p>
            <w:pPr>
              <w:spacing w:after="0"/>
            </w:pPr>
            <w:r/>
            <w:r>
              <w:rPr>
                <w:rFonts w:ascii="Microsoft YaHei" w:hAnsi="Microsoft YaHei" w:eastAsia="Microsoft YaHei"/>
                <w:b/>
                <w:color w:val="FFFFFF"/>
                <w:sz w:val="17"/>
              </w:rPr>
              <w:t>定义</w:t>
            </w:r>
          </w:p>
        </w:tc>
        <w:tc>
          <w:tcPr>
            <w:tcW w:type="dxa" w:w="4320"/>
            <w:shd w:fill="1F4E78"/>
            <w:vAlign w:val="center"/>
          </w:tcPr>
          <w:p>
            <w:pPr>
              <w:spacing w:after="0"/>
            </w:pPr>
            <w:r/>
            <w:r>
              <w:rPr>
                <w:rFonts w:ascii="Microsoft YaHei" w:hAnsi="Microsoft YaHei" w:eastAsia="Microsoft YaHei"/>
                <w:b/>
                <w:color w:val="FFFFFF"/>
                <w:sz w:val="17"/>
              </w:rPr>
              <w:t>使用边界</w:t>
            </w:r>
          </w:p>
        </w:tc>
      </w:tr>
      <w:tr>
        <w:tc>
          <w:tcPr>
            <w:tcW w:type="dxa" w:w="1656"/>
            <w:vAlign w:val="center"/>
          </w:tcPr>
          <w:p>
            <w:pPr>
              <w:spacing w:after="0"/>
            </w:pPr>
            <w:r/>
            <w:r>
              <w:rPr>
                <w:rFonts w:ascii="Microsoft YaHei" w:hAnsi="Microsoft YaHei" w:eastAsia="Microsoft YaHei"/>
                <w:b w:val="0"/>
                <w:sz w:val="17"/>
              </w:rPr>
              <w:t>风险编号</w:t>
            </w:r>
          </w:p>
        </w:tc>
        <w:tc>
          <w:tcPr>
            <w:tcW w:type="dxa" w:w="3888"/>
            <w:vAlign w:val="center"/>
          </w:tcPr>
          <w:p>
            <w:pPr>
              <w:spacing w:after="0"/>
            </w:pPr>
            <w:r/>
            <w:r>
              <w:rPr>
                <w:rFonts w:ascii="Microsoft YaHei" w:hAnsi="Microsoft YaHei" w:eastAsia="Microsoft YaHei"/>
                <w:b w:val="0"/>
                <w:sz w:val="17"/>
              </w:rPr>
              <w:t>可审计的规则/场景编码，例如 FRA-C01、SEC-L02、CRD-P02。</w:t>
            </w:r>
          </w:p>
        </w:tc>
        <w:tc>
          <w:tcPr>
            <w:tcW w:type="dxa" w:w="4320"/>
            <w:vAlign w:val="center"/>
          </w:tcPr>
          <w:p>
            <w:pPr>
              <w:spacing w:after="0"/>
            </w:pPr>
            <w:r/>
            <w:r>
              <w:rPr>
                <w:rFonts w:ascii="Microsoft YaHei" w:hAnsi="Microsoft YaHei" w:eastAsia="Microsoft YaHei"/>
                <w:b w:val="0"/>
                <w:sz w:val="17"/>
              </w:rPr>
              <w:t>一个客户可有多个编号；按优先级输出主编号。</w:t>
            </w:r>
          </w:p>
        </w:tc>
      </w:tr>
      <w:tr>
        <w:tc>
          <w:tcPr>
            <w:tcW w:type="dxa" w:w="1656"/>
            <w:shd w:fill="F3F7FA"/>
            <w:vAlign w:val="center"/>
          </w:tcPr>
          <w:p>
            <w:pPr>
              <w:spacing w:after="0"/>
            </w:pPr>
            <w:r/>
            <w:r>
              <w:rPr>
                <w:rFonts w:ascii="Microsoft YaHei" w:hAnsi="Microsoft YaHei" w:eastAsia="Microsoft YaHei"/>
                <w:b w:val="0"/>
                <w:sz w:val="17"/>
              </w:rPr>
              <w:t>风险标签</w:t>
            </w:r>
          </w:p>
        </w:tc>
        <w:tc>
          <w:tcPr>
            <w:tcW w:type="dxa" w:w="3888"/>
            <w:shd w:fill="F3F7FA"/>
            <w:vAlign w:val="center"/>
          </w:tcPr>
          <w:p>
            <w:pPr>
              <w:spacing w:after="0"/>
            </w:pPr>
            <w:r/>
            <w:r>
              <w:rPr>
                <w:rFonts w:ascii="Microsoft YaHei" w:hAnsi="Microsoft YaHei" w:eastAsia="Microsoft YaHei"/>
                <w:b w:val="0"/>
                <w:sz w:val="17"/>
              </w:rPr>
              <w:t>对风险事实的业务描述，例如“确认非本人交易”“涉嫌电诈诱导”“信用履约关注”。</w:t>
            </w:r>
          </w:p>
        </w:tc>
        <w:tc>
          <w:tcPr>
            <w:tcW w:type="dxa" w:w="4320"/>
            <w:shd w:fill="F3F7FA"/>
            <w:vAlign w:val="center"/>
          </w:tcPr>
          <w:p>
            <w:pPr>
              <w:spacing w:after="0"/>
            </w:pPr>
            <w:r/>
            <w:r>
              <w:rPr>
                <w:rFonts w:ascii="Microsoft YaHei" w:hAnsi="Microsoft YaHei" w:eastAsia="Microsoft YaHei"/>
                <w:b w:val="0"/>
                <w:sz w:val="17"/>
              </w:rPr>
              <w:t>标签描述事件或关注点，不等同于客户人格结论。</w:t>
            </w:r>
          </w:p>
        </w:tc>
      </w:tr>
      <w:tr>
        <w:tc>
          <w:tcPr>
            <w:tcW w:type="dxa" w:w="1656"/>
            <w:vAlign w:val="center"/>
          </w:tcPr>
          <w:p>
            <w:pPr>
              <w:spacing w:after="0"/>
            </w:pPr>
            <w:r/>
            <w:r>
              <w:rPr>
                <w:rFonts w:ascii="Microsoft YaHei" w:hAnsi="Microsoft YaHei" w:eastAsia="Microsoft YaHei"/>
                <w:b w:val="0"/>
                <w:sz w:val="17"/>
              </w:rPr>
              <w:t>风险等级</w:t>
            </w:r>
          </w:p>
        </w:tc>
        <w:tc>
          <w:tcPr>
            <w:tcW w:type="dxa" w:w="3888"/>
            <w:vAlign w:val="center"/>
          </w:tcPr>
          <w:p>
            <w:pPr>
              <w:spacing w:after="0"/>
            </w:pPr>
            <w:r/>
            <w:r>
              <w:rPr>
                <w:rFonts w:ascii="Microsoft YaHei" w:hAnsi="Microsoft YaHei" w:eastAsia="Microsoft YaHei"/>
                <w:b w:val="0"/>
                <w:sz w:val="17"/>
              </w:rPr>
              <w:t>L4确认风险、L3高风险、L2关注、L1提示、L0正常。</w:t>
            </w:r>
          </w:p>
        </w:tc>
        <w:tc>
          <w:tcPr>
            <w:tcW w:type="dxa" w:w="4320"/>
            <w:vAlign w:val="center"/>
          </w:tcPr>
          <w:p>
            <w:pPr>
              <w:spacing w:after="0"/>
            </w:pPr>
            <w:r/>
            <w:r>
              <w:rPr>
                <w:rFonts w:ascii="Microsoft YaHei" w:hAnsi="Microsoft YaHei" w:eastAsia="Microsoft YaHei"/>
                <w:b w:val="0"/>
                <w:sz w:val="17"/>
              </w:rPr>
              <w:t>等级决定处置路径；同一等级可对应不同动作。</w:t>
            </w:r>
          </w:p>
        </w:tc>
      </w:tr>
      <w:tr>
        <w:tc>
          <w:tcPr>
            <w:tcW w:type="dxa" w:w="1656"/>
            <w:shd w:fill="F3F7FA"/>
            <w:vAlign w:val="center"/>
          </w:tcPr>
          <w:p>
            <w:pPr>
              <w:spacing w:after="0"/>
            </w:pPr>
            <w:r/>
            <w:r>
              <w:rPr>
                <w:rFonts w:ascii="Microsoft YaHei" w:hAnsi="Microsoft YaHei" w:eastAsia="Microsoft YaHei"/>
                <w:b w:val="0"/>
                <w:sz w:val="17"/>
              </w:rPr>
              <w:t>处置代码</w:t>
            </w:r>
          </w:p>
        </w:tc>
        <w:tc>
          <w:tcPr>
            <w:tcW w:type="dxa" w:w="3888"/>
            <w:shd w:fill="F3F7FA"/>
            <w:vAlign w:val="center"/>
          </w:tcPr>
          <w:p>
            <w:pPr>
              <w:spacing w:after="0"/>
            </w:pPr>
            <w:r/>
            <w:r>
              <w:rPr>
                <w:rFonts w:ascii="Microsoft YaHei" w:hAnsi="Microsoft YaHei" w:eastAsia="Microsoft YaHei"/>
                <w:b w:val="0"/>
                <w:sz w:val="17"/>
              </w:rPr>
              <w:t>BLK阻断、FRZ冻结/挂失转接、REV人工复核、AUTH加强认证、NTF风险提示、CRM贷后提醒、PASS放行。</w:t>
            </w:r>
          </w:p>
        </w:tc>
        <w:tc>
          <w:tcPr>
            <w:tcW w:type="dxa" w:w="4320"/>
            <w:shd w:fill="F3F7FA"/>
            <w:vAlign w:val="center"/>
          </w:tcPr>
          <w:p>
            <w:pPr>
              <w:spacing w:after="0"/>
            </w:pPr>
            <w:r/>
            <w:r>
              <w:rPr>
                <w:rFonts w:ascii="Microsoft YaHei" w:hAnsi="Microsoft YaHei" w:eastAsia="Microsoft YaHei"/>
                <w:b w:val="0"/>
                <w:sz w:val="17"/>
              </w:rPr>
              <w:t>最终冻结、解冻、额度调整和征信报送须由有权限流程完成。</w:t>
            </w:r>
          </w:p>
        </w:tc>
      </w:tr>
      <w:tr>
        <w:tc>
          <w:tcPr>
            <w:tcW w:type="dxa" w:w="1656"/>
            <w:vAlign w:val="center"/>
          </w:tcPr>
          <w:p>
            <w:pPr>
              <w:spacing w:after="0"/>
            </w:pPr>
            <w:r/>
            <w:r>
              <w:rPr>
                <w:rFonts w:ascii="Microsoft YaHei" w:hAnsi="Microsoft YaHei" w:eastAsia="Microsoft YaHei"/>
                <w:b w:val="0"/>
                <w:sz w:val="17"/>
              </w:rPr>
              <w:t>证据快照</w:t>
            </w:r>
          </w:p>
        </w:tc>
        <w:tc>
          <w:tcPr>
            <w:tcW w:type="dxa" w:w="3888"/>
            <w:vAlign w:val="center"/>
          </w:tcPr>
          <w:p>
            <w:pPr>
              <w:spacing w:after="0"/>
            </w:pPr>
            <w:r/>
            <w:r>
              <w:rPr>
                <w:rFonts w:ascii="Microsoft YaHei" w:hAnsi="Microsoft YaHei" w:eastAsia="Microsoft YaHei"/>
                <w:b w:val="0"/>
                <w:sz w:val="17"/>
              </w:rPr>
              <w:t>模型分、规则命中、交易特征、客户安全锁状态、时间窗口。</w:t>
            </w:r>
          </w:p>
        </w:tc>
        <w:tc>
          <w:tcPr>
            <w:tcW w:type="dxa" w:w="4320"/>
            <w:vAlign w:val="center"/>
          </w:tcPr>
          <w:p>
            <w:pPr>
              <w:spacing w:after="0"/>
            </w:pPr>
            <w:r/>
            <w:r>
              <w:rPr>
                <w:rFonts w:ascii="Microsoft YaHei" w:hAnsi="Microsoft YaHei" w:eastAsia="Microsoft YaHei"/>
                <w:b w:val="0"/>
                <w:sz w:val="17"/>
              </w:rPr>
              <w:t>供内部审核使用，不向客户展示阈值或模型分。</w:t>
            </w:r>
          </w:p>
        </w:tc>
      </w:tr>
    </w:tbl>
    <w:p>
      <w:pPr>
        <w:spacing w:after="100"/>
      </w:pPr>
    </w:p>
    <w:p>
      <w:pPr>
        <w:pStyle w:val="Heading1"/>
        <w:spacing w:after="100"/>
      </w:pPr>
      <w:r>
        <w:t>2 风险编号和标签分级</w:t>
      </w:r>
    </w:p>
    <w:tbl>
      <w:tblPr>
        <w:tblStyle w:val="TableGrid"/>
        <w:tblW w:type="auto" w:w="0"/>
        <w:jc w:val="center"/>
        <w:tblLook w:firstColumn="1" w:firstRow="1" w:lastColumn="0" w:lastRow="0" w:noHBand="0" w:noVBand="1" w:val="04A0"/>
      </w:tblPr>
      <w:tblGrid>
        <w:gridCol w:w="2496"/>
        <w:gridCol w:w="2496"/>
        <w:gridCol w:w="2496"/>
        <w:gridCol w:w="2496"/>
        <w:gridCol w:w="2496"/>
        <w:gridCol w:w="2496"/>
      </w:tblGrid>
      <w:tr>
        <w:tc>
          <w:tcPr>
            <w:tcW w:type="dxa" w:w="1224"/>
            <w:shd w:fill="1F4E78"/>
            <w:vAlign w:val="center"/>
          </w:tcPr>
          <w:p>
            <w:pPr>
              <w:spacing w:after="0"/>
            </w:pPr>
            <w:r/>
            <w:r>
              <w:rPr>
                <w:rFonts w:ascii="Microsoft YaHei" w:hAnsi="Microsoft YaHei" w:eastAsia="Microsoft YaHei"/>
                <w:b/>
                <w:color w:val="FFFFFF"/>
                <w:sz w:val="17"/>
              </w:rPr>
              <w:t>风险编号</w:t>
            </w:r>
          </w:p>
        </w:tc>
        <w:tc>
          <w:tcPr>
            <w:tcW w:type="dxa" w:w="1800"/>
            <w:shd w:fill="1F4E78"/>
            <w:vAlign w:val="center"/>
          </w:tcPr>
          <w:p>
            <w:pPr>
              <w:spacing w:after="0"/>
            </w:pPr>
            <w:r/>
            <w:r>
              <w:rPr>
                <w:rFonts w:ascii="Microsoft YaHei" w:hAnsi="Microsoft YaHei" w:eastAsia="Microsoft YaHei"/>
                <w:b/>
                <w:color w:val="FFFFFF"/>
                <w:sz w:val="17"/>
              </w:rPr>
              <w:t>标签</w:t>
            </w:r>
          </w:p>
        </w:tc>
        <w:tc>
          <w:tcPr>
            <w:tcW w:type="dxa" w:w="648"/>
            <w:shd w:fill="1F4E78"/>
            <w:vAlign w:val="center"/>
          </w:tcPr>
          <w:p>
            <w:pPr>
              <w:spacing w:after="0"/>
            </w:pPr>
            <w:r/>
            <w:r>
              <w:rPr>
                <w:rFonts w:ascii="Microsoft YaHei" w:hAnsi="Microsoft YaHei" w:eastAsia="Microsoft YaHei"/>
                <w:b/>
                <w:color w:val="FFFFFF"/>
                <w:sz w:val="17"/>
              </w:rPr>
              <w:t>等级</w:t>
            </w:r>
          </w:p>
        </w:tc>
        <w:tc>
          <w:tcPr>
            <w:tcW w:type="dxa" w:w="1296"/>
            <w:shd w:fill="1F4E78"/>
            <w:vAlign w:val="center"/>
          </w:tcPr>
          <w:p>
            <w:pPr>
              <w:spacing w:after="0"/>
            </w:pPr>
            <w:r/>
            <w:r>
              <w:rPr>
                <w:rFonts w:ascii="Microsoft YaHei" w:hAnsi="Microsoft YaHei" w:eastAsia="Microsoft YaHei"/>
                <w:b/>
                <w:color w:val="FFFFFF"/>
                <w:sz w:val="17"/>
              </w:rPr>
              <w:t>处置</w:t>
            </w:r>
          </w:p>
        </w:tc>
        <w:tc>
          <w:tcPr>
            <w:tcW w:type="dxa" w:w="3312"/>
            <w:shd w:fill="1F4E78"/>
            <w:vAlign w:val="center"/>
          </w:tcPr>
          <w:p>
            <w:pPr>
              <w:spacing w:after="0"/>
            </w:pPr>
            <w:r/>
            <w:r>
              <w:rPr>
                <w:rFonts w:ascii="Microsoft YaHei" w:hAnsi="Microsoft YaHei" w:eastAsia="Microsoft YaHei"/>
                <w:b/>
                <w:color w:val="FFFFFF"/>
                <w:sz w:val="17"/>
              </w:rPr>
              <w:t>主要触发事实</w:t>
            </w:r>
          </w:p>
        </w:tc>
        <w:tc>
          <w:tcPr>
            <w:tcW w:type="dxa" w:w="1584"/>
            <w:shd w:fill="1F4E78"/>
            <w:vAlign w:val="center"/>
          </w:tcPr>
          <w:p>
            <w:pPr>
              <w:spacing w:after="0"/>
            </w:pPr>
            <w:r/>
            <w:r>
              <w:rPr>
                <w:rFonts w:ascii="Microsoft YaHei" w:hAnsi="Microsoft YaHei" w:eastAsia="Microsoft YaHei"/>
                <w:b/>
                <w:color w:val="FFFFFF"/>
                <w:sz w:val="17"/>
              </w:rPr>
              <w:t>处理方式</w:t>
            </w:r>
          </w:p>
        </w:tc>
      </w:tr>
      <w:tr>
        <w:tc>
          <w:tcPr>
            <w:tcW w:type="dxa" w:w="1224"/>
            <w:vAlign w:val="center"/>
          </w:tcPr>
          <w:p>
            <w:pPr>
              <w:spacing w:after="0"/>
            </w:pPr>
            <w:r/>
            <w:r>
              <w:rPr>
                <w:rFonts w:ascii="Microsoft YaHei" w:hAnsi="Microsoft YaHei" w:eastAsia="Microsoft YaHei"/>
                <w:b w:val="0"/>
                <w:sz w:val="17"/>
              </w:rPr>
              <w:t>FRA-C01</w:t>
            </w:r>
          </w:p>
        </w:tc>
        <w:tc>
          <w:tcPr>
            <w:tcW w:type="dxa" w:w="1800"/>
            <w:vAlign w:val="center"/>
          </w:tcPr>
          <w:p>
            <w:pPr>
              <w:spacing w:after="0"/>
            </w:pPr>
            <w:r/>
            <w:r>
              <w:rPr>
                <w:rFonts w:ascii="Microsoft YaHei" w:hAnsi="Microsoft YaHei" w:eastAsia="Microsoft YaHei"/>
                <w:b w:val="0"/>
                <w:sz w:val="17"/>
              </w:rPr>
              <w:t>确认非本人交易</w:t>
            </w:r>
          </w:p>
        </w:tc>
        <w:tc>
          <w:tcPr>
            <w:tcW w:type="dxa" w:w="648"/>
            <w:vAlign w:val="center"/>
          </w:tcPr>
          <w:p>
            <w:pPr>
              <w:spacing w:after="0"/>
            </w:pPr>
            <w:r/>
            <w:r>
              <w:rPr>
                <w:rFonts w:ascii="Microsoft YaHei" w:hAnsi="Microsoft YaHei" w:eastAsia="Microsoft YaHei"/>
                <w:b w:val="0"/>
                <w:sz w:val="17"/>
              </w:rPr>
              <w:t>L4</w:t>
            </w:r>
          </w:p>
        </w:tc>
        <w:tc>
          <w:tcPr>
            <w:tcW w:type="dxa" w:w="1296"/>
            <w:vAlign w:val="center"/>
          </w:tcPr>
          <w:p>
            <w:pPr>
              <w:spacing w:after="0"/>
            </w:pPr>
            <w:r/>
            <w:r>
              <w:rPr>
                <w:rFonts w:ascii="Microsoft YaHei" w:hAnsi="Microsoft YaHei" w:eastAsia="Microsoft YaHei"/>
                <w:b w:val="0"/>
                <w:sz w:val="17"/>
              </w:rPr>
              <w:t>FRZ + REV</w:t>
            </w:r>
          </w:p>
        </w:tc>
        <w:tc>
          <w:tcPr>
            <w:tcW w:type="dxa" w:w="3312"/>
            <w:vAlign w:val="center"/>
          </w:tcPr>
          <w:p>
            <w:pPr>
              <w:spacing w:after="0"/>
            </w:pPr>
            <w:r/>
            <w:r>
              <w:rPr>
                <w:rFonts w:ascii="Microsoft YaHei" w:hAnsi="Microsoft YaHei" w:eastAsia="Microsoft YaHei"/>
                <w:b w:val="0"/>
                <w:sz w:val="17"/>
              </w:rPr>
              <w:t>客户确认非本人交易，或案件经人工核实为盗刷。</w:t>
            </w:r>
          </w:p>
        </w:tc>
        <w:tc>
          <w:tcPr>
            <w:tcW w:type="dxa" w:w="1584"/>
            <w:vAlign w:val="center"/>
          </w:tcPr>
          <w:p>
            <w:pPr>
              <w:spacing w:after="0"/>
            </w:pPr>
            <w:r/>
            <w:r>
              <w:rPr>
                <w:rFonts w:ascii="Microsoft YaHei" w:hAnsi="Microsoft YaHei" w:eastAsia="Microsoft YaHei"/>
                <w:b w:val="0"/>
                <w:sz w:val="17"/>
              </w:rPr>
              <w:t>立即止付/挂失转接，保全证据，进入争议处理。</w:t>
            </w:r>
          </w:p>
        </w:tc>
      </w:tr>
      <w:tr>
        <w:tc>
          <w:tcPr>
            <w:tcW w:type="dxa" w:w="1224"/>
            <w:shd w:fill="F3F7FA"/>
            <w:vAlign w:val="center"/>
          </w:tcPr>
          <w:p>
            <w:pPr>
              <w:spacing w:after="0"/>
            </w:pPr>
            <w:r/>
            <w:r>
              <w:rPr>
                <w:rFonts w:ascii="Microsoft YaHei" w:hAnsi="Microsoft YaHei" w:eastAsia="Microsoft YaHei"/>
                <w:b w:val="0"/>
                <w:sz w:val="17"/>
              </w:rPr>
              <w:t>FRA-S01</w:t>
            </w:r>
          </w:p>
        </w:tc>
        <w:tc>
          <w:tcPr>
            <w:tcW w:type="dxa" w:w="1800"/>
            <w:shd w:fill="F3F7FA"/>
            <w:vAlign w:val="center"/>
          </w:tcPr>
          <w:p>
            <w:pPr>
              <w:spacing w:after="0"/>
            </w:pPr>
            <w:r/>
            <w:r>
              <w:rPr>
                <w:rFonts w:ascii="Microsoft YaHei" w:hAnsi="Microsoft YaHei" w:eastAsia="Microsoft YaHei"/>
                <w:b w:val="0"/>
                <w:sz w:val="17"/>
              </w:rPr>
              <w:t>涉嫌盗刷</w:t>
            </w:r>
          </w:p>
        </w:tc>
        <w:tc>
          <w:tcPr>
            <w:tcW w:type="dxa" w:w="648"/>
            <w:shd w:fill="F3F7FA"/>
            <w:vAlign w:val="center"/>
          </w:tcPr>
          <w:p>
            <w:pPr>
              <w:spacing w:after="0"/>
            </w:pPr>
            <w:r/>
            <w:r>
              <w:rPr>
                <w:rFonts w:ascii="Microsoft YaHei" w:hAnsi="Microsoft YaHei" w:eastAsia="Microsoft YaHei"/>
                <w:b w:val="0"/>
                <w:sz w:val="17"/>
              </w:rPr>
              <w:t>L3</w:t>
            </w:r>
          </w:p>
        </w:tc>
        <w:tc>
          <w:tcPr>
            <w:tcW w:type="dxa" w:w="1296"/>
            <w:shd w:fill="F3F7FA"/>
            <w:vAlign w:val="center"/>
          </w:tcPr>
          <w:p>
            <w:pPr>
              <w:spacing w:after="0"/>
            </w:pPr>
            <w:r/>
            <w:r>
              <w:rPr>
                <w:rFonts w:ascii="Microsoft YaHei" w:hAnsi="Microsoft YaHei" w:eastAsia="Microsoft YaHei"/>
                <w:b w:val="0"/>
                <w:sz w:val="17"/>
              </w:rPr>
              <w:t>BLK + REV</w:t>
            </w:r>
          </w:p>
        </w:tc>
        <w:tc>
          <w:tcPr>
            <w:tcW w:type="dxa" w:w="3312"/>
            <w:shd w:fill="F3F7FA"/>
            <w:vAlign w:val="center"/>
          </w:tcPr>
          <w:p>
            <w:pPr>
              <w:spacing w:after="0"/>
            </w:pPr>
            <w:r/>
            <w:r>
              <w:rPr>
                <w:rFonts w:ascii="Microsoft YaHei" w:hAnsi="Microsoft YaHei" w:eastAsia="Microsoft YaHei"/>
                <w:b w:val="0"/>
                <w:sz w:val="17"/>
              </w:rPr>
              <w:t>新卡/休眠激活后，夜间、跨区域、线上无卡等异常组合；模型高分。</w:t>
            </w:r>
          </w:p>
        </w:tc>
        <w:tc>
          <w:tcPr>
            <w:tcW w:type="dxa" w:w="1584"/>
            <w:shd w:fill="F3F7FA"/>
            <w:vAlign w:val="center"/>
          </w:tcPr>
          <w:p>
            <w:pPr>
              <w:spacing w:after="0"/>
            </w:pPr>
            <w:r/>
            <w:r>
              <w:rPr>
                <w:rFonts w:ascii="Microsoft YaHei" w:hAnsi="Microsoft YaHei" w:eastAsia="Microsoft YaHei"/>
                <w:b w:val="0"/>
                <w:sz w:val="17"/>
              </w:rPr>
              <w:t>阻断当前交易或维持管控，人工复核。</w:t>
            </w:r>
          </w:p>
        </w:tc>
      </w:tr>
      <w:tr>
        <w:tc>
          <w:tcPr>
            <w:tcW w:type="dxa" w:w="1224"/>
            <w:vAlign w:val="center"/>
          </w:tcPr>
          <w:p>
            <w:pPr>
              <w:spacing w:after="0"/>
            </w:pPr>
            <w:r/>
            <w:r>
              <w:rPr>
                <w:rFonts w:ascii="Microsoft YaHei" w:hAnsi="Microsoft YaHei" w:eastAsia="Microsoft YaHei"/>
                <w:b w:val="0"/>
                <w:sz w:val="17"/>
              </w:rPr>
              <w:t>TEL-S01</w:t>
            </w:r>
          </w:p>
        </w:tc>
        <w:tc>
          <w:tcPr>
            <w:tcW w:type="dxa" w:w="1800"/>
            <w:vAlign w:val="center"/>
          </w:tcPr>
          <w:p>
            <w:pPr>
              <w:spacing w:after="0"/>
            </w:pPr>
            <w:r/>
            <w:r>
              <w:rPr>
                <w:rFonts w:ascii="Microsoft YaHei" w:hAnsi="Microsoft YaHei" w:eastAsia="Microsoft YaHei"/>
                <w:b w:val="0"/>
                <w:sz w:val="17"/>
              </w:rPr>
              <w:t>涉嫌电诈诱导</w:t>
            </w:r>
          </w:p>
        </w:tc>
        <w:tc>
          <w:tcPr>
            <w:tcW w:type="dxa" w:w="648"/>
            <w:vAlign w:val="center"/>
          </w:tcPr>
          <w:p>
            <w:pPr>
              <w:spacing w:after="0"/>
            </w:pPr>
            <w:r/>
            <w:r>
              <w:rPr>
                <w:rFonts w:ascii="Microsoft YaHei" w:hAnsi="Microsoft YaHei" w:eastAsia="Microsoft YaHei"/>
                <w:b w:val="0"/>
                <w:sz w:val="17"/>
              </w:rPr>
              <w:t>L3</w:t>
            </w:r>
          </w:p>
        </w:tc>
        <w:tc>
          <w:tcPr>
            <w:tcW w:type="dxa" w:w="1296"/>
            <w:vAlign w:val="center"/>
          </w:tcPr>
          <w:p>
            <w:pPr>
              <w:spacing w:after="0"/>
            </w:pPr>
            <w:r/>
            <w:r>
              <w:rPr>
                <w:rFonts w:ascii="Microsoft YaHei" w:hAnsi="Microsoft YaHei" w:eastAsia="Microsoft YaHei"/>
                <w:b w:val="0"/>
                <w:sz w:val="17"/>
              </w:rPr>
              <w:t>REV + NTF</w:t>
            </w:r>
          </w:p>
        </w:tc>
        <w:tc>
          <w:tcPr>
            <w:tcW w:type="dxa" w:w="3312"/>
            <w:vAlign w:val="center"/>
          </w:tcPr>
          <w:p>
            <w:pPr>
              <w:spacing w:after="0"/>
            </w:pPr>
            <w:r/>
            <w:r>
              <w:rPr>
                <w:rFonts w:ascii="Microsoft YaHei" w:hAnsi="Microsoft YaHei" w:eastAsia="Microsoft YaHei"/>
                <w:b w:val="0"/>
                <w:sz w:val="17"/>
              </w:rPr>
              <w:t>客户疑似受陌生链接、二维码、假冒通知诱导，或发生异常转账/支付组合。</w:t>
            </w:r>
          </w:p>
        </w:tc>
        <w:tc>
          <w:tcPr>
            <w:tcW w:type="dxa" w:w="1584"/>
            <w:vAlign w:val="center"/>
          </w:tcPr>
          <w:p>
            <w:pPr>
              <w:spacing w:after="0"/>
            </w:pPr>
            <w:r/>
            <w:r>
              <w:rPr>
                <w:rFonts w:ascii="Microsoft YaHei" w:hAnsi="Microsoft YaHei" w:eastAsia="Microsoft YaHei"/>
                <w:b w:val="0"/>
                <w:sz w:val="17"/>
              </w:rPr>
              <w:t>风险外呼或安全提示，必要时转冻结/报案协助流程。</w:t>
            </w:r>
          </w:p>
        </w:tc>
      </w:tr>
      <w:tr>
        <w:tc>
          <w:tcPr>
            <w:tcW w:type="dxa" w:w="1224"/>
            <w:shd w:fill="F3F7FA"/>
            <w:vAlign w:val="center"/>
          </w:tcPr>
          <w:p>
            <w:pPr>
              <w:spacing w:after="0"/>
            </w:pPr>
            <w:r/>
            <w:r>
              <w:rPr>
                <w:rFonts w:ascii="Microsoft YaHei" w:hAnsi="Microsoft YaHei" w:eastAsia="Microsoft YaHei"/>
                <w:b w:val="0"/>
                <w:sz w:val="17"/>
              </w:rPr>
              <w:t>SEC-L01</w:t>
            </w:r>
          </w:p>
        </w:tc>
        <w:tc>
          <w:tcPr>
            <w:tcW w:type="dxa" w:w="1800"/>
            <w:shd w:fill="F3F7FA"/>
            <w:vAlign w:val="center"/>
          </w:tcPr>
          <w:p>
            <w:pPr>
              <w:spacing w:after="0"/>
            </w:pPr>
            <w:r/>
            <w:r>
              <w:rPr>
                <w:rFonts w:ascii="Microsoft YaHei" w:hAnsi="Microsoft YaHei" w:eastAsia="Microsoft YaHei"/>
                <w:b w:val="0"/>
                <w:sz w:val="17"/>
              </w:rPr>
              <w:t>安全锁触发</w:t>
            </w:r>
          </w:p>
        </w:tc>
        <w:tc>
          <w:tcPr>
            <w:tcW w:type="dxa" w:w="648"/>
            <w:shd w:fill="F3F7FA"/>
            <w:vAlign w:val="center"/>
          </w:tcPr>
          <w:p>
            <w:pPr>
              <w:spacing w:after="0"/>
            </w:pPr>
            <w:r/>
            <w:r>
              <w:rPr>
                <w:rFonts w:ascii="Microsoft YaHei" w:hAnsi="Microsoft YaHei" w:eastAsia="Microsoft YaHei"/>
                <w:b w:val="0"/>
                <w:sz w:val="17"/>
              </w:rPr>
              <w:t>L3</w:t>
            </w:r>
          </w:p>
        </w:tc>
        <w:tc>
          <w:tcPr>
            <w:tcW w:type="dxa" w:w="1296"/>
            <w:shd w:fill="F3F7FA"/>
            <w:vAlign w:val="center"/>
          </w:tcPr>
          <w:p>
            <w:pPr>
              <w:spacing w:after="0"/>
            </w:pPr>
            <w:r/>
            <w:r>
              <w:rPr>
                <w:rFonts w:ascii="Microsoft YaHei" w:hAnsi="Microsoft YaHei" w:eastAsia="Microsoft YaHei"/>
                <w:b w:val="0"/>
                <w:sz w:val="17"/>
              </w:rPr>
              <w:t>BLK + NTF</w:t>
            </w:r>
          </w:p>
        </w:tc>
        <w:tc>
          <w:tcPr>
            <w:tcW w:type="dxa" w:w="3312"/>
            <w:shd w:fill="F3F7FA"/>
            <w:vAlign w:val="center"/>
          </w:tcPr>
          <w:p>
            <w:pPr>
              <w:spacing w:after="0"/>
            </w:pPr>
            <w:r/>
            <w:r>
              <w:rPr>
                <w:rFonts w:ascii="Microsoft YaHei" w:hAnsi="Microsoft YaHei" w:eastAsia="Microsoft YaHei"/>
                <w:b w:val="0"/>
                <w:sz w:val="17"/>
              </w:rPr>
              <w:t>客户已设置的境外、地区、夜间、境外无卡或限额安全锁被触发。</w:t>
            </w:r>
          </w:p>
        </w:tc>
        <w:tc>
          <w:tcPr>
            <w:tcW w:type="dxa" w:w="1584"/>
            <w:shd w:fill="F3F7FA"/>
            <w:vAlign w:val="center"/>
          </w:tcPr>
          <w:p>
            <w:pPr>
              <w:spacing w:after="0"/>
            </w:pPr>
            <w:r/>
            <w:r>
              <w:rPr>
                <w:rFonts w:ascii="Microsoft YaHei" w:hAnsi="Microsoft YaHei" w:eastAsia="Microsoft YaHei"/>
                <w:b w:val="0"/>
                <w:sz w:val="17"/>
              </w:rPr>
              <w:t>阻断交易并发送通知；由客户在官方渠道调整安全锁后重试。</w:t>
            </w:r>
          </w:p>
        </w:tc>
      </w:tr>
      <w:tr>
        <w:tc>
          <w:tcPr>
            <w:tcW w:type="dxa" w:w="1224"/>
            <w:vAlign w:val="center"/>
          </w:tcPr>
          <w:p>
            <w:pPr>
              <w:spacing w:after="0"/>
            </w:pPr>
            <w:r/>
            <w:r>
              <w:rPr>
                <w:rFonts w:ascii="Microsoft YaHei" w:hAnsi="Microsoft YaHei" w:eastAsia="Microsoft YaHei"/>
                <w:b w:val="0"/>
                <w:sz w:val="17"/>
              </w:rPr>
              <w:t>AML-S01</w:t>
            </w:r>
          </w:p>
        </w:tc>
        <w:tc>
          <w:tcPr>
            <w:tcW w:type="dxa" w:w="1800"/>
            <w:vAlign w:val="center"/>
          </w:tcPr>
          <w:p>
            <w:pPr>
              <w:spacing w:after="0"/>
            </w:pPr>
            <w:r/>
            <w:r>
              <w:rPr>
                <w:rFonts w:ascii="Microsoft YaHei" w:hAnsi="Microsoft YaHei" w:eastAsia="Microsoft YaHei"/>
                <w:b w:val="0"/>
                <w:sz w:val="17"/>
              </w:rPr>
              <w:t>异常资金流关注</w:t>
            </w:r>
          </w:p>
        </w:tc>
        <w:tc>
          <w:tcPr>
            <w:tcW w:type="dxa" w:w="648"/>
            <w:vAlign w:val="center"/>
          </w:tcPr>
          <w:p>
            <w:pPr>
              <w:spacing w:after="0"/>
            </w:pPr>
            <w:r/>
            <w:r>
              <w:rPr>
                <w:rFonts w:ascii="Microsoft YaHei" w:hAnsi="Microsoft YaHei" w:eastAsia="Microsoft YaHei"/>
                <w:b w:val="0"/>
                <w:sz w:val="17"/>
              </w:rPr>
              <w:t>L3</w:t>
            </w:r>
          </w:p>
        </w:tc>
        <w:tc>
          <w:tcPr>
            <w:tcW w:type="dxa" w:w="1296"/>
            <w:vAlign w:val="center"/>
          </w:tcPr>
          <w:p>
            <w:pPr>
              <w:spacing w:after="0"/>
            </w:pPr>
            <w:r/>
            <w:r>
              <w:rPr>
                <w:rFonts w:ascii="Microsoft YaHei" w:hAnsi="Microsoft YaHei" w:eastAsia="Microsoft YaHei"/>
                <w:b w:val="0"/>
                <w:sz w:val="17"/>
              </w:rPr>
              <w:t>REV</w:t>
            </w:r>
          </w:p>
        </w:tc>
        <w:tc>
          <w:tcPr>
            <w:tcW w:type="dxa" w:w="3312"/>
            <w:vAlign w:val="center"/>
          </w:tcPr>
          <w:p>
            <w:pPr>
              <w:spacing w:after="0"/>
            </w:pPr>
            <w:r/>
            <w:r>
              <w:rPr>
                <w:rFonts w:ascii="Microsoft YaHei" w:hAnsi="Microsoft YaHei" w:eastAsia="Microsoft YaHei"/>
                <w:b w:val="0"/>
                <w:sz w:val="17"/>
              </w:rPr>
              <w:t>入出账比异常，叠加高风险MCC或跨区域高频。</w:t>
            </w:r>
          </w:p>
        </w:tc>
        <w:tc>
          <w:tcPr>
            <w:tcW w:type="dxa" w:w="1584"/>
            <w:vAlign w:val="center"/>
          </w:tcPr>
          <w:p>
            <w:pPr>
              <w:spacing w:after="0"/>
            </w:pPr>
            <w:r/>
            <w:r>
              <w:rPr>
                <w:rFonts w:ascii="Microsoft YaHei" w:hAnsi="Microsoft YaHei" w:eastAsia="Microsoft YaHei"/>
                <w:b w:val="0"/>
                <w:sz w:val="17"/>
              </w:rPr>
              <w:t>人工核验资金来源、用途与交易背景。</w:t>
            </w:r>
          </w:p>
        </w:tc>
      </w:tr>
      <w:tr>
        <w:tc>
          <w:tcPr>
            <w:tcW w:type="dxa" w:w="1224"/>
            <w:shd w:fill="F3F7FA"/>
            <w:vAlign w:val="center"/>
          </w:tcPr>
          <w:p>
            <w:pPr>
              <w:spacing w:after="0"/>
            </w:pPr>
            <w:r/>
            <w:r>
              <w:rPr>
                <w:rFonts w:ascii="Microsoft YaHei" w:hAnsi="Microsoft YaHei" w:eastAsia="Microsoft YaHei"/>
                <w:b w:val="0"/>
                <w:sz w:val="17"/>
              </w:rPr>
              <w:t>TRX-M01</w:t>
            </w:r>
          </w:p>
        </w:tc>
        <w:tc>
          <w:tcPr>
            <w:tcW w:type="dxa" w:w="1800"/>
            <w:shd w:fill="F3F7FA"/>
            <w:vAlign w:val="center"/>
          </w:tcPr>
          <w:p>
            <w:pPr>
              <w:spacing w:after="0"/>
            </w:pPr>
            <w:r/>
            <w:r>
              <w:rPr>
                <w:rFonts w:ascii="Microsoft YaHei" w:hAnsi="Microsoft YaHei" w:eastAsia="Microsoft YaHei"/>
                <w:b w:val="0"/>
                <w:sz w:val="17"/>
              </w:rPr>
              <w:t>交易行为异常</w:t>
            </w:r>
          </w:p>
        </w:tc>
        <w:tc>
          <w:tcPr>
            <w:tcW w:type="dxa" w:w="648"/>
            <w:shd w:fill="F3F7FA"/>
            <w:vAlign w:val="center"/>
          </w:tcPr>
          <w:p>
            <w:pPr>
              <w:spacing w:after="0"/>
            </w:pPr>
            <w:r/>
            <w:r>
              <w:rPr>
                <w:rFonts w:ascii="Microsoft YaHei" w:hAnsi="Microsoft YaHei" w:eastAsia="Microsoft YaHei"/>
                <w:b w:val="0"/>
                <w:sz w:val="17"/>
              </w:rPr>
              <w:t>L2</w:t>
            </w:r>
          </w:p>
        </w:tc>
        <w:tc>
          <w:tcPr>
            <w:tcW w:type="dxa" w:w="1296"/>
            <w:shd w:fill="F3F7FA"/>
            <w:vAlign w:val="center"/>
          </w:tcPr>
          <w:p>
            <w:pPr>
              <w:spacing w:after="0"/>
            </w:pPr>
            <w:r/>
            <w:r>
              <w:rPr>
                <w:rFonts w:ascii="Microsoft YaHei" w:hAnsi="Microsoft YaHei" w:eastAsia="Microsoft YaHei"/>
                <w:b w:val="0"/>
                <w:sz w:val="17"/>
              </w:rPr>
              <w:t>AUTH + REV</w:t>
            </w:r>
          </w:p>
        </w:tc>
        <w:tc>
          <w:tcPr>
            <w:tcW w:type="dxa" w:w="3312"/>
            <w:shd w:fill="F3F7FA"/>
            <w:vAlign w:val="center"/>
          </w:tcPr>
          <w:p>
            <w:pPr>
              <w:spacing w:after="0"/>
            </w:pPr>
            <w:r/>
            <w:r>
              <w:rPr>
                <w:rFonts w:ascii="Microsoft YaHei" w:hAnsi="Microsoft YaHei" w:eastAsia="Microsoft YaHei"/>
                <w:b w:val="0"/>
                <w:sz w:val="17"/>
              </w:rPr>
              <w:t>夜间频次、线上无卡频次、跨区域频次显著偏离历史。</w:t>
            </w:r>
          </w:p>
        </w:tc>
        <w:tc>
          <w:tcPr>
            <w:tcW w:type="dxa" w:w="1584"/>
            <w:shd w:fill="F3F7FA"/>
            <w:vAlign w:val="center"/>
          </w:tcPr>
          <w:p>
            <w:pPr>
              <w:spacing w:after="0"/>
            </w:pPr>
            <w:r/>
            <w:r>
              <w:rPr>
                <w:rFonts w:ascii="Microsoft YaHei" w:hAnsi="Microsoft YaHei" w:eastAsia="Microsoft YaHei"/>
                <w:b w:val="0"/>
                <w:sz w:val="17"/>
              </w:rPr>
              <w:t>加强认证或进入人工复核队列。</w:t>
            </w:r>
          </w:p>
        </w:tc>
      </w:tr>
      <w:tr>
        <w:tc>
          <w:tcPr>
            <w:tcW w:type="dxa" w:w="1224"/>
            <w:vAlign w:val="center"/>
          </w:tcPr>
          <w:p>
            <w:pPr>
              <w:spacing w:after="0"/>
            </w:pPr>
            <w:r/>
            <w:r>
              <w:rPr>
                <w:rFonts w:ascii="Microsoft YaHei" w:hAnsi="Microsoft YaHei" w:eastAsia="Microsoft YaHei"/>
                <w:b w:val="0"/>
                <w:sz w:val="17"/>
              </w:rPr>
              <w:t>CRD-P01</w:t>
            </w:r>
          </w:p>
        </w:tc>
        <w:tc>
          <w:tcPr>
            <w:tcW w:type="dxa" w:w="1800"/>
            <w:vAlign w:val="center"/>
          </w:tcPr>
          <w:p>
            <w:pPr>
              <w:spacing w:after="0"/>
            </w:pPr>
            <w:r/>
            <w:r>
              <w:rPr>
                <w:rFonts w:ascii="Microsoft YaHei" w:hAnsi="Microsoft YaHei" w:eastAsia="Microsoft YaHei"/>
                <w:b w:val="0"/>
                <w:sz w:val="17"/>
              </w:rPr>
              <w:t>信用履约关注</w:t>
            </w:r>
          </w:p>
        </w:tc>
        <w:tc>
          <w:tcPr>
            <w:tcW w:type="dxa" w:w="648"/>
            <w:vAlign w:val="center"/>
          </w:tcPr>
          <w:p>
            <w:pPr>
              <w:spacing w:after="0"/>
            </w:pPr>
            <w:r/>
            <w:r>
              <w:rPr>
                <w:rFonts w:ascii="Microsoft YaHei" w:hAnsi="Microsoft YaHei" w:eastAsia="Microsoft YaHei"/>
                <w:b w:val="0"/>
                <w:sz w:val="17"/>
              </w:rPr>
              <w:t>L2</w:t>
            </w:r>
          </w:p>
        </w:tc>
        <w:tc>
          <w:tcPr>
            <w:tcW w:type="dxa" w:w="1296"/>
            <w:vAlign w:val="center"/>
          </w:tcPr>
          <w:p>
            <w:pPr>
              <w:spacing w:after="0"/>
            </w:pPr>
            <w:r/>
            <w:r>
              <w:rPr>
                <w:rFonts w:ascii="Microsoft YaHei" w:hAnsi="Microsoft YaHei" w:eastAsia="Microsoft YaHei"/>
                <w:b w:val="0"/>
                <w:sz w:val="17"/>
              </w:rPr>
              <w:t>CRM</w:t>
            </w:r>
          </w:p>
        </w:tc>
        <w:tc>
          <w:tcPr>
            <w:tcW w:type="dxa" w:w="3312"/>
            <w:vAlign w:val="center"/>
          </w:tcPr>
          <w:p>
            <w:pPr>
              <w:spacing w:after="0"/>
            </w:pPr>
            <w:r/>
            <w:r>
              <w:rPr>
                <w:rFonts w:ascii="Microsoft YaHei" w:hAnsi="Microsoft YaHei" w:eastAsia="Microsoft YaHei"/>
                <w:b w:val="0"/>
                <w:sz w:val="17"/>
              </w:rPr>
              <w:t>当期未足额归还最低还款额或发生逾期。</w:t>
            </w:r>
          </w:p>
        </w:tc>
        <w:tc>
          <w:tcPr>
            <w:tcW w:type="dxa" w:w="1584"/>
            <w:vAlign w:val="center"/>
          </w:tcPr>
          <w:p>
            <w:pPr>
              <w:spacing w:after="0"/>
            </w:pPr>
            <w:r/>
            <w:r>
              <w:rPr>
                <w:rFonts w:ascii="Microsoft YaHei" w:hAnsi="Microsoft YaHei" w:eastAsia="Microsoft YaHei"/>
                <w:b w:val="0"/>
                <w:sz w:val="17"/>
              </w:rPr>
              <w:t>还款提醒与贷后跟进；按合规流程处理信用信息。</w:t>
            </w:r>
          </w:p>
        </w:tc>
      </w:tr>
      <w:tr>
        <w:tc>
          <w:tcPr>
            <w:tcW w:type="dxa" w:w="1224"/>
            <w:shd w:fill="F3F7FA"/>
            <w:vAlign w:val="center"/>
          </w:tcPr>
          <w:p>
            <w:pPr>
              <w:spacing w:after="0"/>
            </w:pPr>
            <w:r/>
            <w:r>
              <w:rPr>
                <w:rFonts w:ascii="Microsoft YaHei" w:hAnsi="Microsoft YaHei" w:eastAsia="Microsoft YaHei"/>
                <w:b w:val="0"/>
                <w:sz w:val="17"/>
              </w:rPr>
              <w:t>CRD-P02</w:t>
            </w:r>
          </w:p>
        </w:tc>
        <w:tc>
          <w:tcPr>
            <w:tcW w:type="dxa" w:w="1800"/>
            <w:shd w:fill="F3F7FA"/>
            <w:vAlign w:val="center"/>
          </w:tcPr>
          <w:p>
            <w:pPr>
              <w:spacing w:after="0"/>
            </w:pPr>
            <w:r/>
            <w:r>
              <w:rPr>
                <w:rFonts w:ascii="Microsoft YaHei" w:hAnsi="Microsoft YaHei" w:eastAsia="Microsoft YaHei"/>
                <w:b w:val="0"/>
                <w:sz w:val="17"/>
              </w:rPr>
              <w:t>高负债使用关注</w:t>
            </w:r>
          </w:p>
        </w:tc>
        <w:tc>
          <w:tcPr>
            <w:tcW w:type="dxa" w:w="648"/>
            <w:shd w:fill="F3F7FA"/>
            <w:vAlign w:val="center"/>
          </w:tcPr>
          <w:p>
            <w:pPr>
              <w:spacing w:after="0"/>
            </w:pPr>
            <w:r/>
            <w:r>
              <w:rPr>
                <w:rFonts w:ascii="Microsoft YaHei" w:hAnsi="Microsoft YaHei" w:eastAsia="Microsoft YaHei"/>
                <w:b w:val="0"/>
                <w:sz w:val="17"/>
              </w:rPr>
              <w:t>L1</w:t>
            </w:r>
          </w:p>
        </w:tc>
        <w:tc>
          <w:tcPr>
            <w:tcW w:type="dxa" w:w="1296"/>
            <w:shd w:fill="F3F7FA"/>
            <w:vAlign w:val="center"/>
          </w:tcPr>
          <w:p>
            <w:pPr>
              <w:spacing w:after="0"/>
            </w:pPr>
            <w:r/>
            <w:r>
              <w:rPr>
                <w:rFonts w:ascii="Microsoft YaHei" w:hAnsi="Microsoft YaHei" w:eastAsia="Microsoft YaHei"/>
                <w:b w:val="0"/>
                <w:sz w:val="17"/>
              </w:rPr>
              <w:t>CRM</w:t>
            </w:r>
          </w:p>
        </w:tc>
        <w:tc>
          <w:tcPr>
            <w:tcW w:type="dxa" w:w="3312"/>
            <w:shd w:fill="F3F7FA"/>
            <w:vAlign w:val="center"/>
          </w:tcPr>
          <w:p>
            <w:pPr>
              <w:spacing w:after="0"/>
            </w:pPr>
            <w:r/>
            <w:r>
              <w:rPr>
                <w:rFonts w:ascii="Microsoft YaHei" w:hAnsi="Microsoft YaHei" w:eastAsia="Microsoft YaHei"/>
                <w:b w:val="0"/>
                <w:sz w:val="17"/>
              </w:rPr>
              <w:t>额度使用率偏高但未发生逾期。</w:t>
            </w:r>
          </w:p>
        </w:tc>
        <w:tc>
          <w:tcPr>
            <w:tcW w:type="dxa" w:w="1584"/>
            <w:shd w:fill="F3F7FA"/>
            <w:vAlign w:val="center"/>
          </w:tcPr>
          <w:p>
            <w:pPr>
              <w:spacing w:after="0"/>
            </w:pPr>
            <w:r/>
            <w:r>
              <w:rPr>
                <w:rFonts w:ascii="Microsoft YaHei" w:hAnsi="Microsoft YaHei" w:eastAsia="Microsoft YaHei"/>
                <w:b w:val="0"/>
                <w:sz w:val="17"/>
              </w:rPr>
              <w:t>额度/还款提示，不作为欺诈结论。</w:t>
            </w:r>
          </w:p>
        </w:tc>
      </w:tr>
      <w:tr>
        <w:tc>
          <w:tcPr>
            <w:tcW w:type="dxa" w:w="1224"/>
            <w:vAlign w:val="center"/>
          </w:tcPr>
          <w:p>
            <w:pPr>
              <w:spacing w:after="0"/>
            </w:pPr>
            <w:r/>
            <w:r>
              <w:rPr>
                <w:rFonts w:ascii="Microsoft YaHei" w:hAnsi="Microsoft YaHei" w:eastAsia="Microsoft YaHei"/>
                <w:b w:val="0"/>
                <w:sz w:val="17"/>
              </w:rPr>
              <w:t>KYC-D01</w:t>
            </w:r>
          </w:p>
        </w:tc>
        <w:tc>
          <w:tcPr>
            <w:tcW w:type="dxa" w:w="1800"/>
            <w:vAlign w:val="center"/>
          </w:tcPr>
          <w:p>
            <w:pPr>
              <w:spacing w:after="0"/>
            </w:pPr>
            <w:r/>
            <w:r>
              <w:rPr>
                <w:rFonts w:ascii="Microsoft YaHei" w:hAnsi="Microsoft YaHei" w:eastAsia="Microsoft YaHei"/>
                <w:b w:val="0"/>
                <w:sz w:val="17"/>
              </w:rPr>
              <w:t>关键数据待核验</w:t>
            </w:r>
          </w:p>
        </w:tc>
        <w:tc>
          <w:tcPr>
            <w:tcW w:type="dxa" w:w="648"/>
            <w:vAlign w:val="center"/>
          </w:tcPr>
          <w:p>
            <w:pPr>
              <w:spacing w:after="0"/>
            </w:pPr>
            <w:r/>
            <w:r>
              <w:rPr>
                <w:rFonts w:ascii="Microsoft YaHei" w:hAnsi="Microsoft YaHei" w:eastAsia="Microsoft YaHei"/>
                <w:b w:val="0"/>
                <w:sz w:val="17"/>
              </w:rPr>
              <w:t>L2</w:t>
            </w:r>
          </w:p>
        </w:tc>
        <w:tc>
          <w:tcPr>
            <w:tcW w:type="dxa" w:w="1296"/>
            <w:vAlign w:val="center"/>
          </w:tcPr>
          <w:p>
            <w:pPr>
              <w:spacing w:after="0"/>
            </w:pPr>
            <w:r/>
            <w:r>
              <w:rPr>
                <w:rFonts w:ascii="Microsoft YaHei" w:hAnsi="Microsoft YaHei" w:eastAsia="Microsoft YaHei"/>
                <w:b w:val="0"/>
                <w:sz w:val="17"/>
              </w:rPr>
              <w:t>REV</w:t>
            </w:r>
          </w:p>
        </w:tc>
        <w:tc>
          <w:tcPr>
            <w:tcW w:type="dxa" w:w="3312"/>
            <w:vAlign w:val="center"/>
          </w:tcPr>
          <w:p>
            <w:pPr>
              <w:spacing w:after="0"/>
            </w:pPr>
            <w:r/>
            <w:r>
              <w:rPr>
                <w:rFonts w:ascii="Microsoft YaHei" w:hAnsi="Microsoft YaHei" w:eastAsia="Microsoft YaHei"/>
                <w:b w:val="0"/>
                <w:sz w:val="17"/>
              </w:rPr>
              <w:t>手机号、身份核验、交易验证或模型关键输入缺失。</w:t>
            </w:r>
          </w:p>
        </w:tc>
        <w:tc>
          <w:tcPr>
            <w:tcW w:type="dxa" w:w="1584"/>
            <w:vAlign w:val="center"/>
          </w:tcPr>
          <w:p>
            <w:pPr>
              <w:spacing w:after="0"/>
            </w:pPr>
            <w:r/>
            <w:r>
              <w:rPr>
                <w:rFonts w:ascii="Microsoft YaHei" w:hAnsi="Microsoft YaHei" w:eastAsia="Microsoft YaHei"/>
                <w:b w:val="0"/>
                <w:sz w:val="17"/>
              </w:rPr>
              <w:t>不得自动放行，补齐信息或人工核验。</w:t>
            </w:r>
          </w:p>
        </w:tc>
      </w:tr>
      <w:tr>
        <w:tc>
          <w:tcPr>
            <w:tcW w:type="dxa" w:w="1224"/>
            <w:shd w:fill="F3F7FA"/>
            <w:vAlign w:val="center"/>
          </w:tcPr>
          <w:p>
            <w:pPr>
              <w:spacing w:after="0"/>
            </w:pPr>
            <w:r/>
            <w:r>
              <w:rPr>
                <w:rFonts w:ascii="Microsoft YaHei" w:hAnsi="Microsoft YaHei" w:eastAsia="Microsoft YaHei"/>
                <w:b w:val="0"/>
                <w:sz w:val="17"/>
              </w:rPr>
              <w:t>NML-000</w:t>
            </w:r>
          </w:p>
        </w:tc>
        <w:tc>
          <w:tcPr>
            <w:tcW w:type="dxa" w:w="1800"/>
            <w:shd w:fill="F3F7FA"/>
            <w:vAlign w:val="center"/>
          </w:tcPr>
          <w:p>
            <w:pPr>
              <w:spacing w:after="0"/>
            </w:pPr>
            <w:r/>
            <w:r>
              <w:rPr>
                <w:rFonts w:ascii="Microsoft YaHei" w:hAnsi="Microsoft YaHei" w:eastAsia="Microsoft YaHei"/>
                <w:b w:val="0"/>
                <w:sz w:val="17"/>
              </w:rPr>
              <w:t>常规交易</w:t>
            </w:r>
          </w:p>
        </w:tc>
        <w:tc>
          <w:tcPr>
            <w:tcW w:type="dxa" w:w="648"/>
            <w:shd w:fill="F3F7FA"/>
            <w:vAlign w:val="center"/>
          </w:tcPr>
          <w:p>
            <w:pPr>
              <w:spacing w:after="0"/>
            </w:pPr>
            <w:r/>
            <w:r>
              <w:rPr>
                <w:rFonts w:ascii="Microsoft YaHei" w:hAnsi="Microsoft YaHei" w:eastAsia="Microsoft YaHei"/>
                <w:b w:val="0"/>
                <w:sz w:val="17"/>
              </w:rPr>
              <w:t>L0</w:t>
            </w:r>
          </w:p>
        </w:tc>
        <w:tc>
          <w:tcPr>
            <w:tcW w:type="dxa" w:w="1296"/>
            <w:shd w:fill="F3F7FA"/>
            <w:vAlign w:val="center"/>
          </w:tcPr>
          <w:p>
            <w:pPr>
              <w:spacing w:after="0"/>
            </w:pPr>
            <w:r/>
            <w:r>
              <w:rPr>
                <w:rFonts w:ascii="Microsoft YaHei" w:hAnsi="Microsoft YaHei" w:eastAsia="Microsoft YaHei"/>
                <w:b w:val="0"/>
                <w:sz w:val="17"/>
              </w:rPr>
              <w:t>PASS</w:t>
            </w:r>
          </w:p>
        </w:tc>
        <w:tc>
          <w:tcPr>
            <w:tcW w:type="dxa" w:w="3312"/>
            <w:shd w:fill="F3F7FA"/>
            <w:vAlign w:val="center"/>
          </w:tcPr>
          <w:p>
            <w:pPr>
              <w:spacing w:after="0"/>
            </w:pPr>
            <w:r/>
            <w:r>
              <w:rPr>
                <w:rFonts w:ascii="Microsoft YaHei" w:hAnsi="Microsoft YaHei" w:eastAsia="Microsoft YaHei"/>
                <w:b w:val="0"/>
                <w:sz w:val="17"/>
              </w:rPr>
              <w:t>无高优先级命中，模型低分且行为稳定。</w:t>
            </w:r>
          </w:p>
        </w:tc>
        <w:tc>
          <w:tcPr>
            <w:tcW w:type="dxa" w:w="1584"/>
            <w:shd w:fill="F3F7FA"/>
            <w:vAlign w:val="center"/>
          </w:tcPr>
          <w:p>
            <w:pPr>
              <w:spacing w:after="0"/>
            </w:pPr>
            <w:r/>
            <w:r>
              <w:rPr>
                <w:rFonts w:ascii="Microsoft YaHei" w:hAnsi="Microsoft YaHei" w:eastAsia="Microsoft YaHei"/>
                <w:b w:val="0"/>
                <w:sz w:val="17"/>
              </w:rPr>
              <w:t>正常放行，保留监测记录。</w:t>
            </w:r>
          </w:p>
        </w:tc>
      </w:tr>
    </w:tbl>
    <w:p>
      <w:pPr>
        <w:spacing w:after="100"/>
      </w:pPr>
    </w:p>
    <w:p>
      <w:pPr>
        <w:pStyle w:val="Heading1"/>
        <w:spacing w:after="100"/>
      </w:pPr>
      <w:r>
        <w:t>3 优先级与决策顺序</w:t>
      </w:r>
    </w:p>
    <w:tbl>
      <w:tblPr>
        <w:tblStyle w:val="TableGrid"/>
        <w:tblW w:type="auto" w:w="0"/>
        <w:jc w:val="center"/>
        <w:tblLook w:firstColumn="1" w:firstRow="1" w:lastColumn="0" w:lastRow="0" w:noHBand="0" w:noVBand="1" w:val="04A0"/>
      </w:tblPr>
      <w:tblGrid>
        <w:gridCol w:w="3744"/>
        <w:gridCol w:w="3744"/>
        <w:gridCol w:w="3744"/>
        <w:gridCol w:w="3744"/>
      </w:tblGrid>
      <w:tr>
        <w:tc>
          <w:tcPr>
            <w:tcW w:type="dxa" w:w="1008"/>
            <w:shd w:fill="1F4E78"/>
            <w:vAlign w:val="center"/>
          </w:tcPr>
          <w:p>
            <w:pPr>
              <w:spacing w:after="0"/>
            </w:pPr>
            <w:r/>
            <w:r>
              <w:rPr>
                <w:rFonts w:ascii="Microsoft YaHei" w:hAnsi="Microsoft YaHei" w:eastAsia="Microsoft YaHei"/>
                <w:b/>
                <w:color w:val="FFFFFF"/>
                <w:sz w:val="17"/>
              </w:rPr>
              <w:t>优先级</w:t>
            </w:r>
          </w:p>
        </w:tc>
        <w:tc>
          <w:tcPr>
            <w:tcW w:type="dxa" w:w="2016"/>
            <w:shd w:fill="1F4E78"/>
            <w:vAlign w:val="center"/>
          </w:tcPr>
          <w:p>
            <w:pPr>
              <w:spacing w:after="0"/>
            </w:pPr>
            <w:r/>
            <w:r>
              <w:rPr>
                <w:rFonts w:ascii="Microsoft YaHei" w:hAnsi="Microsoft YaHei" w:eastAsia="Microsoft YaHei"/>
                <w:b/>
                <w:color w:val="FFFFFF"/>
                <w:sz w:val="17"/>
              </w:rPr>
              <w:t>规则组</w:t>
            </w:r>
          </w:p>
        </w:tc>
        <w:tc>
          <w:tcPr>
            <w:tcW w:type="dxa" w:w="4680"/>
            <w:shd w:fill="1F4E78"/>
            <w:vAlign w:val="center"/>
          </w:tcPr>
          <w:p>
            <w:pPr>
              <w:spacing w:after="0"/>
            </w:pPr>
            <w:r/>
            <w:r>
              <w:rPr>
                <w:rFonts w:ascii="Microsoft YaHei" w:hAnsi="Microsoft YaHei" w:eastAsia="Microsoft YaHei"/>
                <w:b/>
                <w:color w:val="FFFFFF"/>
                <w:sz w:val="17"/>
              </w:rPr>
              <w:t>决策原则</w:t>
            </w:r>
          </w:p>
        </w:tc>
        <w:tc>
          <w:tcPr>
            <w:tcW w:type="dxa" w:w="2088"/>
            <w:shd w:fill="1F4E78"/>
            <w:vAlign w:val="center"/>
          </w:tcPr>
          <w:p>
            <w:pPr>
              <w:spacing w:after="0"/>
            </w:pPr>
            <w:r/>
            <w:r>
              <w:rPr>
                <w:rFonts w:ascii="Microsoft YaHei" w:hAnsi="Microsoft YaHei" w:eastAsia="Microsoft YaHei"/>
                <w:b/>
                <w:color w:val="FFFFFF"/>
                <w:sz w:val="17"/>
              </w:rPr>
              <w:t>结果</w:t>
            </w:r>
          </w:p>
        </w:tc>
      </w:tr>
      <w:tr>
        <w:tc>
          <w:tcPr>
            <w:tcW w:type="dxa" w:w="1008"/>
            <w:vAlign w:val="center"/>
          </w:tcPr>
          <w:p>
            <w:pPr>
              <w:spacing w:after="0"/>
            </w:pPr>
            <w:r/>
            <w:r>
              <w:rPr>
                <w:rFonts w:ascii="Microsoft YaHei" w:hAnsi="Microsoft YaHei" w:eastAsia="Microsoft YaHei"/>
                <w:b w:val="0"/>
                <w:sz w:val="17"/>
              </w:rPr>
              <w:t>P0</w:t>
            </w:r>
          </w:p>
        </w:tc>
        <w:tc>
          <w:tcPr>
            <w:tcW w:type="dxa" w:w="2016"/>
            <w:vAlign w:val="center"/>
          </w:tcPr>
          <w:p>
            <w:pPr>
              <w:spacing w:after="0"/>
            </w:pPr>
            <w:r/>
            <w:r>
              <w:rPr>
                <w:rFonts w:ascii="Microsoft YaHei" w:hAnsi="Microsoft YaHei" w:eastAsia="Microsoft YaHei"/>
                <w:b w:val="0"/>
                <w:sz w:val="17"/>
              </w:rPr>
              <w:t>确认事实与安全锁</w:t>
            </w:r>
          </w:p>
        </w:tc>
        <w:tc>
          <w:tcPr>
            <w:tcW w:type="dxa" w:w="4680"/>
            <w:vAlign w:val="center"/>
          </w:tcPr>
          <w:p>
            <w:pPr>
              <w:spacing w:after="0"/>
            </w:pPr>
            <w:r/>
            <w:r>
              <w:rPr>
                <w:rFonts w:ascii="Microsoft YaHei" w:hAnsi="Microsoft YaHei" w:eastAsia="Microsoft YaHei"/>
                <w:b w:val="0"/>
                <w:sz w:val="17"/>
              </w:rPr>
              <w:t>客户确认非本人交易、人工确认为欺诈、客户安全锁触发，优先于模型分。</w:t>
            </w:r>
          </w:p>
        </w:tc>
        <w:tc>
          <w:tcPr>
            <w:tcW w:type="dxa" w:w="2088"/>
            <w:vAlign w:val="center"/>
          </w:tcPr>
          <w:p>
            <w:pPr>
              <w:spacing w:after="0"/>
            </w:pPr>
            <w:r/>
            <w:r>
              <w:rPr>
                <w:rFonts w:ascii="Microsoft YaHei" w:hAnsi="Microsoft YaHei" w:eastAsia="Microsoft YaHei"/>
                <w:b w:val="0"/>
                <w:sz w:val="17"/>
              </w:rPr>
              <w:t>输出FRA-C01或SEC-L01，不得被低模型分覆盖。</w:t>
            </w:r>
          </w:p>
        </w:tc>
      </w:tr>
      <w:tr>
        <w:tc>
          <w:tcPr>
            <w:tcW w:type="dxa" w:w="1008"/>
            <w:shd w:fill="F3F7FA"/>
            <w:vAlign w:val="center"/>
          </w:tcPr>
          <w:p>
            <w:pPr>
              <w:spacing w:after="0"/>
            </w:pPr>
            <w:r/>
            <w:r>
              <w:rPr>
                <w:rFonts w:ascii="Microsoft YaHei" w:hAnsi="Microsoft YaHei" w:eastAsia="Microsoft YaHei"/>
                <w:b w:val="0"/>
                <w:sz w:val="17"/>
              </w:rPr>
              <w:t>P1</w:t>
            </w:r>
          </w:p>
        </w:tc>
        <w:tc>
          <w:tcPr>
            <w:tcW w:type="dxa" w:w="2016"/>
            <w:shd w:fill="F3F7FA"/>
            <w:vAlign w:val="center"/>
          </w:tcPr>
          <w:p>
            <w:pPr>
              <w:spacing w:after="0"/>
            </w:pPr>
            <w:r/>
            <w:r>
              <w:rPr>
                <w:rFonts w:ascii="Microsoft YaHei" w:hAnsi="Microsoft YaHei" w:eastAsia="Microsoft YaHei"/>
                <w:b w:val="0"/>
                <w:sz w:val="17"/>
              </w:rPr>
              <w:t>高风险欺诈/电诈组合</w:t>
            </w:r>
          </w:p>
        </w:tc>
        <w:tc>
          <w:tcPr>
            <w:tcW w:type="dxa" w:w="4680"/>
            <w:shd w:fill="F3F7FA"/>
            <w:vAlign w:val="center"/>
          </w:tcPr>
          <w:p>
            <w:pPr>
              <w:spacing w:after="0"/>
            </w:pPr>
            <w:r/>
            <w:r>
              <w:rPr>
                <w:rFonts w:ascii="Microsoft YaHei" w:hAnsi="Microsoft YaHei" w:eastAsia="Microsoft YaHei"/>
                <w:b w:val="0"/>
                <w:sz w:val="17"/>
              </w:rPr>
              <w:t>高模型分与多维行为异常组合，或异常资金流组合。</w:t>
            </w:r>
          </w:p>
        </w:tc>
        <w:tc>
          <w:tcPr>
            <w:tcW w:type="dxa" w:w="2088"/>
            <w:shd w:fill="F3F7FA"/>
            <w:vAlign w:val="center"/>
          </w:tcPr>
          <w:p>
            <w:pPr>
              <w:spacing w:after="0"/>
            </w:pPr>
            <w:r/>
            <w:r>
              <w:rPr>
                <w:rFonts w:ascii="Microsoft YaHei" w:hAnsi="Microsoft YaHei" w:eastAsia="Microsoft YaHei"/>
                <w:b w:val="0"/>
                <w:sz w:val="17"/>
              </w:rPr>
              <w:t>输出FRA-S01、TEL-S01或AML-S01，阻断或转人工复核。</w:t>
            </w:r>
          </w:p>
        </w:tc>
      </w:tr>
      <w:tr>
        <w:tc>
          <w:tcPr>
            <w:tcW w:type="dxa" w:w="1008"/>
            <w:vAlign w:val="center"/>
          </w:tcPr>
          <w:p>
            <w:pPr>
              <w:spacing w:after="0"/>
            </w:pPr>
            <w:r/>
            <w:r>
              <w:rPr>
                <w:rFonts w:ascii="Microsoft YaHei" w:hAnsi="Microsoft YaHei" w:eastAsia="Microsoft YaHei"/>
                <w:b w:val="0"/>
                <w:sz w:val="17"/>
              </w:rPr>
              <w:t>P2</w:t>
            </w:r>
          </w:p>
        </w:tc>
        <w:tc>
          <w:tcPr>
            <w:tcW w:type="dxa" w:w="2016"/>
            <w:vAlign w:val="center"/>
          </w:tcPr>
          <w:p>
            <w:pPr>
              <w:spacing w:after="0"/>
            </w:pPr>
            <w:r/>
            <w:r>
              <w:rPr>
                <w:rFonts w:ascii="Microsoft YaHei" w:hAnsi="Microsoft YaHei" w:eastAsia="Microsoft YaHei"/>
                <w:b w:val="0"/>
                <w:sz w:val="17"/>
              </w:rPr>
              <w:t>履约与数据核验</w:t>
            </w:r>
          </w:p>
        </w:tc>
        <w:tc>
          <w:tcPr>
            <w:tcW w:type="dxa" w:w="4680"/>
            <w:vAlign w:val="center"/>
          </w:tcPr>
          <w:p>
            <w:pPr>
              <w:spacing w:after="0"/>
            </w:pPr>
            <w:r/>
            <w:r>
              <w:rPr>
                <w:rFonts w:ascii="Microsoft YaHei" w:hAnsi="Microsoft YaHei" w:eastAsia="Microsoft YaHei"/>
                <w:b w:val="0"/>
                <w:sz w:val="17"/>
              </w:rPr>
              <w:t>逾期/最低还款异常、关键字段缺失、单维交易异常。</w:t>
            </w:r>
          </w:p>
        </w:tc>
        <w:tc>
          <w:tcPr>
            <w:tcW w:type="dxa" w:w="2088"/>
            <w:vAlign w:val="center"/>
          </w:tcPr>
          <w:p>
            <w:pPr>
              <w:spacing w:after="0"/>
            </w:pPr>
            <w:r/>
            <w:r>
              <w:rPr>
                <w:rFonts w:ascii="Microsoft YaHei" w:hAnsi="Microsoft YaHei" w:eastAsia="Microsoft YaHei"/>
                <w:b w:val="0"/>
                <w:sz w:val="17"/>
              </w:rPr>
              <w:t>输出CRD-P01、KYC-D01或TRX-M01，以提醒、认证或复核为主。</w:t>
            </w:r>
          </w:p>
        </w:tc>
      </w:tr>
      <w:tr>
        <w:tc>
          <w:tcPr>
            <w:tcW w:type="dxa" w:w="1008"/>
            <w:shd w:fill="F3F7FA"/>
            <w:vAlign w:val="center"/>
          </w:tcPr>
          <w:p>
            <w:pPr>
              <w:spacing w:after="0"/>
            </w:pPr>
            <w:r/>
            <w:r>
              <w:rPr>
                <w:rFonts w:ascii="Microsoft YaHei" w:hAnsi="Microsoft YaHei" w:eastAsia="Microsoft YaHei"/>
                <w:b w:val="0"/>
                <w:sz w:val="17"/>
              </w:rPr>
              <w:t>P3</w:t>
            </w:r>
          </w:p>
        </w:tc>
        <w:tc>
          <w:tcPr>
            <w:tcW w:type="dxa" w:w="2016"/>
            <w:shd w:fill="F3F7FA"/>
            <w:vAlign w:val="center"/>
          </w:tcPr>
          <w:p>
            <w:pPr>
              <w:spacing w:after="0"/>
            </w:pPr>
            <w:r/>
            <w:r>
              <w:rPr>
                <w:rFonts w:ascii="Microsoft YaHei" w:hAnsi="Microsoft YaHei" w:eastAsia="Microsoft YaHei"/>
                <w:b w:val="0"/>
                <w:sz w:val="17"/>
              </w:rPr>
              <w:t>常规行为</w:t>
            </w:r>
          </w:p>
        </w:tc>
        <w:tc>
          <w:tcPr>
            <w:tcW w:type="dxa" w:w="4680"/>
            <w:shd w:fill="F3F7FA"/>
            <w:vAlign w:val="center"/>
          </w:tcPr>
          <w:p>
            <w:pPr>
              <w:spacing w:after="0"/>
            </w:pPr>
            <w:r/>
            <w:r>
              <w:rPr>
                <w:rFonts w:ascii="Microsoft YaHei" w:hAnsi="Microsoft YaHei" w:eastAsia="Microsoft YaHei"/>
                <w:b w:val="0"/>
                <w:sz w:val="17"/>
              </w:rPr>
              <w:t>无规则命中且行为稳定。</w:t>
            </w:r>
          </w:p>
        </w:tc>
        <w:tc>
          <w:tcPr>
            <w:tcW w:type="dxa" w:w="2088"/>
            <w:shd w:fill="F3F7FA"/>
            <w:vAlign w:val="center"/>
          </w:tcPr>
          <w:p>
            <w:pPr>
              <w:spacing w:after="0"/>
            </w:pPr>
            <w:r/>
            <w:r>
              <w:rPr>
                <w:rFonts w:ascii="Microsoft YaHei" w:hAnsi="Microsoft YaHei" w:eastAsia="Microsoft YaHei"/>
                <w:b w:val="0"/>
                <w:sz w:val="17"/>
              </w:rPr>
              <w:t>输出NML-000，正常放行。</w:t>
            </w:r>
          </w:p>
        </w:tc>
      </w:tr>
    </w:tbl>
    <w:p>
      <w:pPr>
        <w:spacing w:after="100"/>
      </w:pPr>
    </w:p>
    <w:p>
      <w:pPr>
        <w:pStyle w:val="Heading1"/>
        <w:spacing w:after="100"/>
      </w:pPr>
      <w:r>
        <w:t>4 可配置规则明细</w:t>
      </w:r>
    </w:p>
    <w:tbl>
      <w:tblPr>
        <w:tblStyle w:val="TableGrid"/>
        <w:tblW w:type="auto" w:w="0"/>
        <w:jc w:val="center"/>
        <w:tblLook w:firstColumn="1" w:firstRow="1" w:lastColumn="0" w:lastRow="0" w:noHBand="0" w:noVBand="1" w:val="04A0"/>
      </w:tblPr>
      <w:tblGrid>
        <w:gridCol w:w="2496"/>
        <w:gridCol w:w="2496"/>
        <w:gridCol w:w="2496"/>
        <w:gridCol w:w="2496"/>
        <w:gridCol w:w="2496"/>
        <w:gridCol w:w="2496"/>
      </w:tblGrid>
      <w:tr>
        <w:tc>
          <w:tcPr>
            <w:tcW w:type="dxa" w:w="1080"/>
            <w:shd w:fill="1F4E78"/>
            <w:vAlign w:val="center"/>
          </w:tcPr>
          <w:p>
            <w:pPr>
              <w:spacing w:after="0"/>
            </w:pPr>
            <w:r/>
            <w:r>
              <w:rPr>
                <w:rFonts w:ascii="Microsoft YaHei" w:hAnsi="Microsoft YaHei" w:eastAsia="Microsoft YaHei"/>
                <w:b/>
                <w:color w:val="FFFFFF"/>
                <w:sz w:val="17"/>
              </w:rPr>
              <w:t>编号</w:t>
            </w:r>
          </w:p>
        </w:tc>
        <w:tc>
          <w:tcPr>
            <w:tcW w:type="dxa" w:w="1440"/>
            <w:shd w:fill="1F4E78"/>
            <w:vAlign w:val="center"/>
          </w:tcPr>
          <w:p>
            <w:pPr>
              <w:spacing w:after="0"/>
            </w:pPr>
            <w:r/>
            <w:r>
              <w:rPr>
                <w:rFonts w:ascii="Microsoft YaHei" w:hAnsi="Microsoft YaHei" w:eastAsia="Microsoft YaHei"/>
                <w:b/>
                <w:color w:val="FFFFFF"/>
                <w:sz w:val="17"/>
              </w:rPr>
              <w:t>规则</w:t>
            </w:r>
          </w:p>
        </w:tc>
        <w:tc>
          <w:tcPr>
            <w:tcW w:type="dxa" w:w="3384"/>
            <w:shd w:fill="1F4E78"/>
            <w:vAlign w:val="center"/>
          </w:tcPr>
          <w:p>
            <w:pPr>
              <w:spacing w:after="0"/>
            </w:pPr>
            <w:r/>
            <w:r>
              <w:rPr>
                <w:rFonts w:ascii="Microsoft YaHei" w:hAnsi="Microsoft YaHei" w:eastAsia="Microsoft YaHei"/>
                <w:b/>
                <w:color w:val="FFFFFF"/>
                <w:sz w:val="17"/>
              </w:rPr>
              <w:t>触发条件</w:t>
            </w:r>
          </w:p>
        </w:tc>
        <w:tc>
          <w:tcPr>
            <w:tcW w:type="dxa" w:w="1440"/>
            <w:shd w:fill="1F4E78"/>
            <w:vAlign w:val="center"/>
          </w:tcPr>
          <w:p>
            <w:pPr>
              <w:spacing w:after="0"/>
            </w:pPr>
            <w:r/>
            <w:r>
              <w:rPr>
                <w:rFonts w:ascii="Microsoft YaHei" w:hAnsi="Microsoft YaHei" w:eastAsia="Microsoft YaHei"/>
                <w:b/>
                <w:color w:val="FFFFFF"/>
                <w:sz w:val="17"/>
              </w:rPr>
              <w:t>参数</w:t>
            </w:r>
          </w:p>
        </w:tc>
        <w:tc>
          <w:tcPr>
            <w:tcW w:type="dxa" w:w="1584"/>
            <w:shd w:fill="1F4E78"/>
            <w:vAlign w:val="center"/>
          </w:tcPr>
          <w:p>
            <w:pPr>
              <w:spacing w:after="0"/>
            </w:pPr>
            <w:r/>
            <w:r>
              <w:rPr>
                <w:rFonts w:ascii="Microsoft YaHei" w:hAnsi="Microsoft YaHei" w:eastAsia="Microsoft YaHei"/>
                <w:b/>
                <w:color w:val="FFFFFF"/>
                <w:sz w:val="17"/>
              </w:rPr>
              <w:t>处置</w:t>
            </w:r>
          </w:p>
        </w:tc>
        <w:tc>
          <w:tcPr>
            <w:tcW w:type="dxa" w:w="1800"/>
            <w:shd w:fill="1F4E78"/>
            <w:vAlign w:val="center"/>
          </w:tcPr>
          <w:p>
            <w:pPr>
              <w:spacing w:after="0"/>
            </w:pPr>
            <w:r/>
            <w:r>
              <w:rPr>
                <w:rFonts w:ascii="Microsoft YaHei" w:hAnsi="Microsoft YaHei" w:eastAsia="Microsoft YaHei"/>
                <w:b/>
                <w:color w:val="FFFFFF"/>
                <w:sz w:val="17"/>
              </w:rPr>
              <w:t>备注</w:t>
            </w:r>
          </w:p>
        </w:tc>
      </w:tr>
      <w:tr>
        <w:tc>
          <w:tcPr>
            <w:tcW w:type="dxa" w:w="1080"/>
            <w:vAlign w:val="center"/>
          </w:tcPr>
          <w:p>
            <w:pPr>
              <w:spacing w:after="0"/>
            </w:pPr>
            <w:r/>
            <w:r>
              <w:rPr>
                <w:rFonts w:ascii="Microsoft YaHei" w:hAnsi="Microsoft YaHei" w:eastAsia="Microsoft YaHei"/>
                <w:b w:val="0"/>
                <w:sz w:val="17"/>
              </w:rPr>
              <w:t>SEC-L01</w:t>
            </w:r>
          </w:p>
        </w:tc>
        <w:tc>
          <w:tcPr>
            <w:tcW w:type="dxa" w:w="1440"/>
            <w:vAlign w:val="center"/>
          </w:tcPr>
          <w:p>
            <w:pPr>
              <w:spacing w:after="0"/>
            </w:pPr>
            <w:r/>
            <w:r>
              <w:rPr>
                <w:rFonts w:ascii="Microsoft YaHei" w:hAnsi="Microsoft YaHei" w:eastAsia="Microsoft YaHei"/>
                <w:b w:val="0"/>
                <w:sz w:val="17"/>
              </w:rPr>
              <w:t>客户安全锁</w:t>
            </w:r>
          </w:p>
        </w:tc>
        <w:tc>
          <w:tcPr>
            <w:tcW w:type="dxa" w:w="3384"/>
            <w:vAlign w:val="center"/>
          </w:tcPr>
          <w:p>
            <w:pPr>
              <w:spacing w:after="0"/>
            </w:pPr>
            <w:r/>
            <w:r>
              <w:rPr>
                <w:rFonts w:ascii="Microsoft YaHei" w:hAnsi="Microsoft YaHei" w:eastAsia="Microsoft YaHei"/>
                <w:b w:val="0"/>
                <w:sz w:val="17"/>
              </w:rPr>
              <w:t>交易触发已启用的境外/地区/夜间/境外无卡/限额锁。</w:t>
            </w:r>
          </w:p>
        </w:tc>
        <w:tc>
          <w:tcPr>
            <w:tcW w:type="dxa" w:w="1440"/>
            <w:vAlign w:val="center"/>
          </w:tcPr>
          <w:p>
            <w:pPr>
              <w:spacing w:after="0"/>
            </w:pPr>
            <w:r/>
            <w:r>
              <w:rPr>
                <w:rFonts w:ascii="Microsoft YaHei" w:hAnsi="Microsoft YaHei" w:eastAsia="Microsoft YaHei"/>
                <w:b w:val="0"/>
                <w:sz w:val="17"/>
              </w:rPr>
              <w:t>不需要模型分</w:t>
            </w:r>
          </w:p>
        </w:tc>
        <w:tc>
          <w:tcPr>
            <w:tcW w:type="dxa" w:w="1584"/>
            <w:vAlign w:val="center"/>
          </w:tcPr>
          <w:p>
            <w:pPr>
              <w:spacing w:after="0"/>
            </w:pPr>
            <w:r/>
            <w:r>
              <w:rPr>
                <w:rFonts w:ascii="Microsoft YaHei" w:hAnsi="Microsoft YaHei" w:eastAsia="Microsoft YaHei"/>
                <w:b w:val="0"/>
                <w:sz w:val="17"/>
              </w:rPr>
              <w:t>BLK + NTF</w:t>
            </w:r>
          </w:p>
        </w:tc>
        <w:tc>
          <w:tcPr>
            <w:tcW w:type="dxa" w:w="1800"/>
            <w:vAlign w:val="center"/>
          </w:tcPr>
          <w:p>
            <w:pPr>
              <w:spacing w:after="0"/>
            </w:pPr>
            <w:r/>
            <w:r>
              <w:rPr>
                <w:rFonts w:ascii="Microsoft YaHei" w:hAnsi="Microsoft YaHei" w:eastAsia="Microsoft YaHei"/>
                <w:b w:val="0"/>
                <w:sz w:val="17"/>
              </w:rPr>
              <w:t>公开服务说明支持五类安全锁；规则开关由客户配置。</w:t>
            </w:r>
          </w:p>
        </w:tc>
      </w:tr>
      <w:tr>
        <w:tc>
          <w:tcPr>
            <w:tcW w:type="dxa" w:w="1080"/>
            <w:shd w:fill="F3F7FA"/>
            <w:vAlign w:val="center"/>
          </w:tcPr>
          <w:p>
            <w:pPr>
              <w:spacing w:after="0"/>
            </w:pPr>
            <w:r/>
            <w:r>
              <w:rPr>
                <w:rFonts w:ascii="Microsoft YaHei" w:hAnsi="Microsoft YaHei" w:eastAsia="Microsoft YaHei"/>
                <w:b w:val="0"/>
                <w:sz w:val="17"/>
              </w:rPr>
              <w:t>FRA-S01</w:t>
            </w:r>
          </w:p>
        </w:tc>
        <w:tc>
          <w:tcPr>
            <w:tcW w:type="dxa" w:w="1440"/>
            <w:shd w:fill="F3F7FA"/>
            <w:vAlign w:val="center"/>
          </w:tcPr>
          <w:p>
            <w:pPr>
              <w:spacing w:after="0"/>
            </w:pPr>
            <w:r/>
            <w:r>
              <w:rPr>
                <w:rFonts w:ascii="Microsoft YaHei" w:hAnsi="Microsoft YaHei" w:eastAsia="Microsoft YaHei"/>
                <w:b w:val="0"/>
                <w:sz w:val="17"/>
              </w:rPr>
              <w:t>高风险盗刷组合</w:t>
            </w:r>
          </w:p>
        </w:tc>
        <w:tc>
          <w:tcPr>
            <w:tcW w:type="dxa" w:w="3384"/>
            <w:shd w:fill="F3F7FA"/>
            <w:vAlign w:val="center"/>
          </w:tcPr>
          <w:p>
            <w:pPr>
              <w:spacing w:after="0"/>
            </w:pPr>
            <w:r/>
            <w:r>
              <w:rPr>
                <w:rFonts w:ascii="Microsoft YaHei" w:hAnsi="Microsoft YaHei" w:eastAsia="Microsoft YaHei"/>
                <w:b w:val="0"/>
                <w:sz w:val="17"/>
              </w:rPr>
              <w:t>模型分 &gt;= 0.80，且新卡或休眠激活后命中：夜间、跨区域、线上无卡中的至少2项。</w:t>
            </w:r>
          </w:p>
        </w:tc>
        <w:tc>
          <w:tcPr>
            <w:tcW w:type="dxa" w:w="1440"/>
            <w:shd w:fill="F3F7FA"/>
            <w:vAlign w:val="center"/>
          </w:tcPr>
          <w:p>
            <w:pPr>
              <w:spacing w:after="0"/>
            </w:pPr>
            <w:r/>
            <w:r>
              <w:rPr>
                <w:rFonts w:ascii="Microsoft YaHei" w:hAnsi="Microsoft YaHei" w:eastAsia="Microsoft YaHei"/>
                <w:b w:val="0"/>
                <w:sz w:val="17"/>
              </w:rPr>
              <w:t>0.80为模拟值</w:t>
            </w:r>
          </w:p>
        </w:tc>
        <w:tc>
          <w:tcPr>
            <w:tcW w:type="dxa" w:w="1584"/>
            <w:shd w:fill="F3F7FA"/>
            <w:vAlign w:val="center"/>
          </w:tcPr>
          <w:p>
            <w:pPr>
              <w:spacing w:after="0"/>
            </w:pPr>
            <w:r/>
            <w:r>
              <w:rPr>
                <w:rFonts w:ascii="Microsoft YaHei" w:hAnsi="Microsoft YaHei" w:eastAsia="Microsoft YaHei"/>
                <w:b w:val="0"/>
                <w:sz w:val="17"/>
              </w:rPr>
              <w:t>BLK + REV</w:t>
            </w:r>
          </w:p>
        </w:tc>
        <w:tc>
          <w:tcPr>
            <w:tcW w:type="dxa" w:w="1800"/>
            <w:shd w:fill="F3F7FA"/>
            <w:vAlign w:val="center"/>
          </w:tcPr>
          <w:p>
            <w:pPr>
              <w:spacing w:after="0"/>
            </w:pPr>
            <w:r/>
            <w:r>
              <w:rPr>
                <w:rFonts w:ascii="Microsoft YaHei" w:hAnsi="Microsoft YaHei" w:eastAsia="Microsoft YaHei"/>
                <w:b w:val="0"/>
                <w:sz w:val="17"/>
              </w:rPr>
              <w:t>报告中的高风险样本特征。</w:t>
            </w:r>
          </w:p>
        </w:tc>
      </w:tr>
      <w:tr>
        <w:tc>
          <w:tcPr>
            <w:tcW w:type="dxa" w:w="1080"/>
            <w:vAlign w:val="center"/>
          </w:tcPr>
          <w:p>
            <w:pPr>
              <w:spacing w:after="0"/>
            </w:pPr>
            <w:r/>
            <w:r>
              <w:rPr>
                <w:rFonts w:ascii="Microsoft YaHei" w:hAnsi="Microsoft YaHei" w:eastAsia="Microsoft YaHei"/>
                <w:b w:val="0"/>
                <w:sz w:val="17"/>
              </w:rPr>
              <w:t>TEL-S01</w:t>
            </w:r>
          </w:p>
        </w:tc>
        <w:tc>
          <w:tcPr>
            <w:tcW w:type="dxa" w:w="1440"/>
            <w:vAlign w:val="center"/>
          </w:tcPr>
          <w:p>
            <w:pPr>
              <w:spacing w:after="0"/>
            </w:pPr>
            <w:r/>
            <w:r>
              <w:rPr>
                <w:rFonts w:ascii="Microsoft YaHei" w:hAnsi="Microsoft YaHei" w:eastAsia="Microsoft YaHei"/>
                <w:b w:val="0"/>
                <w:sz w:val="17"/>
              </w:rPr>
              <w:t>疑似电诈诱导</w:t>
            </w:r>
          </w:p>
        </w:tc>
        <w:tc>
          <w:tcPr>
            <w:tcW w:type="dxa" w:w="3384"/>
            <w:vAlign w:val="center"/>
          </w:tcPr>
          <w:p>
            <w:pPr>
              <w:spacing w:after="0"/>
            </w:pPr>
            <w:r/>
            <w:r>
              <w:rPr>
                <w:rFonts w:ascii="Microsoft YaHei" w:hAnsi="Microsoft YaHei" w:eastAsia="Microsoft YaHei"/>
                <w:b w:val="0"/>
                <w:sz w:val="17"/>
              </w:rPr>
              <w:t>客户主动声明存在陌生链接/二维码/假冒通知，或外呼核验提示受诱导且发生异常支付。</w:t>
            </w:r>
          </w:p>
        </w:tc>
        <w:tc>
          <w:tcPr>
            <w:tcW w:type="dxa" w:w="1440"/>
            <w:vAlign w:val="center"/>
          </w:tcPr>
          <w:p>
            <w:pPr>
              <w:spacing w:after="0"/>
            </w:pPr>
            <w:r/>
            <w:r>
              <w:rPr>
                <w:rFonts w:ascii="Microsoft YaHei" w:hAnsi="Microsoft YaHei" w:eastAsia="Microsoft YaHei"/>
                <w:b w:val="0"/>
                <w:sz w:val="17"/>
              </w:rPr>
              <w:t>人工确认事实优先</w:t>
            </w:r>
          </w:p>
        </w:tc>
        <w:tc>
          <w:tcPr>
            <w:tcW w:type="dxa" w:w="1584"/>
            <w:vAlign w:val="center"/>
          </w:tcPr>
          <w:p>
            <w:pPr>
              <w:spacing w:after="0"/>
            </w:pPr>
            <w:r/>
            <w:r>
              <w:rPr>
                <w:rFonts w:ascii="Microsoft YaHei" w:hAnsi="Microsoft YaHei" w:eastAsia="Microsoft YaHei"/>
                <w:b w:val="0"/>
                <w:sz w:val="17"/>
              </w:rPr>
              <w:t>REV + NTF</w:t>
            </w:r>
          </w:p>
        </w:tc>
        <w:tc>
          <w:tcPr>
            <w:tcW w:type="dxa" w:w="1800"/>
            <w:vAlign w:val="center"/>
          </w:tcPr>
          <w:p>
            <w:pPr>
              <w:spacing w:after="0"/>
            </w:pPr>
            <w:r/>
            <w:r>
              <w:rPr>
                <w:rFonts w:ascii="Microsoft YaHei" w:hAnsi="Microsoft YaHei" w:eastAsia="Microsoft YaHei"/>
                <w:b w:val="0"/>
                <w:sz w:val="17"/>
              </w:rPr>
              <w:t>公开风险提示强调陌生链接和二维码风险。</w:t>
            </w:r>
          </w:p>
        </w:tc>
      </w:tr>
      <w:tr>
        <w:tc>
          <w:tcPr>
            <w:tcW w:type="dxa" w:w="1080"/>
            <w:shd w:fill="F3F7FA"/>
            <w:vAlign w:val="center"/>
          </w:tcPr>
          <w:p>
            <w:pPr>
              <w:spacing w:after="0"/>
            </w:pPr>
            <w:r/>
            <w:r>
              <w:rPr>
                <w:rFonts w:ascii="Microsoft YaHei" w:hAnsi="Microsoft YaHei" w:eastAsia="Microsoft YaHei"/>
                <w:b w:val="0"/>
                <w:sz w:val="17"/>
              </w:rPr>
              <w:t>AML-S01</w:t>
            </w:r>
          </w:p>
        </w:tc>
        <w:tc>
          <w:tcPr>
            <w:tcW w:type="dxa" w:w="1440"/>
            <w:shd w:fill="F3F7FA"/>
            <w:vAlign w:val="center"/>
          </w:tcPr>
          <w:p>
            <w:pPr>
              <w:spacing w:after="0"/>
            </w:pPr>
            <w:r/>
            <w:r>
              <w:rPr>
                <w:rFonts w:ascii="Microsoft YaHei" w:hAnsi="Microsoft YaHei" w:eastAsia="Microsoft YaHei"/>
                <w:b w:val="0"/>
                <w:sz w:val="17"/>
              </w:rPr>
              <w:t>异常资金流</w:t>
            </w:r>
          </w:p>
        </w:tc>
        <w:tc>
          <w:tcPr>
            <w:tcW w:type="dxa" w:w="3384"/>
            <w:shd w:fill="F3F7FA"/>
            <w:vAlign w:val="center"/>
          </w:tcPr>
          <w:p>
            <w:pPr>
              <w:spacing w:after="0"/>
            </w:pPr>
            <w:r/>
            <w:r>
              <w:rPr>
                <w:rFonts w:ascii="Microsoft YaHei" w:hAnsi="Microsoft YaHei" w:eastAsia="Microsoft YaHei"/>
                <w:b w:val="0"/>
                <w:sz w:val="17"/>
              </w:rPr>
              <w:t>近7日入出账比 &gt;= 2.0，且近7日高风险MCC &gt;= 2或近30日跨区域 &gt;= 6。</w:t>
            </w:r>
          </w:p>
        </w:tc>
        <w:tc>
          <w:tcPr>
            <w:tcW w:type="dxa" w:w="1440"/>
            <w:shd w:fill="F3F7FA"/>
            <w:vAlign w:val="center"/>
          </w:tcPr>
          <w:p>
            <w:pPr>
              <w:spacing w:after="0"/>
            </w:pPr>
            <w:r/>
            <w:r>
              <w:rPr>
                <w:rFonts w:ascii="Microsoft YaHei" w:hAnsi="Microsoft YaHei" w:eastAsia="Microsoft YaHei"/>
                <w:b w:val="0"/>
                <w:sz w:val="17"/>
              </w:rPr>
              <w:t>均为模拟阈值</w:t>
            </w:r>
          </w:p>
        </w:tc>
        <w:tc>
          <w:tcPr>
            <w:tcW w:type="dxa" w:w="1584"/>
            <w:shd w:fill="F3F7FA"/>
            <w:vAlign w:val="center"/>
          </w:tcPr>
          <w:p>
            <w:pPr>
              <w:spacing w:after="0"/>
            </w:pPr>
            <w:r/>
            <w:r>
              <w:rPr>
                <w:rFonts w:ascii="Microsoft YaHei" w:hAnsi="Microsoft YaHei" w:eastAsia="Microsoft YaHei"/>
                <w:b w:val="0"/>
                <w:sz w:val="17"/>
              </w:rPr>
              <w:t>REV</w:t>
            </w:r>
          </w:p>
        </w:tc>
        <w:tc>
          <w:tcPr>
            <w:tcW w:type="dxa" w:w="1800"/>
            <w:shd w:fill="F3F7FA"/>
            <w:vAlign w:val="center"/>
          </w:tcPr>
          <w:p>
            <w:pPr>
              <w:spacing w:after="0"/>
            </w:pPr>
            <w:r/>
            <w:r>
              <w:rPr>
                <w:rFonts w:ascii="Microsoft YaHei" w:hAnsi="Microsoft YaHei" w:eastAsia="Microsoft YaHei"/>
                <w:b w:val="0"/>
                <w:sz w:val="17"/>
              </w:rPr>
              <w:t>用于演示，不等同反洗钱认定。</w:t>
            </w:r>
          </w:p>
        </w:tc>
      </w:tr>
      <w:tr>
        <w:tc>
          <w:tcPr>
            <w:tcW w:type="dxa" w:w="1080"/>
            <w:vAlign w:val="center"/>
          </w:tcPr>
          <w:p>
            <w:pPr>
              <w:spacing w:after="0"/>
            </w:pPr>
            <w:r/>
            <w:r>
              <w:rPr>
                <w:rFonts w:ascii="Microsoft YaHei" w:hAnsi="Microsoft YaHei" w:eastAsia="Microsoft YaHei"/>
                <w:b w:val="0"/>
                <w:sz w:val="17"/>
              </w:rPr>
              <w:t>TRX-M01</w:t>
            </w:r>
          </w:p>
        </w:tc>
        <w:tc>
          <w:tcPr>
            <w:tcW w:type="dxa" w:w="1440"/>
            <w:vAlign w:val="center"/>
          </w:tcPr>
          <w:p>
            <w:pPr>
              <w:spacing w:after="0"/>
            </w:pPr>
            <w:r/>
            <w:r>
              <w:rPr>
                <w:rFonts w:ascii="Microsoft YaHei" w:hAnsi="Microsoft YaHei" w:eastAsia="Microsoft YaHei"/>
                <w:b w:val="0"/>
                <w:sz w:val="17"/>
              </w:rPr>
              <w:t>行为偏离</w:t>
            </w:r>
          </w:p>
        </w:tc>
        <w:tc>
          <w:tcPr>
            <w:tcW w:type="dxa" w:w="3384"/>
            <w:vAlign w:val="center"/>
          </w:tcPr>
          <w:p>
            <w:pPr>
              <w:spacing w:after="0"/>
            </w:pPr>
            <w:r/>
            <w:r>
              <w:rPr>
                <w:rFonts w:ascii="Microsoft YaHei" w:hAnsi="Microsoft YaHei" w:eastAsia="Microsoft YaHei"/>
                <w:b w:val="0"/>
                <w:sz w:val="17"/>
              </w:rPr>
              <w:t>近7日夜间 &gt;= 5，或近30日线上 &gt;= 15，或近30日跨区域 &gt;= 6；模型分0.40至0.79。</w:t>
            </w:r>
          </w:p>
        </w:tc>
        <w:tc>
          <w:tcPr>
            <w:tcW w:type="dxa" w:w="1440"/>
            <w:vAlign w:val="center"/>
          </w:tcPr>
          <w:p>
            <w:pPr>
              <w:spacing w:after="0"/>
            </w:pPr>
            <w:r/>
            <w:r>
              <w:rPr>
                <w:rFonts w:ascii="Microsoft YaHei" w:hAnsi="Microsoft YaHei" w:eastAsia="Microsoft YaHei"/>
                <w:b w:val="0"/>
                <w:sz w:val="17"/>
              </w:rPr>
              <w:t>均为模拟阈值</w:t>
            </w:r>
          </w:p>
        </w:tc>
        <w:tc>
          <w:tcPr>
            <w:tcW w:type="dxa" w:w="1584"/>
            <w:vAlign w:val="center"/>
          </w:tcPr>
          <w:p>
            <w:pPr>
              <w:spacing w:after="0"/>
            </w:pPr>
            <w:r/>
            <w:r>
              <w:rPr>
                <w:rFonts w:ascii="Microsoft YaHei" w:hAnsi="Microsoft YaHei" w:eastAsia="Microsoft YaHei"/>
                <w:b w:val="0"/>
                <w:sz w:val="17"/>
              </w:rPr>
              <w:t>AUTH + REV</w:t>
            </w:r>
          </w:p>
        </w:tc>
        <w:tc>
          <w:tcPr>
            <w:tcW w:type="dxa" w:w="1800"/>
            <w:vAlign w:val="center"/>
          </w:tcPr>
          <w:p>
            <w:pPr>
              <w:spacing w:after="0"/>
            </w:pPr>
            <w:r/>
            <w:r>
              <w:rPr>
                <w:rFonts w:ascii="Microsoft YaHei" w:hAnsi="Microsoft YaHei" w:eastAsia="Microsoft YaHei"/>
                <w:b w:val="0"/>
                <w:sz w:val="17"/>
              </w:rPr>
              <w:t>可按客户历史分位数替代固定阈值。</w:t>
            </w:r>
          </w:p>
        </w:tc>
      </w:tr>
      <w:tr>
        <w:tc>
          <w:tcPr>
            <w:tcW w:type="dxa" w:w="1080"/>
            <w:shd w:fill="F3F7FA"/>
            <w:vAlign w:val="center"/>
          </w:tcPr>
          <w:p>
            <w:pPr>
              <w:spacing w:after="0"/>
            </w:pPr>
            <w:r/>
            <w:r>
              <w:rPr>
                <w:rFonts w:ascii="Microsoft YaHei" w:hAnsi="Microsoft YaHei" w:eastAsia="Microsoft YaHei"/>
                <w:b w:val="0"/>
                <w:sz w:val="17"/>
              </w:rPr>
              <w:t>CRD-P01</w:t>
            </w:r>
          </w:p>
        </w:tc>
        <w:tc>
          <w:tcPr>
            <w:tcW w:type="dxa" w:w="1440"/>
            <w:shd w:fill="F3F7FA"/>
            <w:vAlign w:val="center"/>
          </w:tcPr>
          <w:p>
            <w:pPr>
              <w:spacing w:after="0"/>
            </w:pPr>
            <w:r/>
            <w:r>
              <w:rPr>
                <w:rFonts w:ascii="Microsoft YaHei" w:hAnsi="Microsoft YaHei" w:eastAsia="Microsoft YaHei"/>
                <w:b w:val="0"/>
                <w:sz w:val="17"/>
              </w:rPr>
              <w:t>履约关注</w:t>
            </w:r>
          </w:p>
        </w:tc>
        <w:tc>
          <w:tcPr>
            <w:tcW w:type="dxa" w:w="3384"/>
            <w:shd w:fill="F3F7FA"/>
            <w:vAlign w:val="center"/>
          </w:tcPr>
          <w:p>
            <w:pPr>
              <w:spacing w:after="0"/>
            </w:pPr>
            <w:r/>
            <w:r>
              <w:rPr>
                <w:rFonts w:ascii="Microsoft YaHei" w:hAnsi="Microsoft YaHei" w:eastAsia="Microsoft YaHei"/>
                <w:b w:val="0"/>
                <w:sz w:val="17"/>
              </w:rPr>
              <w:t>当前逾期天数 &gt; 0，或当期最低还款未足额。</w:t>
            </w:r>
          </w:p>
        </w:tc>
        <w:tc>
          <w:tcPr>
            <w:tcW w:type="dxa" w:w="1440"/>
            <w:shd w:fill="F3F7FA"/>
            <w:vAlign w:val="center"/>
          </w:tcPr>
          <w:p>
            <w:pPr>
              <w:spacing w:after="0"/>
            </w:pPr>
            <w:r/>
            <w:r>
              <w:rPr>
                <w:rFonts w:ascii="Microsoft YaHei" w:hAnsi="Microsoft YaHei" w:eastAsia="Microsoft YaHei"/>
                <w:b w:val="0"/>
                <w:sz w:val="17"/>
              </w:rPr>
              <w:t>不以“信用不好”对外展示</w:t>
            </w:r>
          </w:p>
        </w:tc>
        <w:tc>
          <w:tcPr>
            <w:tcW w:type="dxa" w:w="1584"/>
            <w:shd w:fill="F3F7FA"/>
            <w:vAlign w:val="center"/>
          </w:tcPr>
          <w:p>
            <w:pPr>
              <w:spacing w:after="0"/>
            </w:pPr>
            <w:r/>
            <w:r>
              <w:rPr>
                <w:rFonts w:ascii="Microsoft YaHei" w:hAnsi="Microsoft YaHei" w:eastAsia="Microsoft YaHei"/>
                <w:b w:val="0"/>
                <w:sz w:val="17"/>
              </w:rPr>
              <w:t>CRM</w:t>
            </w:r>
          </w:p>
        </w:tc>
        <w:tc>
          <w:tcPr>
            <w:tcW w:type="dxa" w:w="1800"/>
            <w:shd w:fill="F3F7FA"/>
            <w:vAlign w:val="center"/>
          </w:tcPr>
          <w:p>
            <w:pPr>
              <w:spacing w:after="0"/>
            </w:pPr>
            <w:r/>
            <w:r>
              <w:rPr>
                <w:rFonts w:ascii="Microsoft YaHei" w:hAnsi="Microsoft YaHei" w:eastAsia="Microsoft YaHei"/>
                <w:b w:val="0"/>
                <w:sz w:val="17"/>
              </w:rPr>
              <w:t>公开使用指南说明未及时足额还款可能形成逾期信息并纳入信用记录。</w:t>
            </w:r>
          </w:p>
        </w:tc>
      </w:tr>
      <w:tr>
        <w:tc>
          <w:tcPr>
            <w:tcW w:type="dxa" w:w="1080"/>
            <w:vAlign w:val="center"/>
          </w:tcPr>
          <w:p>
            <w:pPr>
              <w:spacing w:after="0"/>
            </w:pPr>
            <w:r/>
            <w:r>
              <w:rPr>
                <w:rFonts w:ascii="Microsoft YaHei" w:hAnsi="Microsoft YaHei" w:eastAsia="Microsoft YaHei"/>
                <w:b w:val="0"/>
                <w:sz w:val="17"/>
              </w:rPr>
              <w:t>CRD-P02</w:t>
            </w:r>
          </w:p>
        </w:tc>
        <w:tc>
          <w:tcPr>
            <w:tcW w:type="dxa" w:w="1440"/>
            <w:vAlign w:val="center"/>
          </w:tcPr>
          <w:p>
            <w:pPr>
              <w:spacing w:after="0"/>
            </w:pPr>
            <w:r/>
            <w:r>
              <w:rPr>
                <w:rFonts w:ascii="Microsoft YaHei" w:hAnsi="Microsoft YaHei" w:eastAsia="Microsoft YaHei"/>
                <w:b w:val="0"/>
                <w:sz w:val="17"/>
              </w:rPr>
              <w:t>高额度使用</w:t>
            </w:r>
          </w:p>
        </w:tc>
        <w:tc>
          <w:tcPr>
            <w:tcW w:type="dxa" w:w="3384"/>
            <w:vAlign w:val="center"/>
          </w:tcPr>
          <w:p>
            <w:pPr>
              <w:spacing w:after="0"/>
            </w:pPr>
            <w:r/>
            <w:r>
              <w:rPr>
                <w:rFonts w:ascii="Microsoft YaHei" w:hAnsi="Microsoft YaHei" w:eastAsia="Microsoft YaHei"/>
                <w:b w:val="0"/>
                <w:sz w:val="17"/>
              </w:rPr>
              <w:t>额度使用率 &gt;= 80%，且当前无逾期。</w:t>
            </w:r>
          </w:p>
        </w:tc>
        <w:tc>
          <w:tcPr>
            <w:tcW w:type="dxa" w:w="1440"/>
            <w:vAlign w:val="center"/>
          </w:tcPr>
          <w:p>
            <w:pPr>
              <w:spacing w:after="0"/>
            </w:pPr>
            <w:r/>
            <w:r>
              <w:rPr>
                <w:rFonts w:ascii="Microsoft YaHei" w:hAnsi="Microsoft YaHei" w:eastAsia="Microsoft YaHei"/>
                <w:b w:val="0"/>
                <w:sz w:val="17"/>
              </w:rPr>
              <w:t>80%为模拟提醒阈值</w:t>
            </w:r>
          </w:p>
        </w:tc>
        <w:tc>
          <w:tcPr>
            <w:tcW w:type="dxa" w:w="1584"/>
            <w:vAlign w:val="center"/>
          </w:tcPr>
          <w:p>
            <w:pPr>
              <w:spacing w:after="0"/>
            </w:pPr>
            <w:r/>
            <w:r>
              <w:rPr>
                <w:rFonts w:ascii="Microsoft YaHei" w:hAnsi="Microsoft YaHei" w:eastAsia="Microsoft YaHei"/>
                <w:b w:val="0"/>
                <w:sz w:val="17"/>
              </w:rPr>
              <w:t>CRM</w:t>
            </w:r>
          </w:p>
        </w:tc>
        <w:tc>
          <w:tcPr>
            <w:tcW w:type="dxa" w:w="1800"/>
            <w:vAlign w:val="center"/>
          </w:tcPr>
          <w:p>
            <w:pPr>
              <w:spacing w:after="0"/>
            </w:pPr>
            <w:r/>
            <w:r>
              <w:rPr>
                <w:rFonts w:ascii="Microsoft YaHei" w:hAnsi="Microsoft YaHei" w:eastAsia="Microsoft YaHei"/>
                <w:b w:val="0"/>
                <w:sz w:val="17"/>
              </w:rPr>
              <w:t>仅作资金压力提示，不是欺诈标签。</w:t>
            </w:r>
          </w:p>
        </w:tc>
      </w:tr>
      <w:tr>
        <w:tc>
          <w:tcPr>
            <w:tcW w:type="dxa" w:w="1080"/>
            <w:shd w:fill="F3F7FA"/>
            <w:vAlign w:val="center"/>
          </w:tcPr>
          <w:p>
            <w:pPr>
              <w:spacing w:after="0"/>
            </w:pPr>
            <w:r/>
            <w:r>
              <w:rPr>
                <w:rFonts w:ascii="Microsoft YaHei" w:hAnsi="Microsoft YaHei" w:eastAsia="Microsoft YaHei"/>
                <w:b w:val="0"/>
                <w:sz w:val="17"/>
              </w:rPr>
              <w:t>KYC-D01</w:t>
            </w:r>
          </w:p>
        </w:tc>
        <w:tc>
          <w:tcPr>
            <w:tcW w:type="dxa" w:w="1440"/>
            <w:shd w:fill="F3F7FA"/>
            <w:vAlign w:val="center"/>
          </w:tcPr>
          <w:p>
            <w:pPr>
              <w:spacing w:after="0"/>
            </w:pPr>
            <w:r/>
            <w:r>
              <w:rPr>
                <w:rFonts w:ascii="Microsoft YaHei" w:hAnsi="Microsoft YaHei" w:eastAsia="Microsoft YaHei"/>
                <w:b w:val="0"/>
                <w:sz w:val="17"/>
              </w:rPr>
              <w:t>数据待核验</w:t>
            </w:r>
          </w:p>
        </w:tc>
        <w:tc>
          <w:tcPr>
            <w:tcW w:type="dxa" w:w="3384"/>
            <w:shd w:fill="F3F7FA"/>
            <w:vAlign w:val="center"/>
          </w:tcPr>
          <w:p>
            <w:pPr>
              <w:spacing w:after="0"/>
            </w:pPr>
            <w:r/>
            <w:r>
              <w:rPr>
                <w:rFonts w:ascii="Microsoft YaHei" w:hAnsi="Microsoft YaHei" w:eastAsia="Microsoft YaHei"/>
                <w:b w:val="0"/>
                <w:sz w:val="17"/>
              </w:rPr>
              <w:t>手机号不可用、身份核验失败、关键风控开关状态缺失或模型分缺失。</w:t>
            </w:r>
          </w:p>
        </w:tc>
        <w:tc>
          <w:tcPr>
            <w:tcW w:type="dxa" w:w="1440"/>
            <w:shd w:fill="F3F7FA"/>
            <w:vAlign w:val="center"/>
          </w:tcPr>
          <w:p>
            <w:pPr>
              <w:spacing w:after="0"/>
            </w:pPr>
            <w:r/>
            <w:r>
              <w:rPr>
                <w:rFonts w:ascii="Microsoft YaHei" w:hAnsi="Microsoft YaHei" w:eastAsia="Microsoft YaHei"/>
                <w:b w:val="0"/>
                <w:sz w:val="17"/>
              </w:rPr>
              <w:t>任一关键项</w:t>
            </w:r>
          </w:p>
        </w:tc>
        <w:tc>
          <w:tcPr>
            <w:tcW w:type="dxa" w:w="1584"/>
            <w:shd w:fill="F3F7FA"/>
            <w:vAlign w:val="center"/>
          </w:tcPr>
          <w:p>
            <w:pPr>
              <w:spacing w:after="0"/>
            </w:pPr>
            <w:r/>
            <w:r>
              <w:rPr>
                <w:rFonts w:ascii="Microsoft YaHei" w:hAnsi="Microsoft YaHei" w:eastAsia="Microsoft YaHei"/>
                <w:b w:val="0"/>
                <w:sz w:val="17"/>
              </w:rPr>
              <w:t>REV</w:t>
            </w:r>
          </w:p>
        </w:tc>
        <w:tc>
          <w:tcPr>
            <w:tcW w:type="dxa" w:w="1800"/>
            <w:shd w:fill="F3F7FA"/>
            <w:vAlign w:val="center"/>
          </w:tcPr>
          <w:p>
            <w:pPr>
              <w:spacing w:after="0"/>
            </w:pPr>
            <w:r/>
            <w:r>
              <w:rPr>
                <w:rFonts w:ascii="Microsoft YaHei" w:hAnsi="Microsoft YaHei" w:eastAsia="Microsoft YaHei"/>
                <w:b w:val="0"/>
                <w:sz w:val="17"/>
              </w:rPr>
              <w:t>防止数据缺失导致错误放行。</w:t>
            </w:r>
          </w:p>
        </w:tc>
      </w:tr>
    </w:tbl>
    <w:p>
      <w:pPr>
        <w:spacing w:after="100"/>
      </w:pPr>
    </w:p>
    <w:p>
      <w:pPr>
        <w:pStyle w:val="Heading1"/>
        <w:spacing w:after="100"/>
      </w:pPr>
      <w:r>
        <w:t>5 交易规则库</w:t>
      </w:r>
    </w:p>
    <w:tbl>
      <w:tblPr>
        <w:tblStyle w:val="TableGrid"/>
        <w:tblW w:type="auto" w:w="0"/>
        <w:jc w:val="center"/>
        <w:tblLook w:firstColumn="1" w:firstRow="1" w:lastColumn="0" w:lastRow="0" w:noHBand="0" w:noVBand="1" w:val="04A0"/>
      </w:tblPr>
      <w:tblGrid>
        <w:gridCol w:w="2496"/>
        <w:gridCol w:w="2496"/>
        <w:gridCol w:w="2496"/>
        <w:gridCol w:w="2496"/>
        <w:gridCol w:w="2496"/>
        <w:gridCol w:w="2496"/>
      </w:tblGrid>
      <w:tr>
        <w:tc>
          <w:tcPr>
            <w:tcW w:type="dxa" w:w="1152"/>
            <w:shd w:fill="1F4E78"/>
            <w:vAlign w:val="center"/>
          </w:tcPr>
          <w:p>
            <w:pPr>
              <w:spacing w:after="0"/>
            </w:pPr>
            <w:r/>
            <w:r>
              <w:rPr>
                <w:rFonts w:ascii="Microsoft YaHei" w:hAnsi="Microsoft YaHei" w:eastAsia="Microsoft YaHei"/>
                <w:b/>
                <w:color w:val="FFFFFF"/>
                <w:sz w:val="17"/>
              </w:rPr>
              <w:t>规则编号</w:t>
            </w:r>
          </w:p>
        </w:tc>
        <w:tc>
          <w:tcPr>
            <w:tcW w:type="dxa" w:w="1584"/>
            <w:shd w:fill="1F4E78"/>
            <w:vAlign w:val="center"/>
          </w:tcPr>
          <w:p>
            <w:pPr>
              <w:spacing w:after="0"/>
            </w:pPr>
            <w:r/>
            <w:r>
              <w:rPr>
                <w:rFonts w:ascii="Microsoft YaHei" w:hAnsi="Microsoft YaHei" w:eastAsia="Microsoft YaHei"/>
                <w:b/>
                <w:color w:val="FFFFFF"/>
                <w:sz w:val="17"/>
              </w:rPr>
              <w:t>交易范畴</w:t>
            </w:r>
          </w:p>
        </w:tc>
        <w:tc>
          <w:tcPr>
            <w:tcW w:type="dxa" w:w="3528"/>
            <w:shd w:fill="1F4E78"/>
            <w:vAlign w:val="center"/>
          </w:tcPr>
          <w:p>
            <w:pPr>
              <w:spacing w:after="0"/>
            </w:pPr>
            <w:r/>
            <w:r>
              <w:rPr>
                <w:rFonts w:ascii="Microsoft YaHei" w:hAnsi="Microsoft YaHei" w:eastAsia="Microsoft YaHei"/>
                <w:b/>
                <w:color w:val="FFFFFF"/>
                <w:sz w:val="17"/>
              </w:rPr>
              <w:t>触发条件</w:t>
            </w:r>
          </w:p>
        </w:tc>
        <w:tc>
          <w:tcPr>
            <w:tcW w:type="dxa" w:w="1944"/>
            <w:shd w:fill="1F4E78"/>
            <w:vAlign w:val="center"/>
          </w:tcPr>
          <w:p>
            <w:pPr>
              <w:spacing w:after="0"/>
            </w:pPr>
            <w:r/>
            <w:r>
              <w:rPr>
                <w:rFonts w:ascii="Microsoft YaHei" w:hAnsi="Microsoft YaHei" w:eastAsia="Microsoft YaHei"/>
                <w:b/>
                <w:color w:val="FFFFFF"/>
                <w:sz w:val="17"/>
              </w:rPr>
              <w:t>模拟参数</w:t>
            </w:r>
          </w:p>
        </w:tc>
        <w:tc>
          <w:tcPr>
            <w:tcW w:type="dxa" w:w="648"/>
            <w:shd w:fill="1F4E78"/>
            <w:vAlign w:val="center"/>
          </w:tcPr>
          <w:p>
            <w:pPr>
              <w:spacing w:after="0"/>
            </w:pPr>
            <w:r/>
            <w:r>
              <w:rPr>
                <w:rFonts w:ascii="Microsoft YaHei" w:hAnsi="Microsoft YaHei" w:eastAsia="Microsoft YaHei"/>
                <w:b/>
                <w:color w:val="FFFFFF"/>
                <w:sz w:val="17"/>
              </w:rPr>
              <w:t>等级</w:t>
            </w:r>
          </w:p>
        </w:tc>
        <w:tc>
          <w:tcPr>
            <w:tcW w:type="dxa" w:w="2160"/>
            <w:shd w:fill="1F4E78"/>
            <w:vAlign w:val="center"/>
          </w:tcPr>
          <w:p>
            <w:pPr>
              <w:spacing w:after="0"/>
            </w:pPr>
            <w:r/>
            <w:r>
              <w:rPr>
                <w:rFonts w:ascii="Microsoft YaHei" w:hAnsi="Microsoft YaHei" w:eastAsia="Microsoft YaHei"/>
                <w:b/>
                <w:color w:val="FFFFFF"/>
                <w:sz w:val="17"/>
              </w:rPr>
              <w:t>处置</w:t>
            </w:r>
          </w:p>
        </w:tc>
      </w:tr>
      <w:tr>
        <w:tc>
          <w:tcPr>
            <w:tcW w:type="dxa" w:w="1152"/>
            <w:vAlign w:val="center"/>
          </w:tcPr>
          <w:p>
            <w:pPr>
              <w:spacing w:after="0"/>
            </w:pPr>
            <w:r/>
            <w:r>
              <w:rPr>
                <w:rFonts w:ascii="Microsoft YaHei" w:hAnsi="Microsoft YaHei" w:eastAsia="Microsoft YaHei"/>
                <w:b w:val="0"/>
                <w:sz w:val="17"/>
              </w:rPr>
              <w:t>TRX-M02</w:t>
            </w:r>
          </w:p>
        </w:tc>
        <w:tc>
          <w:tcPr>
            <w:tcW w:type="dxa" w:w="1584"/>
            <w:vAlign w:val="center"/>
          </w:tcPr>
          <w:p>
            <w:pPr>
              <w:spacing w:after="0"/>
            </w:pPr>
            <w:r/>
            <w:r>
              <w:rPr>
                <w:rFonts w:ascii="Microsoft YaHei" w:hAnsi="Microsoft YaHei" w:eastAsia="Microsoft YaHei"/>
                <w:b w:val="0"/>
                <w:sz w:val="17"/>
              </w:rPr>
              <w:t>小额高频试探</w:t>
            </w:r>
          </w:p>
        </w:tc>
        <w:tc>
          <w:tcPr>
            <w:tcW w:type="dxa" w:w="3528"/>
            <w:vAlign w:val="center"/>
          </w:tcPr>
          <w:p>
            <w:pPr>
              <w:spacing w:after="0"/>
            </w:pPr>
            <w:r/>
            <w:r>
              <w:rPr>
                <w:rFonts w:ascii="Microsoft YaHei" w:hAnsi="Microsoft YaHei" w:eastAsia="Microsoft YaHei"/>
                <w:b w:val="0"/>
                <w:sz w:val="17"/>
              </w:rPr>
              <w:t>同一客户或同一卡片在10分钟内连续出现多笔极小金额交易。</w:t>
            </w:r>
          </w:p>
        </w:tc>
        <w:tc>
          <w:tcPr>
            <w:tcW w:type="dxa" w:w="1944"/>
            <w:vAlign w:val="center"/>
          </w:tcPr>
          <w:p>
            <w:pPr>
              <w:spacing w:after="0"/>
            </w:pPr>
            <w:r/>
            <w:r>
              <w:rPr>
                <w:rFonts w:ascii="Microsoft YaHei" w:hAnsi="Microsoft YaHei" w:eastAsia="Microsoft YaHei"/>
                <w:b w:val="0"/>
                <w:sz w:val="17"/>
              </w:rPr>
              <w:t>10分钟 &gt;= 6笔，且单笔 &lt;= 50元。</w:t>
            </w:r>
          </w:p>
        </w:tc>
        <w:tc>
          <w:tcPr>
            <w:tcW w:type="dxa" w:w="648"/>
            <w:vAlign w:val="center"/>
          </w:tcPr>
          <w:p>
            <w:pPr>
              <w:spacing w:after="0"/>
            </w:pPr>
            <w:r/>
            <w:r>
              <w:rPr>
                <w:rFonts w:ascii="Microsoft YaHei" w:hAnsi="Microsoft YaHei" w:eastAsia="Microsoft YaHei"/>
                <w:b w:val="0"/>
                <w:sz w:val="17"/>
              </w:rPr>
              <w:t>L2</w:t>
            </w:r>
          </w:p>
        </w:tc>
        <w:tc>
          <w:tcPr>
            <w:tcW w:type="dxa" w:w="2160"/>
            <w:vAlign w:val="center"/>
          </w:tcPr>
          <w:p>
            <w:pPr>
              <w:spacing w:after="0"/>
            </w:pPr>
            <w:r/>
            <w:r>
              <w:rPr>
                <w:rFonts w:ascii="Microsoft YaHei" w:hAnsi="Microsoft YaHei" w:eastAsia="Microsoft YaHei"/>
                <w:b w:val="0"/>
                <w:sz w:val="17"/>
              </w:rPr>
              <w:t>AUTH + REV：加强认证并复核后续交易。</w:t>
            </w:r>
          </w:p>
        </w:tc>
      </w:tr>
      <w:tr>
        <w:tc>
          <w:tcPr>
            <w:tcW w:type="dxa" w:w="1152"/>
            <w:shd w:fill="F3F7FA"/>
            <w:vAlign w:val="center"/>
          </w:tcPr>
          <w:p>
            <w:pPr>
              <w:spacing w:after="0"/>
            </w:pPr>
            <w:r/>
            <w:r>
              <w:rPr>
                <w:rFonts w:ascii="Microsoft YaHei" w:hAnsi="Microsoft YaHei" w:eastAsia="Microsoft YaHei"/>
                <w:b w:val="0"/>
                <w:sz w:val="17"/>
              </w:rPr>
              <w:t>TRX-M03</w:t>
            </w:r>
          </w:p>
        </w:tc>
        <w:tc>
          <w:tcPr>
            <w:tcW w:type="dxa" w:w="1584"/>
            <w:shd w:fill="F3F7FA"/>
            <w:vAlign w:val="center"/>
          </w:tcPr>
          <w:p>
            <w:pPr>
              <w:spacing w:after="0"/>
            </w:pPr>
            <w:r/>
            <w:r>
              <w:rPr>
                <w:rFonts w:ascii="Microsoft YaHei" w:hAnsi="Microsoft YaHei" w:eastAsia="Microsoft YaHei"/>
                <w:b w:val="0"/>
                <w:sz w:val="17"/>
              </w:rPr>
              <w:t>大额突增交易</w:t>
            </w:r>
          </w:p>
        </w:tc>
        <w:tc>
          <w:tcPr>
            <w:tcW w:type="dxa" w:w="3528"/>
            <w:shd w:fill="F3F7FA"/>
            <w:vAlign w:val="center"/>
          </w:tcPr>
          <w:p>
            <w:pPr>
              <w:spacing w:after="0"/>
            </w:pPr>
            <w:r/>
            <w:r>
              <w:rPr>
                <w:rFonts w:ascii="Microsoft YaHei" w:hAnsi="Microsoft YaHei" w:eastAsia="Microsoft YaHei"/>
                <w:b w:val="0"/>
                <w:sz w:val="17"/>
              </w:rPr>
              <w:t>本笔交易显著高于客户近90日单笔消费均额，且为高额金额。</w:t>
            </w:r>
          </w:p>
        </w:tc>
        <w:tc>
          <w:tcPr>
            <w:tcW w:type="dxa" w:w="1944"/>
            <w:shd w:fill="F3F7FA"/>
            <w:vAlign w:val="center"/>
          </w:tcPr>
          <w:p>
            <w:pPr>
              <w:spacing w:after="0"/>
            </w:pPr>
            <w:r/>
            <w:r>
              <w:rPr>
                <w:rFonts w:ascii="Microsoft YaHei" w:hAnsi="Microsoft YaHei" w:eastAsia="Microsoft YaHei"/>
                <w:b w:val="0"/>
                <w:sz w:val="17"/>
              </w:rPr>
              <w:t>金额 &gt;= 历史均额10倍，且 &gt;= 2万元。</w:t>
            </w:r>
          </w:p>
        </w:tc>
        <w:tc>
          <w:tcPr>
            <w:tcW w:type="dxa" w:w="648"/>
            <w:shd w:fill="F3F7FA"/>
            <w:vAlign w:val="center"/>
          </w:tcPr>
          <w:p>
            <w:pPr>
              <w:spacing w:after="0"/>
            </w:pPr>
            <w:r/>
            <w:r>
              <w:rPr>
                <w:rFonts w:ascii="Microsoft YaHei" w:hAnsi="Microsoft YaHei" w:eastAsia="Microsoft YaHei"/>
                <w:b w:val="0"/>
                <w:sz w:val="17"/>
              </w:rPr>
              <w:t>L3</w:t>
            </w:r>
          </w:p>
        </w:tc>
        <w:tc>
          <w:tcPr>
            <w:tcW w:type="dxa" w:w="2160"/>
            <w:shd w:fill="F3F7FA"/>
            <w:vAlign w:val="center"/>
          </w:tcPr>
          <w:p>
            <w:pPr>
              <w:spacing w:after="0"/>
            </w:pPr>
            <w:r/>
            <w:r>
              <w:rPr>
                <w:rFonts w:ascii="Microsoft YaHei" w:hAnsi="Microsoft YaHei" w:eastAsia="Microsoft YaHei"/>
                <w:b w:val="0"/>
                <w:sz w:val="17"/>
              </w:rPr>
              <w:t>BLK + REV：阻断并核验交易真实性。</w:t>
            </w:r>
          </w:p>
        </w:tc>
      </w:tr>
      <w:tr>
        <w:tc>
          <w:tcPr>
            <w:tcW w:type="dxa" w:w="1152"/>
            <w:vAlign w:val="center"/>
          </w:tcPr>
          <w:p>
            <w:pPr>
              <w:spacing w:after="0"/>
            </w:pPr>
            <w:r/>
            <w:r>
              <w:rPr>
                <w:rFonts w:ascii="Microsoft YaHei" w:hAnsi="Microsoft YaHei" w:eastAsia="Microsoft YaHei"/>
                <w:b w:val="0"/>
                <w:sz w:val="17"/>
              </w:rPr>
              <w:t>TRX-M04</w:t>
            </w:r>
          </w:p>
        </w:tc>
        <w:tc>
          <w:tcPr>
            <w:tcW w:type="dxa" w:w="1584"/>
            <w:vAlign w:val="center"/>
          </w:tcPr>
          <w:p>
            <w:pPr>
              <w:spacing w:after="0"/>
            </w:pPr>
            <w:r/>
            <w:r>
              <w:rPr>
                <w:rFonts w:ascii="Microsoft YaHei" w:hAnsi="Microsoft YaHei" w:eastAsia="Microsoft YaHei"/>
                <w:b w:val="0"/>
                <w:sz w:val="17"/>
              </w:rPr>
              <w:t>夜间异常交易</w:t>
            </w:r>
          </w:p>
        </w:tc>
        <w:tc>
          <w:tcPr>
            <w:tcW w:type="dxa" w:w="3528"/>
            <w:vAlign w:val="center"/>
          </w:tcPr>
          <w:p>
            <w:pPr>
              <w:spacing w:after="0"/>
            </w:pPr>
            <w:r/>
            <w:r>
              <w:rPr>
                <w:rFonts w:ascii="Microsoft YaHei" w:hAnsi="Microsoft YaHei" w:eastAsia="Microsoft YaHei"/>
                <w:b w:val="0"/>
                <w:sz w:val="17"/>
              </w:rPr>
              <w:t>夜间交易与近30日客户夜间习惯显著不一致。</w:t>
            </w:r>
          </w:p>
        </w:tc>
        <w:tc>
          <w:tcPr>
            <w:tcW w:type="dxa" w:w="1944"/>
            <w:vAlign w:val="center"/>
          </w:tcPr>
          <w:p>
            <w:pPr>
              <w:spacing w:after="0"/>
            </w:pPr>
            <w:r/>
            <w:r>
              <w:rPr>
                <w:rFonts w:ascii="Microsoft YaHei" w:hAnsi="Microsoft YaHei" w:eastAsia="Microsoft YaHei"/>
                <w:b w:val="0"/>
                <w:sz w:val="17"/>
              </w:rPr>
              <w:t>00:00至05:00，近7日夜间 &gt;= 5笔。</w:t>
            </w:r>
          </w:p>
        </w:tc>
        <w:tc>
          <w:tcPr>
            <w:tcW w:type="dxa" w:w="648"/>
            <w:vAlign w:val="center"/>
          </w:tcPr>
          <w:p>
            <w:pPr>
              <w:spacing w:after="0"/>
            </w:pPr>
            <w:r/>
            <w:r>
              <w:rPr>
                <w:rFonts w:ascii="Microsoft YaHei" w:hAnsi="Microsoft YaHei" w:eastAsia="Microsoft YaHei"/>
                <w:b w:val="0"/>
                <w:sz w:val="17"/>
              </w:rPr>
              <w:t>L2</w:t>
            </w:r>
          </w:p>
        </w:tc>
        <w:tc>
          <w:tcPr>
            <w:tcW w:type="dxa" w:w="2160"/>
            <w:vAlign w:val="center"/>
          </w:tcPr>
          <w:p>
            <w:pPr>
              <w:spacing w:after="0"/>
            </w:pPr>
            <w:r/>
            <w:r>
              <w:rPr>
                <w:rFonts w:ascii="Microsoft YaHei" w:hAnsi="Microsoft YaHei" w:eastAsia="Microsoft YaHei"/>
                <w:b w:val="0"/>
                <w:sz w:val="17"/>
              </w:rPr>
              <w:t>AUTH：要求加强认证；叠加跨区域或线上无卡时升为L3。</w:t>
            </w:r>
          </w:p>
        </w:tc>
      </w:tr>
      <w:tr>
        <w:tc>
          <w:tcPr>
            <w:tcW w:type="dxa" w:w="1152"/>
            <w:shd w:fill="F3F7FA"/>
            <w:vAlign w:val="center"/>
          </w:tcPr>
          <w:p>
            <w:pPr>
              <w:spacing w:after="0"/>
            </w:pPr>
            <w:r/>
            <w:r>
              <w:rPr>
                <w:rFonts w:ascii="Microsoft YaHei" w:hAnsi="Microsoft YaHei" w:eastAsia="Microsoft YaHei"/>
                <w:b w:val="0"/>
                <w:sz w:val="17"/>
              </w:rPr>
              <w:t>TRX-M05</w:t>
            </w:r>
          </w:p>
        </w:tc>
        <w:tc>
          <w:tcPr>
            <w:tcW w:type="dxa" w:w="1584"/>
            <w:shd w:fill="F3F7FA"/>
            <w:vAlign w:val="center"/>
          </w:tcPr>
          <w:p>
            <w:pPr>
              <w:spacing w:after="0"/>
            </w:pPr>
            <w:r/>
            <w:r>
              <w:rPr>
                <w:rFonts w:ascii="Microsoft YaHei" w:hAnsi="Microsoft YaHei" w:eastAsia="Microsoft YaHei"/>
                <w:b w:val="0"/>
                <w:sz w:val="17"/>
              </w:rPr>
              <w:t>短时高频大额</w:t>
            </w:r>
          </w:p>
        </w:tc>
        <w:tc>
          <w:tcPr>
            <w:tcW w:type="dxa" w:w="3528"/>
            <w:shd w:fill="F3F7FA"/>
            <w:vAlign w:val="center"/>
          </w:tcPr>
          <w:p>
            <w:pPr>
              <w:spacing w:after="0"/>
            </w:pPr>
            <w:r/>
            <w:r>
              <w:rPr>
                <w:rFonts w:ascii="Microsoft YaHei" w:hAnsi="Microsoft YaHei" w:eastAsia="Microsoft YaHei"/>
                <w:b w:val="0"/>
                <w:sz w:val="17"/>
              </w:rPr>
              <w:t>短窗口内累计交易金额高，并叠加跨区域、线上无卡或高风险MCC。</w:t>
            </w:r>
          </w:p>
        </w:tc>
        <w:tc>
          <w:tcPr>
            <w:tcW w:type="dxa" w:w="1944"/>
            <w:shd w:fill="F3F7FA"/>
            <w:vAlign w:val="center"/>
          </w:tcPr>
          <w:p>
            <w:pPr>
              <w:spacing w:after="0"/>
            </w:pPr>
            <w:r/>
            <w:r>
              <w:rPr>
                <w:rFonts w:ascii="Microsoft YaHei" w:hAnsi="Microsoft YaHei" w:eastAsia="Microsoft YaHei"/>
                <w:b w:val="0"/>
                <w:sz w:val="17"/>
              </w:rPr>
              <w:t>10分钟累计 &gt;= 3万元，且叠加任一增强信号。</w:t>
            </w:r>
          </w:p>
        </w:tc>
        <w:tc>
          <w:tcPr>
            <w:tcW w:type="dxa" w:w="648"/>
            <w:shd w:fill="F3F7FA"/>
            <w:vAlign w:val="center"/>
          </w:tcPr>
          <w:p>
            <w:pPr>
              <w:spacing w:after="0"/>
            </w:pPr>
            <w:r/>
            <w:r>
              <w:rPr>
                <w:rFonts w:ascii="Microsoft YaHei" w:hAnsi="Microsoft YaHei" w:eastAsia="Microsoft YaHei"/>
                <w:b w:val="0"/>
                <w:sz w:val="17"/>
              </w:rPr>
              <w:t>L3</w:t>
            </w:r>
          </w:p>
        </w:tc>
        <w:tc>
          <w:tcPr>
            <w:tcW w:type="dxa" w:w="2160"/>
            <w:shd w:fill="F3F7FA"/>
            <w:vAlign w:val="center"/>
          </w:tcPr>
          <w:p>
            <w:pPr>
              <w:spacing w:after="0"/>
            </w:pPr>
            <w:r/>
            <w:r>
              <w:rPr>
                <w:rFonts w:ascii="Microsoft YaHei" w:hAnsi="Microsoft YaHei" w:eastAsia="Microsoft YaHei"/>
                <w:b w:val="0"/>
                <w:sz w:val="17"/>
              </w:rPr>
              <w:t>BLK + REV：阻断并人工核验。</w:t>
            </w:r>
          </w:p>
        </w:tc>
      </w:tr>
      <w:tr>
        <w:tc>
          <w:tcPr>
            <w:tcW w:type="dxa" w:w="1152"/>
            <w:vAlign w:val="center"/>
          </w:tcPr>
          <w:p>
            <w:pPr>
              <w:spacing w:after="0"/>
            </w:pPr>
            <w:r/>
            <w:r>
              <w:rPr>
                <w:rFonts w:ascii="Microsoft YaHei" w:hAnsi="Microsoft YaHei" w:eastAsia="Microsoft YaHei"/>
                <w:b w:val="0"/>
                <w:sz w:val="17"/>
              </w:rPr>
              <w:t>TRX-M06</w:t>
            </w:r>
          </w:p>
        </w:tc>
        <w:tc>
          <w:tcPr>
            <w:tcW w:type="dxa" w:w="1584"/>
            <w:vAlign w:val="center"/>
          </w:tcPr>
          <w:p>
            <w:pPr>
              <w:spacing w:after="0"/>
            </w:pPr>
            <w:r/>
            <w:r>
              <w:rPr>
                <w:rFonts w:ascii="Microsoft YaHei" w:hAnsi="Microsoft YaHei" w:eastAsia="Microsoft YaHei"/>
                <w:b w:val="0"/>
                <w:sz w:val="17"/>
              </w:rPr>
              <w:t>跨区域突变</w:t>
            </w:r>
          </w:p>
        </w:tc>
        <w:tc>
          <w:tcPr>
            <w:tcW w:type="dxa" w:w="3528"/>
            <w:vAlign w:val="center"/>
          </w:tcPr>
          <w:p>
            <w:pPr>
              <w:spacing w:after="0"/>
            </w:pPr>
            <w:r/>
            <w:r>
              <w:rPr>
                <w:rFonts w:ascii="Microsoft YaHei" w:hAnsi="Microsoft YaHei" w:eastAsia="Microsoft YaHei"/>
                <w:b w:val="0"/>
                <w:sz w:val="17"/>
              </w:rPr>
              <w:t>交易城市与常驻城市不一致，且近30日跨区域行为显著增加。</w:t>
            </w:r>
          </w:p>
        </w:tc>
        <w:tc>
          <w:tcPr>
            <w:tcW w:type="dxa" w:w="1944"/>
            <w:vAlign w:val="center"/>
          </w:tcPr>
          <w:p>
            <w:pPr>
              <w:spacing w:after="0"/>
            </w:pPr>
            <w:r/>
            <w:r>
              <w:rPr>
                <w:rFonts w:ascii="Microsoft YaHei" w:hAnsi="Microsoft YaHei" w:eastAsia="Microsoft YaHei"/>
                <w:b w:val="0"/>
                <w:sz w:val="17"/>
              </w:rPr>
              <w:t>近30日跨区域 &gt;= 6笔。</w:t>
            </w:r>
          </w:p>
        </w:tc>
        <w:tc>
          <w:tcPr>
            <w:tcW w:type="dxa" w:w="648"/>
            <w:vAlign w:val="center"/>
          </w:tcPr>
          <w:p>
            <w:pPr>
              <w:spacing w:after="0"/>
            </w:pPr>
            <w:r/>
            <w:r>
              <w:rPr>
                <w:rFonts w:ascii="Microsoft YaHei" w:hAnsi="Microsoft YaHei" w:eastAsia="Microsoft YaHei"/>
                <w:b w:val="0"/>
                <w:sz w:val="17"/>
              </w:rPr>
              <w:t>L2</w:t>
            </w:r>
          </w:p>
        </w:tc>
        <w:tc>
          <w:tcPr>
            <w:tcW w:type="dxa" w:w="2160"/>
            <w:vAlign w:val="center"/>
          </w:tcPr>
          <w:p>
            <w:pPr>
              <w:spacing w:after="0"/>
            </w:pPr>
            <w:r/>
            <w:r>
              <w:rPr>
                <w:rFonts w:ascii="Microsoft YaHei" w:hAnsi="Microsoft YaHei" w:eastAsia="Microsoft YaHei"/>
                <w:b w:val="0"/>
                <w:sz w:val="17"/>
              </w:rPr>
              <w:t>AUTH + REV：加强认证并核验出行/消费背景。</w:t>
            </w:r>
          </w:p>
        </w:tc>
      </w:tr>
      <w:tr>
        <w:tc>
          <w:tcPr>
            <w:tcW w:type="dxa" w:w="1152"/>
            <w:shd w:fill="F3F7FA"/>
            <w:vAlign w:val="center"/>
          </w:tcPr>
          <w:p>
            <w:pPr>
              <w:spacing w:after="0"/>
            </w:pPr>
            <w:r/>
            <w:r>
              <w:rPr>
                <w:rFonts w:ascii="Microsoft YaHei" w:hAnsi="Microsoft YaHei" w:eastAsia="Microsoft YaHei"/>
                <w:b w:val="0"/>
                <w:sz w:val="17"/>
              </w:rPr>
              <w:t>TRX-M07</w:t>
            </w:r>
          </w:p>
        </w:tc>
        <w:tc>
          <w:tcPr>
            <w:tcW w:type="dxa" w:w="1584"/>
            <w:shd w:fill="F3F7FA"/>
            <w:vAlign w:val="center"/>
          </w:tcPr>
          <w:p>
            <w:pPr>
              <w:spacing w:after="0"/>
            </w:pPr>
            <w:r/>
            <w:r>
              <w:rPr>
                <w:rFonts w:ascii="Microsoft YaHei" w:hAnsi="Microsoft YaHei" w:eastAsia="Microsoft YaHei"/>
                <w:b w:val="0"/>
                <w:sz w:val="17"/>
              </w:rPr>
              <w:t>线上无卡异常</w:t>
            </w:r>
          </w:p>
        </w:tc>
        <w:tc>
          <w:tcPr>
            <w:tcW w:type="dxa" w:w="3528"/>
            <w:shd w:fill="F3F7FA"/>
            <w:vAlign w:val="center"/>
          </w:tcPr>
          <w:p>
            <w:pPr>
              <w:spacing w:after="0"/>
            </w:pPr>
            <w:r/>
            <w:r>
              <w:rPr>
                <w:rFonts w:ascii="Microsoft YaHei" w:hAnsi="Microsoft YaHei" w:eastAsia="Microsoft YaHei"/>
                <w:b w:val="0"/>
                <w:sz w:val="17"/>
              </w:rPr>
              <w:t>线上无卡交易频率显著提升，且模型分处于中高区间。</w:t>
            </w:r>
          </w:p>
        </w:tc>
        <w:tc>
          <w:tcPr>
            <w:tcW w:type="dxa" w:w="1944"/>
            <w:shd w:fill="F3F7FA"/>
            <w:vAlign w:val="center"/>
          </w:tcPr>
          <w:p>
            <w:pPr>
              <w:spacing w:after="0"/>
            </w:pPr>
            <w:r/>
            <w:r>
              <w:rPr>
                <w:rFonts w:ascii="Microsoft YaHei" w:hAnsi="Microsoft YaHei" w:eastAsia="Microsoft YaHei"/>
                <w:b w:val="0"/>
                <w:sz w:val="17"/>
              </w:rPr>
              <w:t>近30日线上 &gt;= 15笔，模型分 &gt;= 0.40。</w:t>
            </w:r>
          </w:p>
        </w:tc>
        <w:tc>
          <w:tcPr>
            <w:tcW w:type="dxa" w:w="648"/>
            <w:shd w:fill="F3F7FA"/>
            <w:vAlign w:val="center"/>
          </w:tcPr>
          <w:p>
            <w:pPr>
              <w:spacing w:after="0"/>
            </w:pPr>
            <w:r/>
            <w:r>
              <w:rPr>
                <w:rFonts w:ascii="Microsoft YaHei" w:hAnsi="Microsoft YaHei" w:eastAsia="Microsoft YaHei"/>
                <w:b w:val="0"/>
                <w:sz w:val="17"/>
              </w:rPr>
              <w:t>L2</w:t>
            </w:r>
          </w:p>
        </w:tc>
        <w:tc>
          <w:tcPr>
            <w:tcW w:type="dxa" w:w="2160"/>
            <w:shd w:fill="F3F7FA"/>
            <w:vAlign w:val="center"/>
          </w:tcPr>
          <w:p>
            <w:pPr>
              <w:spacing w:after="0"/>
            </w:pPr>
            <w:r/>
            <w:r>
              <w:rPr>
                <w:rFonts w:ascii="Microsoft YaHei" w:hAnsi="Microsoft YaHei" w:eastAsia="Microsoft YaHei"/>
                <w:b w:val="0"/>
                <w:sz w:val="17"/>
              </w:rPr>
              <w:t>AUTH：加强认证；若叠加夜间或新卡则升L3。</w:t>
            </w:r>
          </w:p>
        </w:tc>
      </w:tr>
      <w:tr>
        <w:tc>
          <w:tcPr>
            <w:tcW w:type="dxa" w:w="1152"/>
            <w:vAlign w:val="center"/>
          </w:tcPr>
          <w:p>
            <w:pPr>
              <w:spacing w:after="0"/>
            </w:pPr>
            <w:r/>
            <w:r>
              <w:rPr>
                <w:rFonts w:ascii="Microsoft YaHei" w:hAnsi="Microsoft YaHei" w:eastAsia="Microsoft YaHei"/>
                <w:b w:val="0"/>
                <w:sz w:val="17"/>
              </w:rPr>
              <w:t>SEC-L01</w:t>
            </w:r>
          </w:p>
        </w:tc>
        <w:tc>
          <w:tcPr>
            <w:tcW w:type="dxa" w:w="1584"/>
            <w:vAlign w:val="center"/>
          </w:tcPr>
          <w:p>
            <w:pPr>
              <w:spacing w:after="0"/>
            </w:pPr>
            <w:r/>
            <w:r>
              <w:rPr>
                <w:rFonts w:ascii="Microsoft YaHei" w:hAnsi="Microsoft YaHei" w:eastAsia="Microsoft YaHei"/>
                <w:b w:val="0"/>
                <w:sz w:val="17"/>
              </w:rPr>
              <w:t>客户安全锁</w:t>
            </w:r>
          </w:p>
        </w:tc>
        <w:tc>
          <w:tcPr>
            <w:tcW w:type="dxa" w:w="3528"/>
            <w:vAlign w:val="center"/>
          </w:tcPr>
          <w:p>
            <w:pPr>
              <w:spacing w:after="0"/>
            </w:pPr>
            <w:r/>
            <w:r>
              <w:rPr>
                <w:rFonts w:ascii="Microsoft YaHei" w:hAnsi="Microsoft YaHei" w:eastAsia="Microsoft YaHei"/>
                <w:b w:val="0"/>
                <w:sz w:val="17"/>
              </w:rPr>
              <w:t>交易触发客户已设置的夜间锁、地区锁、境外锁、境外无卡支付锁或限额锁。</w:t>
            </w:r>
          </w:p>
        </w:tc>
        <w:tc>
          <w:tcPr>
            <w:tcW w:type="dxa" w:w="1944"/>
            <w:vAlign w:val="center"/>
          </w:tcPr>
          <w:p>
            <w:pPr>
              <w:spacing w:after="0"/>
            </w:pPr>
            <w:r/>
            <w:r>
              <w:rPr>
                <w:rFonts w:ascii="Microsoft YaHei" w:hAnsi="Microsoft YaHei" w:eastAsia="Microsoft YaHei"/>
                <w:b w:val="0"/>
                <w:sz w:val="17"/>
              </w:rPr>
              <w:t>按客户锁定配置，无固定数值。</w:t>
            </w:r>
          </w:p>
        </w:tc>
        <w:tc>
          <w:tcPr>
            <w:tcW w:type="dxa" w:w="648"/>
            <w:vAlign w:val="center"/>
          </w:tcPr>
          <w:p>
            <w:pPr>
              <w:spacing w:after="0"/>
            </w:pPr>
            <w:r/>
            <w:r>
              <w:rPr>
                <w:rFonts w:ascii="Microsoft YaHei" w:hAnsi="Microsoft YaHei" w:eastAsia="Microsoft YaHei"/>
                <w:b w:val="0"/>
                <w:sz w:val="17"/>
              </w:rPr>
              <w:t>L3</w:t>
            </w:r>
          </w:p>
        </w:tc>
        <w:tc>
          <w:tcPr>
            <w:tcW w:type="dxa" w:w="2160"/>
            <w:vAlign w:val="center"/>
          </w:tcPr>
          <w:p>
            <w:pPr>
              <w:spacing w:after="0"/>
            </w:pPr>
            <w:r/>
            <w:r>
              <w:rPr>
                <w:rFonts w:ascii="Microsoft YaHei" w:hAnsi="Microsoft YaHei" w:eastAsia="Microsoft YaHei"/>
                <w:b w:val="0"/>
                <w:sz w:val="17"/>
              </w:rPr>
              <w:t>BLK + NTF：阻断并通知客户。</w:t>
            </w:r>
          </w:p>
        </w:tc>
      </w:tr>
      <w:tr>
        <w:tc>
          <w:tcPr>
            <w:tcW w:type="dxa" w:w="1152"/>
            <w:shd w:fill="F3F7FA"/>
            <w:vAlign w:val="center"/>
          </w:tcPr>
          <w:p>
            <w:pPr>
              <w:spacing w:after="0"/>
            </w:pPr>
            <w:r/>
            <w:r>
              <w:rPr>
                <w:rFonts w:ascii="Microsoft YaHei" w:hAnsi="Microsoft YaHei" w:eastAsia="Microsoft YaHei"/>
                <w:b w:val="0"/>
                <w:sz w:val="17"/>
              </w:rPr>
              <w:t>FRA-S01</w:t>
            </w:r>
          </w:p>
        </w:tc>
        <w:tc>
          <w:tcPr>
            <w:tcW w:type="dxa" w:w="1584"/>
            <w:shd w:fill="F3F7FA"/>
            <w:vAlign w:val="center"/>
          </w:tcPr>
          <w:p>
            <w:pPr>
              <w:spacing w:after="0"/>
            </w:pPr>
            <w:r/>
            <w:r>
              <w:rPr>
                <w:rFonts w:ascii="Microsoft YaHei" w:hAnsi="Microsoft YaHei" w:eastAsia="Microsoft YaHei"/>
                <w:b w:val="0"/>
                <w:sz w:val="17"/>
              </w:rPr>
              <w:t>盗刷组合</w:t>
            </w:r>
          </w:p>
        </w:tc>
        <w:tc>
          <w:tcPr>
            <w:tcW w:type="dxa" w:w="3528"/>
            <w:shd w:fill="F3F7FA"/>
            <w:vAlign w:val="center"/>
          </w:tcPr>
          <w:p>
            <w:pPr>
              <w:spacing w:after="0"/>
            </w:pPr>
            <w:r/>
            <w:r>
              <w:rPr>
                <w:rFonts w:ascii="Microsoft YaHei" w:hAnsi="Microsoft YaHei" w:eastAsia="Microsoft YaHei"/>
                <w:b w:val="0"/>
                <w:sz w:val="17"/>
              </w:rPr>
              <w:t>新卡或休眠激活后，叠加夜间、跨区域、线上无卡中至少两项。</w:t>
            </w:r>
          </w:p>
        </w:tc>
        <w:tc>
          <w:tcPr>
            <w:tcW w:type="dxa" w:w="1944"/>
            <w:shd w:fill="F3F7FA"/>
            <w:vAlign w:val="center"/>
          </w:tcPr>
          <w:p>
            <w:pPr>
              <w:spacing w:after="0"/>
            </w:pPr>
            <w:r/>
            <w:r>
              <w:rPr>
                <w:rFonts w:ascii="Microsoft YaHei" w:hAnsi="Microsoft YaHei" w:eastAsia="Microsoft YaHei"/>
                <w:b w:val="0"/>
                <w:sz w:val="17"/>
              </w:rPr>
              <w:t>模型分 &gt;= 0.80。</w:t>
            </w:r>
          </w:p>
        </w:tc>
        <w:tc>
          <w:tcPr>
            <w:tcW w:type="dxa" w:w="648"/>
            <w:shd w:fill="F3F7FA"/>
            <w:vAlign w:val="center"/>
          </w:tcPr>
          <w:p>
            <w:pPr>
              <w:spacing w:after="0"/>
            </w:pPr>
            <w:r/>
            <w:r>
              <w:rPr>
                <w:rFonts w:ascii="Microsoft YaHei" w:hAnsi="Microsoft YaHei" w:eastAsia="Microsoft YaHei"/>
                <w:b w:val="0"/>
                <w:sz w:val="17"/>
              </w:rPr>
              <w:t>L3</w:t>
            </w:r>
          </w:p>
        </w:tc>
        <w:tc>
          <w:tcPr>
            <w:tcW w:type="dxa" w:w="2160"/>
            <w:shd w:fill="F3F7FA"/>
            <w:vAlign w:val="center"/>
          </w:tcPr>
          <w:p>
            <w:pPr>
              <w:spacing w:after="0"/>
            </w:pPr>
            <w:r/>
            <w:r>
              <w:rPr>
                <w:rFonts w:ascii="Microsoft YaHei" w:hAnsi="Microsoft YaHei" w:eastAsia="Microsoft YaHei"/>
                <w:b w:val="0"/>
                <w:sz w:val="17"/>
              </w:rPr>
              <w:t>BLK + REV：优先阻断与人工复核。</w:t>
            </w:r>
          </w:p>
        </w:tc>
      </w:tr>
    </w:tbl>
    <w:p>
      <w:pPr>
        <w:spacing w:after="100"/>
      </w:pPr>
    </w:p>
    <w:p>
      <w:pPr>
        <w:spacing w:after="100"/>
      </w:pPr>
      <w:r>
        <w:t>参数使用说明：小额试探与短时高频规则的交易笔数、时间窗和金额应按客群、卡产品、渠道及客户历史行为分层配置；大额突增规则应优先使用客户历史分位数或历史均额倍数，固定金额仅用于兜底。夜间规则与地区、境外无卡和限额等安全锁共同使用时，客户安全锁优先于模型和行为规则。</w:t>
      </w:r>
    </w:p>
    <w:p>
      <w:pPr>
        <w:pStyle w:val="Heading1"/>
        <w:spacing w:after="100"/>
      </w:pPr>
      <w:r>
        <w:t>6 同等级不同处置</w:t>
      </w:r>
    </w:p>
    <w:tbl>
      <w:tblPr>
        <w:tblStyle w:val="TableGrid"/>
        <w:tblW w:type="auto" w:w="0"/>
        <w:jc w:val="center"/>
        <w:tblLook w:firstColumn="1" w:firstRow="1" w:lastColumn="0" w:lastRow="0" w:noHBand="0" w:noVBand="1" w:val="04A0"/>
      </w:tblPr>
      <w:tblGrid>
        <w:gridCol w:w="2995"/>
        <w:gridCol w:w="2995"/>
        <w:gridCol w:w="2995"/>
        <w:gridCol w:w="2995"/>
        <w:gridCol w:w="2995"/>
      </w:tblGrid>
      <w:tr>
        <w:tc>
          <w:tcPr>
            <w:tcW w:type="dxa" w:w="648"/>
            <w:shd w:fill="1F4E78"/>
            <w:vAlign w:val="center"/>
          </w:tcPr>
          <w:p>
            <w:pPr>
              <w:spacing w:after="0"/>
            </w:pPr>
            <w:r/>
            <w:r>
              <w:rPr>
                <w:rFonts w:ascii="Microsoft YaHei" w:hAnsi="Microsoft YaHei" w:eastAsia="Microsoft YaHei"/>
                <w:b/>
                <w:color w:val="FFFFFF"/>
                <w:sz w:val="17"/>
              </w:rPr>
              <w:t>等级</w:t>
            </w:r>
          </w:p>
        </w:tc>
        <w:tc>
          <w:tcPr>
            <w:tcW w:type="dxa" w:w="1224"/>
            <w:shd w:fill="1F4E78"/>
            <w:vAlign w:val="center"/>
          </w:tcPr>
          <w:p>
            <w:pPr>
              <w:spacing w:after="0"/>
            </w:pPr>
            <w:r/>
            <w:r>
              <w:rPr>
                <w:rFonts w:ascii="Microsoft YaHei" w:hAnsi="Microsoft YaHei" w:eastAsia="Microsoft YaHei"/>
                <w:b/>
                <w:color w:val="FFFFFF"/>
                <w:sz w:val="17"/>
              </w:rPr>
              <w:t>风险编号</w:t>
            </w:r>
          </w:p>
        </w:tc>
        <w:tc>
          <w:tcPr>
            <w:tcW w:type="dxa" w:w="2520"/>
            <w:shd w:fill="1F4E78"/>
            <w:vAlign w:val="center"/>
          </w:tcPr>
          <w:p>
            <w:pPr>
              <w:spacing w:after="0"/>
            </w:pPr>
            <w:r/>
            <w:r>
              <w:rPr>
                <w:rFonts w:ascii="Microsoft YaHei" w:hAnsi="Microsoft YaHei" w:eastAsia="Microsoft YaHei"/>
                <w:b/>
                <w:color w:val="FFFFFF"/>
                <w:sz w:val="17"/>
              </w:rPr>
              <w:t>差异</w:t>
            </w:r>
          </w:p>
        </w:tc>
        <w:tc>
          <w:tcPr>
            <w:tcW w:type="dxa" w:w="2880"/>
            <w:shd w:fill="1F4E78"/>
            <w:vAlign w:val="center"/>
          </w:tcPr>
          <w:p>
            <w:pPr>
              <w:spacing w:after="0"/>
            </w:pPr>
            <w:r/>
            <w:r>
              <w:rPr>
                <w:rFonts w:ascii="Microsoft YaHei" w:hAnsi="Microsoft YaHei" w:eastAsia="Microsoft YaHei"/>
                <w:b/>
                <w:color w:val="FFFFFF"/>
                <w:sz w:val="17"/>
              </w:rPr>
              <w:t>客户侧动作</w:t>
            </w:r>
          </w:p>
        </w:tc>
        <w:tc>
          <w:tcPr>
            <w:tcW w:type="dxa" w:w="2880"/>
            <w:shd w:fill="1F4E78"/>
            <w:vAlign w:val="center"/>
          </w:tcPr>
          <w:p>
            <w:pPr>
              <w:spacing w:after="0"/>
            </w:pPr>
            <w:r/>
            <w:r>
              <w:rPr>
                <w:rFonts w:ascii="Microsoft YaHei" w:hAnsi="Microsoft YaHei" w:eastAsia="Microsoft YaHei"/>
                <w:b/>
                <w:color w:val="FFFFFF"/>
                <w:sz w:val="17"/>
              </w:rPr>
              <w:t>内部动作</w:t>
            </w:r>
          </w:p>
        </w:tc>
      </w:tr>
      <w:tr>
        <w:tc>
          <w:tcPr>
            <w:tcW w:type="dxa" w:w="648"/>
            <w:vAlign w:val="center"/>
          </w:tcPr>
          <w:p>
            <w:pPr>
              <w:spacing w:after="0"/>
            </w:pPr>
            <w:r/>
            <w:r>
              <w:rPr>
                <w:rFonts w:ascii="Microsoft YaHei" w:hAnsi="Microsoft YaHei" w:eastAsia="Microsoft YaHei"/>
                <w:b w:val="0"/>
                <w:sz w:val="17"/>
              </w:rPr>
              <w:t>L3</w:t>
            </w:r>
          </w:p>
        </w:tc>
        <w:tc>
          <w:tcPr>
            <w:tcW w:type="dxa" w:w="1224"/>
            <w:vAlign w:val="center"/>
          </w:tcPr>
          <w:p>
            <w:pPr>
              <w:spacing w:after="0"/>
            </w:pPr>
            <w:r/>
            <w:r>
              <w:rPr>
                <w:rFonts w:ascii="Microsoft YaHei" w:hAnsi="Microsoft YaHei" w:eastAsia="Microsoft YaHei"/>
                <w:b w:val="0"/>
                <w:sz w:val="17"/>
              </w:rPr>
              <w:t>FRA-S01</w:t>
            </w:r>
          </w:p>
        </w:tc>
        <w:tc>
          <w:tcPr>
            <w:tcW w:type="dxa" w:w="2520"/>
            <w:vAlign w:val="center"/>
          </w:tcPr>
          <w:p>
            <w:pPr>
              <w:spacing w:after="0"/>
            </w:pPr>
            <w:r/>
            <w:r>
              <w:rPr>
                <w:rFonts w:ascii="Microsoft YaHei" w:hAnsi="Microsoft YaHei" w:eastAsia="Microsoft YaHei"/>
                <w:b w:val="0"/>
                <w:sz w:val="17"/>
              </w:rPr>
              <w:t>疑似盗刷且未确认非本人。</w:t>
            </w:r>
          </w:p>
        </w:tc>
        <w:tc>
          <w:tcPr>
            <w:tcW w:type="dxa" w:w="2880"/>
            <w:vAlign w:val="center"/>
          </w:tcPr>
          <w:p>
            <w:pPr>
              <w:spacing w:after="0"/>
            </w:pPr>
            <w:r/>
            <w:r>
              <w:rPr>
                <w:rFonts w:ascii="Microsoft YaHei" w:hAnsi="Microsoft YaHei" w:eastAsia="Microsoft YaHei"/>
                <w:b w:val="0"/>
                <w:sz w:val="17"/>
              </w:rPr>
              <w:t>告知为交易安全核验，不披露具体规则。</w:t>
            </w:r>
          </w:p>
        </w:tc>
        <w:tc>
          <w:tcPr>
            <w:tcW w:type="dxa" w:w="2880"/>
            <w:vAlign w:val="center"/>
          </w:tcPr>
          <w:p>
            <w:pPr>
              <w:spacing w:after="0"/>
            </w:pPr>
            <w:r/>
            <w:r>
              <w:rPr>
                <w:rFonts w:ascii="Microsoft YaHei" w:hAnsi="Microsoft YaHei" w:eastAsia="Microsoft YaHei"/>
                <w:b w:val="0"/>
                <w:sz w:val="17"/>
              </w:rPr>
              <w:t>阻断/维持管控，人工核验交易真实性。</w:t>
            </w:r>
          </w:p>
        </w:tc>
      </w:tr>
      <w:tr>
        <w:tc>
          <w:tcPr>
            <w:tcW w:type="dxa" w:w="648"/>
            <w:shd w:fill="F3F7FA"/>
            <w:vAlign w:val="center"/>
          </w:tcPr>
          <w:p>
            <w:pPr>
              <w:spacing w:after="0"/>
            </w:pPr>
            <w:r/>
            <w:r>
              <w:rPr>
                <w:rFonts w:ascii="Microsoft YaHei" w:hAnsi="Microsoft YaHei" w:eastAsia="Microsoft YaHei"/>
                <w:b w:val="0"/>
                <w:sz w:val="17"/>
              </w:rPr>
              <w:t>L3</w:t>
            </w:r>
          </w:p>
        </w:tc>
        <w:tc>
          <w:tcPr>
            <w:tcW w:type="dxa" w:w="1224"/>
            <w:shd w:fill="F3F7FA"/>
            <w:vAlign w:val="center"/>
          </w:tcPr>
          <w:p>
            <w:pPr>
              <w:spacing w:after="0"/>
            </w:pPr>
            <w:r/>
            <w:r>
              <w:rPr>
                <w:rFonts w:ascii="Microsoft YaHei" w:hAnsi="Microsoft YaHei" w:eastAsia="Microsoft YaHei"/>
                <w:b w:val="0"/>
                <w:sz w:val="17"/>
              </w:rPr>
              <w:t>TEL-S01</w:t>
            </w:r>
          </w:p>
        </w:tc>
        <w:tc>
          <w:tcPr>
            <w:tcW w:type="dxa" w:w="2520"/>
            <w:shd w:fill="F3F7FA"/>
            <w:vAlign w:val="center"/>
          </w:tcPr>
          <w:p>
            <w:pPr>
              <w:spacing w:after="0"/>
            </w:pPr>
            <w:r/>
            <w:r>
              <w:rPr>
                <w:rFonts w:ascii="Microsoft YaHei" w:hAnsi="Microsoft YaHei" w:eastAsia="Microsoft YaHei"/>
                <w:b w:val="0"/>
                <w:sz w:val="17"/>
              </w:rPr>
              <w:t>侧重受骗诱导线索。</w:t>
            </w:r>
          </w:p>
        </w:tc>
        <w:tc>
          <w:tcPr>
            <w:tcW w:type="dxa" w:w="2880"/>
            <w:shd w:fill="F3F7FA"/>
            <w:vAlign w:val="center"/>
          </w:tcPr>
          <w:p>
            <w:pPr>
              <w:spacing w:after="0"/>
            </w:pPr>
            <w:r/>
            <w:r>
              <w:rPr>
                <w:rFonts w:ascii="Microsoft YaHei" w:hAnsi="Microsoft YaHei" w:eastAsia="Microsoft YaHei"/>
                <w:b w:val="0"/>
                <w:sz w:val="17"/>
              </w:rPr>
              <w:t>提示通过官方渠道核验，不点击陌生链接。</w:t>
            </w:r>
          </w:p>
        </w:tc>
        <w:tc>
          <w:tcPr>
            <w:tcW w:type="dxa" w:w="2880"/>
            <w:shd w:fill="F3F7FA"/>
            <w:vAlign w:val="center"/>
          </w:tcPr>
          <w:p>
            <w:pPr>
              <w:spacing w:after="0"/>
            </w:pPr>
            <w:r/>
            <w:r>
              <w:rPr>
                <w:rFonts w:ascii="Microsoft YaHei" w:hAnsi="Microsoft YaHei" w:eastAsia="Microsoft YaHei"/>
                <w:b w:val="0"/>
                <w:sz w:val="17"/>
              </w:rPr>
              <w:t>风险外呼、记录客户反馈，必要时协助冻结。</w:t>
            </w:r>
          </w:p>
        </w:tc>
      </w:tr>
      <w:tr>
        <w:tc>
          <w:tcPr>
            <w:tcW w:type="dxa" w:w="648"/>
            <w:vAlign w:val="center"/>
          </w:tcPr>
          <w:p>
            <w:pPr>
              <w:spacing w:after="0"/>
            </w:pPr>
            <w:r/>
            <w:r>
              <w:rPr>
                <w:rFonts w:ascii="Microsoft YaHei" w:hAnsi="Microsoft YaHei" w:eastAsia="Microsoft YaHei"/>
                <w:b w:val="0"/>
                <w:sz w:val="17"/>
              </w:rPr>
              <w:t>L3</w:t>
            </w:r>
          </w:p>
        </w:tc>
        <w:tc>
          <w:tcPr>
            <w:tcW w:type="dxa" w:w="1224"/>
            <w:vAlign w:val="center"/>
          </w:tcPr>
          <w:p>
            <w:pPr>
              <w:spacing w:after="0"/>
            </w:pPr>
            <w:r/>
            <w:r>
              <w:rPr>
                <w:rFonts w:ascii="Microsoft YaHei" w:hAnsi="Microsoft YaHei" w:eastAsia="Microsoft YaHei"/>
                <w:b w:val="0"/>
                <w:sz w:val="17"/>
              </w:rPr>
              <w:t>SEC-L01</w:t>
            </w:r>
          </w:p>
        </w:tc>
        <w:tc>
          <w:tcPr>
            <w:tcW w:type="dxa" w:w="2520"/>
            <w:vAlign w:val="center"/>
          </w:tcPr>
          <w:p>
            <w:pPr>
              <w:spacing w:after="0"/>
            </w:pPr>
            <w:r/>
            <w:r>
              <w:rPr>
                <w:rFonts w:ascii="Microsoft YaHei" w:hAnsi="Microsoft YaHei" w:eastAsia="Microsoft YaHei"/>
                <w:b w:val="0"/>
                <w:sz w:val="17"/>
              </w:rPr>
              <w:t>由客户已设置的安全锁触发。</w:t>
            </w:r>
          </w:p>
        </w:tc>
        <w:tc>
          <w:tcPr>
            <w:tcW w:type="dxa" w:w="2880"/>
            <w:vAlign w:val="center"/>
          </w:tcPr>
          <w:p>
            <w:pPr>
              <w:spacing w:after="0"/>
            </w:pPr>
            <w:r/>
            <w:r>
              <w:rPr>
                <w:rFonts w:ascii="Microsoft YaHei" w:hAnsi="Microsoft YaHei" w:eastAsia="Microsoft YaHei"/>
                <w:b w:val="0"/>
                <w:sz w:val="17"/>
              </w:rPr>
              <w:t>通知交易因安全锁未通过；客户可在官方渠道调整后重试。</w:t>
            </w:r>
          </w:p>
        </w:tc>
        <w:tc>
          <w:tcPr>
            <w:tcW w:type="dxa" w:w="2880"/>
            <w:vAlign w:val="center"/>
          </w:tcPr>
          <w:p>
            <w:pPr>
              <w:spacing w:after="0"/>
            </w:pPr>
            <w:r/>
            <w:r>
              <w:rPr>
                <w:rFonts w:ascii="Microsoft YaHei" w:hAnsi="Microsoft YaHei" w:eastAsia="Microsoft YaHei"/>
                <w:b w:val="0"/>
                <w:sz w:val="17"/>
              </w:rPr>
              <w:t>保留安全锁命中和通知记录。</w:t>
            </w:r>
          </w:p>
        </w:tc>
      </w:tr>
      <w:tr>
        <w:tc>
          <w:tcPr>
            <w:tcW w:type="dxa" w:w="648"/>
            <w:shd w:fill="F3F7FA"/>
            <w:vAlign w:val="center"/>
          </w:tcPr>
          <w:p>
            <w:pPr>
              <w:spacing w:after="0"/>
            </w:pPr>
            <w:r/>
            <w:r>
              <w:rPr>
                <w:rFonts w:ascii="Microsoft YaHei" w:hAnsi="Microsoft YaHei" w:eastAsia="Microsoft YaHei"/>
                <w:b w:val="0"/>
                <w:sz w:val="17"/>
              </w:rPr>
              <w:t>L3</w:t>
            </w:r>
          </w:p>
        </w:tc>
        <w:tc>
          <w:tcPr>
            <w:tcW w:type="dxa" w:w="1224"/>
            <w:shd w:fill="F3F7FA"/>
            <w:vAlign w:val="center"/>
          </w:tcPr>
          <w:p>
            <w:pPr>
              <w:spacing w:after="0"/>
            </w:pPr>
            <w:r/>
            <w:r>
              <w:rPr>
                <w:rFonts w:ascii="Microsoft YaHei" w:hAnsi="Microsoft YaHei" w:eastAsia="Microsoft YaHei"/>
                <w:b w:val="0"/>
                <w:sz w:val="17"/>
              </w:rPr>
              <w:t>AML-S01</w:t>
            </w:r>
          </w:p>
        </w:tc>
        <w:tc>
          <w:tcPr>
            <w:tcW w:type="dxa" w:w="2520"/>
            <w:shd w:fill="F3F7FA"/>
            <w:vAlign w:val="center"/>
          </w:tcPr>
          <w:p>
            <w:pPr>
              <w:spacing w:after="0"/>
            </w:pPr>
            <w:r/>
            <w:r>
              <w:rPr>
                <w:rFonts w:ascii="Microsoft YaHei" w:hAnsi="Microsoft YaHei" w:eastAsia="Microsoft YaHei"/>
                <w:b w:val="0"/>
                <w:sz w:val="17"/>
              </w:rPr>
              <w:t>侧重交易背景和资金用途。</w:t>
            </w:r>
          </w:p>
        </w:tc>
        <w:tc>
          <w:tcPr>
            <w:tcW w:type="dxa" w:w="2880"/>
            <w:shd w:fill="F3F7FA"/>
            <w:vAlign w:val="center"/>
          </w:tcPr>
          <w:p>
            <w:pPr>
              <w:spacing w:after="0"/>
            </w:pPr>
            <w:r/>
            <w:r>
              <w:rPr>
                <w:rFonts w:ascii="Microsoft YaHei" w:hAnsi="Microsoft YaHei" w:eastAsia="Microsoft YaHei"/>
                <w:b w:val="0"/>
                <w:sz w:val="17"/>
              </w:rPr>
              <w:t>不直接下结论，按合规话术核实。</w:t>
            </w:r>
          </w:p>
        </w:tc>
        <w:tc>
          <w:tcPr>
            <w:tcW w:type="dxa" w:w="2880"/>
            <w:shd w:fill="F3F7FA"/>
            <w:vAlign w:val="center"/>
          </w:tcPr>
          <w:p>
            <w:pPr>
              <w:spacing w:after="0"/>
            </w:pPr>
            <w:r/>
            <w:r>
              <w:rPr>
                <w:rFonts w:ascii="Microsoft YaHei" w:hAnsi="Microsoft YaHei" w:eastAsia="Microsoft YaHei"/>
                <w:b w:val="0"/>
                <w:sz w:val="17"/>
              </w:rPr>
              <w:t>进入可疑行为核验流程。</w:t>
            </w:r>
          </w:p>
        </w:tc>
      </w:tr>
      <w:tr>
        <w:tc>
          <w:tcPr>
            <w:tcW w:type="dxa" w:w="648"/>
            <w:vAlign w:val="center"/>
          </w:tcPr>
          <w:p>
            <w:pPr>
              <w:spacing w:after="0"/>
            </w:pPr>
            <w:r/>
            <w:r>
              <w:rPr>
                <w:rFonts w:ascii="Microsoft YaHei" w:hAnsi="Microsoft YaHei" w:eastAsia="Microsoft YaHei"/>
                <w:b w:val="0"/>
                <w:sz w:val="17"/>
              </w:rPr>
              <w:t>L2</w:t>
            </w:r>
          </w:p>
        </w:tc>
        <w:tc>
          <w:tcPr>
            <w:tcW w:type="dxa" w:w="1224"/>
            <w:vAlign w:val="center"/>
          </w:tcPr>
          <w:p>
            <w:pPr>
              <w:spacing w:after="0"/>
            </w:pPr>
            <w:r/>
            <w:r>
              <w:rPr>
                <w:rFonts w:ascii="Microsoft YaHei" w:hAnsi="Microsoft YaHei" w:eastAsia="Microsoft YaHei"/>
                <w:b w:val="0"/>
                <w:sz w:val="17"/>
              </w:rPr>
              <w:t>TRX-M01</w:t>
            </w:r>
          </w:p>
        </w:tc>
        <w:tc>
          <w:tcPr>
            <w:tcW w:type="dxa" w:w="2520"/>
            <w:vAlign w:val="center"/>
          </w:tcPr>
          <w:p>
            <w:pPr>
              <w:spacing w:after="0"/>
            </w:pPr>
            <w:r/>
            <w:r>
              <w:rPr>
                <w:rFonts w:ascii="Microsoft YaHei" w:hAnsi="Microsoft YaHei" w:eastAsia="Microsoft YaHei"/>
                <w:b w:val="0"/>
                <w:sz w:val="17"/>
              </w:rPr>
              <w:t>交易异常但证据不足。</w:t>
            </w:r>
          </w:p>
        </w:tc>
        <w:tc>
          <w:tcPr>
            <w:tcW w:type="dxa" w:w="2880"/>
            <w:vAlign w:val="center"/>
          </w:tcPr>
          <w:p>
            <w:pPr>
              <w:spacing w:after="0"/>
            </w:pPr>
            <w:r/>
            <w:r>
              <w:rPr>
                <w:rFonts w:ascii="Microsoft YaHei" w:hAnsi="Microsoft YaHei" w:eastAsia="Microsoft YaHei"/>
                <w:b w:val="0"/>
                <w:sz w:val="17"/>
              </w:rPr>
              <w:t>触发加强认证或安全提示。</w:t>
            </w:r>
          </w:p>
        </w:tc>
        <w:tc>
          <w:tcPr>
            <w:tcW w:type="dxa" w:w="2880"/>
            <w:vAlign w:val="center"/>
          </w:tcPr>
          <w:p>
            <w:pPr>
              <w:spacing w:after="0"/>
            </w:pPr>
            <w:r/>
            <w:r>
              <w:rPr>
                <w:rFonts w:ascii="Microsoft YaHei" w:hAnsi="Microsoft YaHei" w:eastAsia="Microsoft YaHei"/>
                <w:b w:val="0"/>
                <w:sz w:val="17"/>
              </w:rPr>
              <w:t>人工复核或认证后放行。</w:t>
            </w:r>
          </w:p>
        </w:tc>
      </w:tr>
      <w:tr>
        <w:tc>
          <w:tcPr>
            <w:tcW w:type="dxa" w:w="648"/>
            <w:shd w:fill="F3F7FA"/>
            <w:vAlign w:val="center"/>
          </w:tcPr>
          <w:p>
            <w:pPr>
              <w:spacing w:after="0"/>
            </w:pPr>
            <w:r/>
            <w:r>
              <w:rPr>
                <w:rFonts w:ascii="Microsoft YaHei" w:hAnsi="Microsoft YaHei" w:eastAsia="Microsoft YaHei"/>
                <w:b w:val="0"/>
                <w:sz w:val="17"/>
              </w:rPr>
              <w:t>L2</w:t>
            </w:r>
          </w:p>
        </w:tc>
        <w:tc>
          <w:tcPr>
            <w:tcW w:type="dxa" w:w="1224"/>
            <w:shd w:fill="F3F7FA"/>
            <w:vAlign w:val="center"/>
          </w:tcPr>
          <w:p>
            <w:pPr>
              <w:spacing w:after="0"/>
            </w:pPr>
            <w:r/>
            <w:r>
              <w:rPr>
                <w:rFonts w:ascii="Microsoft YaHei" w:hAnsi="Microsoft YaHei" w:eastAsia="Microsoft YaHei"/>
                <w:b w:val="0"/>
                <w:sz w:val="17"/>
              </w:rPr>
              <w:t>CRD-P01</w:t>
            </w:r>
          </w:p>
        </w:tc>
        <w:tc>
          <w:tcPr>
            <w:tcW w:type="dxa" w:w="2520"/>
            <w:shd w:fill="F3F7FA"/>
            <w:vAlign w:val="center"/>
          </w:tcPr>
          <w:p>
            <w:pPr>
              <w:spacing w:after="0"/>
            </w:pPr>
            <w:r/>
            <w:r>
              <w:rPr>
                <w:rFonts w:ascii="Microsoft YaHei" w:hAnsi="Microsoft YaHei" w:eastAsia="Microsoft YaHei"/>
                <w:b w:val="0"/>
                <w:sz w:val="17"/>
              </w:rPr>
              <w:t>信用履约关注，不属于欺诈。</w:t>
            </w:r>
          </w:p>
        </w:tc>
        <w:tc>
          <w:tcPr>
            <w:tcW w:type="dxa" w:w="2880"/>
            <w:shd w:fill="F3F7FA"/>
            <w:vAlign w:val="center"/>
          </w:tcPr>
          <w:p>
            <w:pPr>
              <w:spacing w:after="0"/>
            </w:pPr>
            <w:r/>
            <w:r>
              <w:rPr>
                <w:rFonts w:ascii="Microsoft YaHei" w:hAnsi="Microsoft YaHei" w:eastAsia="Microsoft YaHei"/>
                <w:b w:val="0"/>
                <w:sz w:val="17"/>
              </w:rPr>
              <w:t>提供还款提醒和账务查询渠道。</w:t>
            </w:r>
          </w:p>
        </w:tc>
        <w:tc>
          <w:tcPr>
            <w:tcW w:type="dxa" w:w="2880"/>
            <w:shd w:fill="F3F7FA"/>
            <w:vAlign w:val="center"/>
          </w:tcPr>
          <w:p>
            <w:pPr>
              <w:spacing w:after="0"/>
            </w:pPr>
            <w:r/>
            <w:r>
              <w:rPr>
                <w:rFonts w:ascii="Microsoft YaHei" w:hAnsi="Microsoft YaHei" w:eastAsia="Microsoft YaHei"/>
                <w:b w:val="0"/>
                <w:sz w:val="17"/>
              </w:rPr>
              <w:t>贷后提醒；按授权与合规流程处理信用信息。</w:t>
            </w:r>
          </w:p>
        </w:tc>
      </w:tr>
    </w:tbl>
    <w:p>
      <w:pPr>
        <w:spacing w:after="100"/>
      </w:pPr>
    </w:p>
    <w:p>
      <w:pPr>
        <w:pStyle w:val="Heading1"/>
        <w:spacing w:after="100"/>
      </w:pPr>
      <w:r>
        <w:t>7 数据字段与审计记录</w:t>
      </w:r>
    </w:p>
    <w:p>
      <w:pPr>
        <w:spacing w:after="100"/>
      </w:pPr>
      <w:r>
        <w:t>每笔记录至少保留：客户ID、风险主编号、风险标签、风险等级、处置代码、模型分、规则命中列表、交易和时间窗口特征（近10分钟笔数、近10分钟累计金额、历史单笔均额、金额偏离倍数）、安全锁状态、当前逾期天数、最低还款状态、额度使用率、人工结论、规则版本和处理时间。一个客户可同时具有“信用履约关注”和“涉嫌盗刷”等标签；欺诈与账户安全标签优先于履约提醒。</w:t>
      </w:r>
    </w:p>
    <w:p>
      <w:pPr>
        <w:pStyle w:val="Heading1"/>
        <w:spacing w:after="100"/>
      </w:pPr>
      <w:r>
        <w:t>8 公开资料依据</w:t>
      </w:r>
    </w:p>
    <w:tbl>
      <w:tblPr>
        <w:tblStyle w:val="TableGrid"/>
        <w:tblW w:type="auto" w:w="0"/>
        <w:jc w:val="center"/>
        <w:tblLook w:firstColumn="1" w:firstRow="1" w:lastColumn="0" w:lastRow="0" w:noHBand="0" w:noVBand="1" w:val="04A0"/>
      </w:tblPr>
      <w:tblGrid>
        <w:gridCol w:w="7488"/>
        <w:gridCol w:w="7488"/>
      </w:tblGrid>
      <w:tr>
        <w:tc>
          <w:tcPr>
            <w:tcW w:type="dxa" w:w="6768"/>
            <w:shd w:fill="1F4E78"/>
            <w:vAlign w:val="center"/>
          </w:tcPr>
          <w:p>
            <w:pPr>
              <w:spacing w:after="0"/>
            </w:pPr>
            <w:r/>
            <w:r>
              <w:rPr>
                <w:rFonts w:ascii="Microsoft YaHei" w:hAnsi="Microsoft YaHei" w:eastAsia="Microsoft YaHei"/>
                <w:b/>
                <w:color w:val="FFFFFF"/>
                <w:sz w:val="17"/>
              </w:rPr>
              <w:t>资料</w:t>
            </w:r>
          </w:p>
        </w:tc>
        <w:tc>
          <w:tcPr>
            <w:tcW w:type="dxa" w:w="3384"/>
            <w:shd w:fill="1F4E78"/>
            <w:vAlign w:val="center"/>
          </w:tcPr>
          <w:p>
            <w:pPr>
              <w:spacing w:after="0"/>
            </w:pPr>
            <w:r/>
            <w:r>
              <w:rPr>
                <w:rFonts w:ascii="Microsoft YaHei" w:hAnsi="Microsoft YaHei" w:eastAsia="Microsoft YaHei"/>
                <w:b/>
                <w:color w:val="FFFFFF"/>
                <w:sz w:val="17"/>
              </w:rPr>
              <w:t>对应规则点</w:t>
            </w:r>
          </w:p>
        </w:tc>
      </w:tr>
      <w:tr>
        <w:tc>
          <w:tcPr>
            <w:tcW w:type="dxa" w:w="6768"/>
            <w:vAlign w:val="center"/>
          </w:tcPr>
          <w:p>
            <w:pPr>
              <w:spacing w:after="0"/>
            </w:pPr>
            <w:r/>
            <w:r>
              <w:rPr>
                <w:rFonts w:ascii="Microsoft YaHei" w:hAnsi="Microsoft YaHei" w:eastAsia="Microsoft YaHei"/>
                <w:b w:val="0"/>
                <w:sz w:val="17"/>
              </w:rPr>
              <w:t>中国工商银行 工银信用卡账户安全锁（公开页面，访问日期2026-10-15）https://wap.icbc.com.cn/icbc/信用卡/贴心服务/工银信用卡账户安全锁.htm</w:t>
            </w:r>
          </w:p>
        </w:tc>
        <w:tc>
          <w:tcPr>
            <w:tcW w:type="dxa" w:w="3384"/>
            <w:vAlign w:val="center"/>
          </w:tcPr>
          <w:p>
            <w:pPr>
              <w:spacing w:after="0"/>
            </w:pPr>
            <w:r/>
            <w:r>
              <w:rPr>
                <w:rFonts w:ascii="Microsoft YaHei" w:hAnsi="Microsoft YaHei" w:eastAsia="Microsoft YaHei"/>
                <w:b w:val="0"/>
                <w:sz w:val="17"/>
              </w:rPr>
              <w:t>境外锁、地区锁、夜间锁、境外无卡支付锁、限额锁；触发后阻断并通知。</w:t>
            </w:r>
          </w:p>
        </w:tc>
      </w:tr>
      <w:tr>
        <w:tc>
          <w:tcPr>
            <w:tcW w:type="dxa" w:w="6768"/>
            <w:shd w:fill="F3F7FA"/>
            <w:vAlign w:val="center"/>
          </w:tcPr>
          <w:p>
            <w:pPr>
              <w:spacing w:after="0"/>
            </w:pPr>
            <w:r/>
            <w:r>
              <w:rPr>
                <w:rFonts w:ascii="Microsoft YaHei" w:hAnsi="Microsoft YaHei" w:eastAsia="Microsoft YaHei"/>
                <w:b w:val="0"/>
                <w:sz w:val="17"/>
              </w:rPr>
              <w:t>中国工商银行 以案说险 防范电信诈骗（公开页面，访问日期2026-10-15）https://www.icbc.com.cn/page/1271757719095885824.html</w:t>
            </w:r>
          </w:p>
        </w:tc>
        <w:tc>
          <w:tcPr>
            <w:tcW w:type="dxa" w:w="3384"/>
            <w:shd w:fill="F3F7FA"/>
            <w:vAlign w:val="center"/>
          </w:tcPr>
          <w:p>
            <w:pPr>
              <w:spacing w:after="0"/>
            </w:pPr>
            <w:r/>
            <w:r>
              <w:rPr>
                <w:rFonts w:ascii="Microsoft YaHei" w:hAnsi="Microsoft YaHei" w:eastAsia="Microsoft YaHei"/>
                <w:b w:val="0"/>
                <w:sz w:val="17"/>
              </w:rPr>
              <w:t>遇可疑交易或疑似诈骗及时通过官方渠道处理、必要时挂失或冻结。</w:t>
            </w:r>
          </w:p>
        </w:tc>
      </w:tr>
      <w:tr>
        <w:tc>
          <w:tcPr>
            <w:tcW w:type="dxa" w:w="6768"/>
            <w:vAlign w:val="center"/>
          </w:tcPr>
          <w:p>
            <w:pPr>
              <w:spacing w:after="0"/>
            </w:pPr>
            <w:r/>
            <w:r>
              <w:rPr>
                <w:rFonts w:ascii="Microsoft YaHei" w:hAnsi="Microsoft YaHei" w:eastAsia="Microsoft YaHei"/>
                <w:b w:val="0"/>
                <w:sz w:val="17"/>
              </w:rPr>
              <w:t>中国工商银行 牡丹信用卡征信授权书 2026年1月版（公开页面，访问日期2026-10-15）https://www.icbc.com.cn/page/1181897513159852032.html</w:t>
            </w:r>
          </w:p>
        </w:tc>
        <w:tc>
          <w:tcPr>
            <w:tcW w:type="dxa" w:w="3384"/>
            <w:vAlign w:val="center"/>
          </w:tcPr>
          <w:p>
            <w:pPr>
              <w:spacing w:after="0"/>
            </w:pPr>
            <w:r/>
            <w:r>
              <w:rPr>
                <w:rFonts w:ascii="Microsoft YaHei" w:hAnsi="Microsoft YaHei" w:eastAsia="Microsoft YaHei"/>
                <w:b w:val="0"/>
                <w:sz w:val="17"/>
              </w:rPr>
              <w:t>信用卡业务可用于风险监测、贷后管理和风险计量等环节。</w:t>
            </w:r>
          </w:p>
        </w:tc>
      </w:tr>
      <w:tr>
        <w:tc>
          <w:tcPr>
            <w:tcW w:type="dxa" w:w="6768"/>
            <w:shd w:fill="F3F7FA"/>
            <w:vAlign w:val="center"/>
          </w:tcPr>
          <w:p>
            <w:pPr>
              <w:spacing w:after="0"/>
            </w:pPr>
            <w:r/>
            <w:r>
              <w:rPr>
                <w:rFonts w:ascii="Microsoft YaHei" w:hAnsi="Microsoft YaHei" w:eastAsia="Microsoft YaHei"/>
                <w:b w:val="0"/>
                <w:sz w:val="17"/>
              </w:rPr>
              <w:t>中国工商银行 工银信用卡使用指南（公开页面，访问日期2026-10-15）https://www.icbc.com.cn/page/721854095303671836.html</w:t>
            </w:r>
          </w:p>
        </w:tc>
        <w:tc>
          <w:tcPr>
            <w:tcW w:type="dxa" w:w="3384"/>
            <w:shd w:fill="F3F7FA"/>
            <w:vAlign w:val="center"/>
          </w:tcPr>
          <w:p>
            <w:pPr>
              <w:spacing w:after="0"/>
            </w:pPr>
            <w:r/>
            <w:r>
              <w:rPr>
                <w:rFonts w:ascii="Microsoft YaHei" w:hAnsi="Microsoft YaHei" w:eastAsia="Microsoft YaHei"/>
                <w:b w:val="0"/>
                <w:sz w:val="17"/>
              </w:rPr>
              <w:t>未及时足额归还最低还款额产生的逾期信息按规定纳入个人信用记录。</w:t>
            </w:r>
          </w:p>
        </w:tc>
      </w:tr>
    </w:tbl>
    <w:p>
      <w:pPr>
        <w:spacing w:after="100"/>
      </w:pPr>
    </w:p>
    <w:sectPr w:rsidR="00FC693F" w:rsidRPr="0006063C" w:rsidSect="00034616">
      <w:pgSz w:w="16848" w:h="11952"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