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Calibri" w:cs="Calibri" w:eastAsia="Calibri" w:hAnsi="Calibri"/>
          <w:b/>
          <w:bCs/>
          <w:color w:val="8A6212"/>
          <w:spacing w:val="30"/>
          <w:sz w:val="20"/>
          <w:szCs w:val="20"/>
        </w:rPr>
        <w:t xml:space="preserve">ESG REGULATORY BRIEFING</w:t>
      </w:r>
    </w:p>
    <w:p>
      <w:pPr>
        <w:spacing w:after="40"/>
      </w:pPr>
      <w:r>
        <w:rPr>
          <w:rFonts w:ascii="Cambria" w:cs="Cambria" w:eastAsia="Cambria" w:hAnsi="Cambria"/>
          <w:b/>
          <w:bCs/>
          <w:color w:val="1B4332"/>
          <w:sz w:val="44"/>
          <w:szCs w:val="44"/>
        </w:rPr>
        <w:t xml:space="preserve">ESG Regulation and Consumer Packaged Goods</w:t>
      </w:r>
    </w:p>
    <w:p>
      <w:pPr>
        <w:spacing w:after="220"/>
      </w:pPr>
      <w:r>
        <w:rPr>
          <w:rFonts w:ascii="Calibri" w:cs="Calibri" w:eastAsia="Calibri" w:hAnsi="Calibri"/>
          <w:i/>
          <w:iCs/>
          <w:color w:val="5B6B62"/>
          <w:sz w:val="26"/>
          <w:szCs w:val="26"/>
        </w:rPr>
        <w:t xml:space="preserve">Presenter's Guide &amp; Speaking Notes</w:t>
      </w:r>
    </w:p>
    <w:p>
      <w:pPr>
        <w:spacing w:after="60"/>
      </w:pPr>
      <w:r>
        <w:rPr>
          <w:rFonts w:ascii="Calibri" w:cs="Calibri" w:eastAsia="Calibri" w:hAnsi="Calibri"/>
          <w:color w:val="20302A"/>
          <w:sz w:val="19"/>
          <w:szCs w:val="19"/>
        </w:rPr>
        <w:t xml:space="preserve">Companion to CPG_ESG_Regulatory_Briefing.pptx</w:t>
      </w:r>
    </w:p>
    <w:p>
      <w:pPr>
        <w:spacing w:after="60"/>
      </w:pPr>
      <w:r>
        <w:rPr>
          <w:rFonts w:ascii="Calibri" w:cs="Calibri" w:eastAsia="Calibri" w:hAnsi="Calibri"/>
          <w:color w:val="20302A"/>
          <w:sz w:val="19"/>
          <w:szCs w:val="19"/>
        </w:rPr>
        <w:t xml:space="preserve">Target run time: ~7 minutes  (11 slides)</w:t>
      </w:r>
    </w:p>
    <w:p>
      <w:pPr>
        <w:spacing w:after="320"/>
      </w:pPr>
      <w:r>
        <w:rPr>
          <w:rFonts w:ascii="Calibri" w:cs="Calibri" w:eastAsia="Calibri" w:hAnsi="Calibri"/>
          <w:color w:val="20302A"/>
          <w:sz w:val="19"/>
          <w:szCs w:val="19"/>
        </w:rPr>
        <w:t xml:space="preserve">Prepared September 2026</w:t>
      </w:r>
    </w:p>
    <w:p>
      <w:pPr>
        <w:pBdr>
          <w:bottom w:val="single" w:color="CBD9CF" w:sz="6" w:space="1"/>
        </w:pBdr>
        <w:spacing w:after="220" w:before="120"/>
      </w:pPr>
      <w:r>
        <w:rPr>
          <w:sz w:val="2"/>
          <w:szCs w:val="2"/>
        </w:rPr>
        <w:t xml:space="preserve"/>
      </w:r>
    </w:p>
    <w:p>
      <w:pPr>
        <w:spacing w:after="40" w:before="0"/>
      </w:pPr>
      <w:r>
        <w:rPr>
          <w:rFonts w:ascii="Calibri" w:cs="Calibri" w:eastAsia="Calibri" w:hAnsi="Calibri"/>
          <w:b/>
          <w:bCs/>
          <w:color w:val="8A6212"/>
          <w:spacing w:val="20"/>
          <w:sz w:val="17"/>
          <w:szCs w:val="17"/>
        </w:rPr>
        <w:t xml:space="preserve">HOW TO USE THIS GUIDE</w:t>
      </w:r>
    </w:p>
    <w:p>
      <w:pPr>
        <w:spacing w:after="120" w:before="0"/>
      </w:pPr>
      <w:r>
        <w:rPr>
          <w:rFonts w:ascii="Calibri" w:cs="Calibri" w:eastAsia="Calibri" w:hAnsi="Calibri"/>
          <w:color w:val="20302A"/>
          <w:sz w:val="21"/>
          <w:szCs w:val="21"/>
        </w:rPr>
        <w:t xml:space="preserve">This guide mirrors the eleven slides in CPG_ESG_Regulatory_Briefing.pptx, in order. Each section gives you what's on screen, a suggested script, and a timing target, so the full briefing lands at roughly seven minutes at a natural, moderately brisk pace (about 150 words per minute). Reading more deliberately will run closer to 7:30–8:00 — still comfortably “7-minute-ish.”</w:t>
      </w:r>
    </w:p>
    <w:p>
      <w:pPr>
        <w:spacing w:after="0" w:before="0"/>
      </w:pPr>
      <w:r>
        <w:rPr>
          <w:rFonts w:ascii="Calibri" w:cs="Calibri" w:eastAsia="Calibri" w:hAnsi="Calibri"/>
          <w:color w:val="20302A"/>
          <w:sz w:val="21"/>
          <w:szCs w:val="21"/>
        </w:rPr>
        <w:t xml:space="preserve">Treat the scripts as a starting point, not a transcript to memorize — adjust freely to your own voice. Every regulatory date in this guide matches the deck exactly; where a deadline is still proposed rather than finalized (flagged inline), say so rather than presenting it as settled.</w:t>
      </w:r>
    </w:p>
    <w:p>
      <w:r>
        <w:br w:type="page"/>
      </w:r>
    </w:p>
    <w:p>
      <w:pPr>
        <w:keepNext/>
        <w:spacing w:after="20" w:before="320"/>
      </w:pPr>
      <w:r>
        <w:rPr>
          <w:rFonts w:ascii="Calibri" w:cs="Calibri" w:eastAsia="Calibri" w:hAnsi="Calibri"/>
          <w:b/>
          <w:bCs/>
          <w:color w:val="8A6212"/>
          <w:spacing w:val="20"/>
          <w:sz w:val="16"/>
          <w:szCs w:val="16"/>
        </w:rPr>
        <w:t xml:space="preserve">SLIDE 1</w:t>
      </w:r>
    </w:p>
    <w:p>
      <w:pPr>
        <w:keepNext/>
        <w:spacing w:after="80" w:before="0"/>
      </w:pPr>
      <w:r>
        <w:rPr>
          <w:rFonts w:ascii="Cambria" w:cs="Cambria" w:eastAsia="Cambria" w:hAnsi="Cambria"/>
          <w:b/>
          <w:bCs/>
          <w:color w:val="1B4332"/>
          <w:sz w:val="27"/>
          <w:szCs w:val="27"/>
        </w:rPr>
        <w:t xml:space="preserve">Title</w:t>
      </w:r>
    </w:p>
    <w:p>
      <w:pPr>
        <w:keepNext/>
        <w:spacing w:after="40"/>
      </w:pPr>
      <w:r>
        <w:rPr>
          <w:rFonts w:ascii="Calibri" w:cs="Calibri" w:eastAsia="Calibri" w:hAnsi="Calibri"/>
          <w:b/>
          <w:bCs/>
          <w:color w:val="5B6B62"/>
          <w:sz w:val="18"/>
          <w:szCs w:val="18"/>
        </w:rPr>
        <w:t xml:space="preserve">On screen:  </w:t>
      </w:r>
      <w:r>
        <w:rPr>
          <w:rFonts w:ascii="Calibri" w:cs="Calibri" w:eastAsia="Calibri" w:hAnsi="Calibri"/>
          <w:i/>
          <w:iCs/>
          <w:color w:val="5B6B62"/>
          <w:sz w:val="18"/>
          <w:szCs w:val="18"/>
        </w:rPr>
        <w:t xml:space="preserve">Full-bleed dark title slide with the talk title and scope (EU / UK / US, 7-minute briefing).</w:t>
      </w:r>
    </w:p>
    <w:p>
      <w:pPr>
        <w:keepNext/>
        <w:spacing w:after="120"/>
      </w:pPr>
      <w:r>
        <w:rPr>
          <w:rFonts w:ascii="Calibri" w:cs="Calibri" w:eastAsia="Calibri" w:hAnsi="Calibri"/>
          <w:b/>
          <w:bCs/>
          <w:color w:val="1B4332"/>
          <w:sz w:val="18"/>
          <w:szCs w:val="18"/>
        </w:rPr>
        <w:t xml:space="preserve">Target: ~12 sec   ·   Running total: 0:12</w:t>
      </w:r>
    </w:p>
    <w:p>
      <w:pPr>
        <w:spacing w:after="60"/>
      </w:pPr>
      <w:r>
        <w:rPr>
          <w:rFonts w:ascii="Calibri" w:cs="Calibri" w:eastAsia="Calibri" w:hAnsi="Calibri"/>
          <w:i/>
          <w:iCs/>
          <w:color w:val="5B6B62"/>
          <w:sz w:val="19"/>
          <w:szCs w:val="19"/>
        </w:rPr>
        <w:t xml:space="preserve">Open with a brief greeting appropriate to your audience, then:</w:t>
      </w:r>
    </w:p>
    <w:p>
      <w:pPr>
        <w:keepLines/>
        <w:shd w:fill="E9F1EC" w:val="clear"/>
        <w:spacing w:after="80" w:before="80" w:line="300"/>
        <w:ind w:left="200" w:right="200"/>
      </w:pPr>
      <w:r>
        <w:rPr>
          <w:rFonts w:ascii="Calibri" w:cs="Calibri" w:eastAsia="Calibri" w:hAnsi="Calibri"/>
          <w:b/>
          <w:bCs/>
          <w:color w:val="8A6212"/>
          <w:spacing w:val="15"/>
          <w:sz w:val="17"/>
          <w:szCs w:val="17"/>
        </w:rPr>
        <w:t xml:space="preserve">SAY   </w:t>
      </w:r>
      <w:r>
        <w:rPr>
          <w:rFonts w:ascii="Calibri" w:cs="Calibri" w:eastAsia="Calibri" w:hAnsi="Calibri"/>
          <w:color w:val="20302A"/>
          <w:sz w:val="22"/>
          <w:szCs w:val="22"/>
        </w:rPr>
        <w:t xml:space="preserve">Over the next seven minutes: the ESG rules reshaping consumer packaged goods — what's changing, what it costs, and exactly when each one lands, across the EU, UK, and US.</w:t>
      </w:r>
    </w:p>
    <w:p>
      <w:pPr>
        <w:pBdr>
          <w:bottom w:val="single" w:color="CBD9CF" w:sz="6" w:space="1"/>
        </w:pBdr>
        <w:spacing w:after="220" w:before="120"/>
      </w:pPr>
      <w:r>
        <w:rPr>
          <w:sz w:val="2"/>
          <w:szCs w:val="2"/>
        </w:rPr>
        <w:t xml:space="preserve"/>
      </w:r>
    </w:p>
    <w:p>
      <w:pPr>
        <w:keepNext/>
        <w:spacing w:after="20" w:before="320"/>
      </w:pPr>
      <w:r>
        <w:rPr>
          <w:rFonts w:ascii="Calibri" w:cs="Calibri" w:eastAsia="Calibri" w:hAnsi="Calibri"/>
          <w:b/>
          <w:bCs/>
          <w:color w:val="8A6212"/>
          <w:spacing w:val="20"/>
          <w:sz w:val="16"/>
          <w:szCs w:val="16"/>
        </w:rPr>
        <w:t xml:space="preserve">SLIDE 2</w:t>
      </w:r>
    </w:p>
    <w:p>
      <w:pPr>
        <w:keepNext/>
        <w:spacing w:after="80" w:before="0"/>
      </w:pPr>
      <w:r>
        <w:rPr>
          <w:rFonts w:ascii="Cambria" w:cs="Cambria" w:eastAsia="Cambria" w:hAnsi="Cambria"/>
          <w:b/>
          <w:bCs/>
          <w:color w:val="1B4332"/>
          <w:sz w:val="27"/>
          <w:szCs w:val="27"/>
        </w:rPr>
        <w:t xml:space="preserve">Why This Matters Now</w:t>
      </w:r>
    </w:p>
    <w:p>
      <w:pPr>
        <w:keepNext/>
        <w:spacing w:after="40"/>
      </w:pPr>
      <w:r>
        <w:rPr>
          <w:rFonts w:ascii="Calibri" w:cs="Calibri" w:eastAsia="Calibri" w:hAnsi="Calibri"/>
          <w:b/>
          <w:bCs/>
          <w:color w:val="5B6B62"/>
          <w:sz w:val="18"/>
          <w:szCs w:val="18"/>
        </w:rPr>
        <w:t xml:space="preserve">On screen:  </w:t>
      </w:r>
      <w:r>
        <w:rPr>
          <w:rFonts w:ascii="Calibri" w:cs="Calibri" w:eastAsia="Calibri" w:hAnsi="Calibri"/>
          <w:i/>
          <w:iCs/>
          <w:color w:val="5B6B62"/>
          <w:sz w:val="18"/>
          <w:szCs w:val="18"/>
        </w:rPr>
        <w:t xml:space="preserve">Three headline stats (19 days / 12+ regimes / 2026–2029) and a six-item agenda grid.</w:t>
      </w:r>
    </w:p>
    <w:p>
      <w:pPr>
        <w:keepNext/>
        <w:spacing w:after="120"/>
      </w:pPr>
      <w:r>
        <w:rPr>
          <w:rFonts w:ascii="Calibri" w:cs="Calibri" w:eastAsia="Calibri" w:hAnsi="Calibri"/>
          <w:b/>
          <w:bCs/>
          <w:color w:val="1B4332"/>
          <w:sz w:val="18"/>
          <w:szCs w:val="18"/>
        </w:rPr>
        <w:t xml:space="preserve">Target: ~22 sec   ·   Running total: 0:34</w:t>
      </w:r>
    </w:p>
    <w:p>
      <w:pPr>
        <w:keepLines/>
        <w:shd w:fill="E9F1EC" w:val="clear"/>
        <w:spacing w:after="80" w:before="80" w:line="300"/>
        <w:ind w:left="200" w:right="200"/>
      </w:pPr>
      <w:r>
        <w:rPr>
          <w:rFonts w:ascii="Calibri" w:cs="Calibri" w:eastAsia="Calibri" w:hAnsi="Calibri"/>
          <w:b/>
          <w:bCs/>
          <w:color w:val="8A6212"/>
          <w:spacing w:val="15"/>
          <w:sz w:val="17"/>
          <w:szCs w:val="17"/>
        </w:rPr>
        <w:t xml:space="preserve">SAY   </w:t>
      </w:r>
      <w:r>
        <w:rPr>
          <w:rFonts w:ascii="Calibri" w:cs="Calibri" w:eastAsia="Calibri" w:hAnsi="Calibri"/>
          <w:color w:val="20302A"/>
          <w:sz w:val="22"/>
          <w:szCs w:val="22"/>
        </w:rPr>
        <w:t xml:space="preserve">CPG sits at the intersection of every ESG regime — sourcing, packaging, disclosure, marketing claims, all on the same shelf. More than a dozen regimes are live or landing now; our next binding deadline is nineteen days out; the planning window runs to 2029. Six areas, ending with the full calendar and five takeaways for retail strategy.</w:t>
      </w:r>
    </w:p>
    <w:p>
      <w:pPr>
        <w:pBdr>
          <w:bottom w:val="single" w:color="CBD9CF" w:sz="6" w:space="1"/>
        </w:pBdr>
        <w:spacing w:after="220" w:before="120"/>
      </w:pPr>
      <w:r>
        <w:rPr>
          <w:sz w:val="2"/>
          <w:szCs w:val="2"/>
        </w:rPr>
        <w:t xml:space="preserve"/>
      </w:r>
    </w:p>
    <w:p>
      <w:pPr>
        <w:keepNext/>
        <w:spacing w:after="20" w:before="320"/>
      </w:pPr>
      <w:r>
        <w:rPr>
          <w:rFonts w:ascii="Calibri" w:cs="Calibri" w:eastAsia="Calibri" w:hAnsi="Calibri"/>
          <w:b/>
          <w:bCs/>
          <w:color w:val="8A6212"/>
          <w:spacing w:val="20"/>
          <w:sz w:val="16"/>
          <w:szCs w:val="16"/>
        </w:rPr>
        <w:t xml:space="preserve">SLIDE 3</w:t>
      </w:r>
    </w:p>
    <w:p>
      <w:pPr>
        <w:keepNext/>
        <w:spacing w:after="80" w:before="0"/>
      </w:pPr>
      <w:r>
        <w:rPr>
          <w:rFonts w:ascii="Cambria" w:cs="Cambria" w:eastAsia="Cambria" w:hAnsi="Cambria"/>
          <w:b/>
          <w:bCs/>
          <w:color w:val="1B4332"/>
          <w:sz w:val="27"/>
          <w:szCs w:val="27"/>
        </w:rPr>
        <w:t xml:space="preserve">EUDR — EU Deforestation Regulation</w:t>
      </w:r>
    </w:p>
    <w:p>
      <w:pPr>
        <w:keepNext/>
        <w:spacing w:after="40"/>
      </w:pPr>
      <w:r>
        <w:rPr>
          <w:rFonts w:ascii="Calibri" w:cs="Calibri" w:eastAsia="Calibri" w:hAnsi="Calibri"/>
          <w:b/>
          <w:bCs/>
          <w:color w:val="5B6B62"/>
          <w:sz w:val="18"/>
          <w:szCs w:val="18"/>
        </w:rPr>
        <w:t xml:space="preserve">On screen:  </w:t>
      </w:r>
      <w:r>
        <w:rPr>
          <w:rFonts w:ascii="Calibri" w:cs="Calibri" w:eastAsia="Calibri" w:hAnsi="Calibri"/>
          <w:i/>
          <w:iCs/>
          <w:color w:val="5B6B62"/>
          <w:sz w:val="18"/>
          <w:szCs w:val="18"/>
        </w:rPr>
        <w:t xml:space="preserve">Four-point timeline showing EUDR's two delays and final deadline; commodities in scope; requirement &amp; relief callouts.</w:t>
      </w:r>
    </w:p>
    <w:p>
      <w:pPr>
        <w:keepNext/>
        <w:spacing w:after="120"/>
      </w:pPr>
      <w:r>
        <w:rPr>
          <w:rFonts w:ascii="Calibri" w:cs="Calibri" w:eastAsia="Calibri" w:hAnsi="Calibri"/>
          <w:b/>
          <w:bCs/>
          <w:color w:val="1B4332"/>
          <w:sz w:val="18"/>
          <w:szCs w:val="18"/>
        </w:rPr>
        <w:t xml:space="preserve">Target: ~38 sec   ·   Running total: 1:12</w:t>
      </w:r>
    </w:p>
    <w:p>
      <w:pPr>
        <w:keepLines/>
        <w:shd w:fill="E9F1EC" w:val="clear"/>
        <w:spacing w:after="80" w:before="80" w:line="300"/>
        <w:ind w:left="200" w:right="200"/>
      </w:pPr>
      <w:r>
        <w:rPr>
          <w:rFonts w:ascii="Calibri" w:cs="Calibri" w:eastAsia="Calibri" w:hAnsi="Calibri"/>
          <w:b/>
          <w:bCs/>
          <w:color w:val="8A6212"/>
          <w:spacing w:val="15"/>
          <w:sz w:val="17"/>
          <w:szCs w:val="17"/>
        </w:rPr>
        <w:t xml:space="preserve">SAY   </w:t>
      </w:r>
      <w:r>
        <w:rPr>
          <w:rFonts w:ascii="Calibri" w:cs="Calibri" w:eastAsia="Calibri" w:hAnsi="Calibri"/>
          <w:color w:val="20302A"/>
          <w:sz w:val="22"/>
          <w:szCs w:val="22"/>
        </w:rPr>
        <w:t xml:space="preserve">The big one first: the EU Deforestation Regulation, EUDR. It covers cattle, cocoa, coffee, palm oil, rubber, soy, and wood, plus derived products — chocolate, leather, tires, paper. Adopted May 2023, original deadline December 2024 — delayed a year to December 2025 — then delayed again, weeks before that deadline, to December 30, 2026 for large and medium operators, June 30, 2027 for SMEs. That's now legally binding. The requirement hasn't softened: plot-level geolocation proving no deforestation since December 31, 2020. What softened is the paperwork — the Commission's May 2026 review puts the compliance-cost savings at roughly 75%.</w:t>
      </w:r>
    </w:p>
    <w:p>
      <w:pPr>
        <w:pBdr>
          <w:bottom w:val="single" w:color="CBD9CF" w:sz="6" w:space="1"/>
        </w:pBdr>
        <w:spacing w:after="220" w:before="120"/>
      </w:pPr>
      <w:r>
        <w:rPr>
          <w:sz w:val="2"/>
          <w:szCs w:val="2"/>
        </w:rPr>
        <w:t xml:space="preserve"/>
      </w:r>
    </w:p>
    <w:p>
      <w:pPr>
        <w:keepNext/>
        <w:spacing w:after="20" w:before="320"/>
      </w:pPr>
      <w:r>
        <w:rPr>
          <w:rFonts w:ascii="Calibri" w:cs="Calibri" w:eastAsia="Calibri" w:hAnsi="Calibri"/>
          <w:b/>
          <w:bCs/>
          <w:color w:val="8A6212"/>
          <w:spacing w:val="20"/>
          <w:sz w:val="16"/>
          <w:szCs w:val="16"/>
        </w:rPr>
        <w:t xml:space="preserve">SLIDE 4</w:t>
      </w:r>
    </w:p>
    <w:p>
      <w:pPr>
        <w:keepNext/>
        <w:spacing w:after="80" w:before="0"/>
      </w:pPr>
      <w:r>
        <w:rPr>
          <w:rFonts w:ascii="Cambria" w:cs="Cambria" w:eastAsia="Cambria" w:hAnsi="Cambria"/>
          <w:b/>
          <w:bCs/>
          <w:color w:val="1B4332"/>
          <w:sz w:val="27"/>
          <w:szCs w:val="27"/>
        </w:rPr>
        <w:t xml:space="preserve">Palm Oil: Meeting the Deforestation Bar</w:t>
      </w:r>
    </w:p>
    <w:p>
      <w:pPr>
        <w:keepNext/>
        <w:spacing w:after="40"/>
      </w:pPr>
      <w:r>
        <w:rPr>
          <w:rFonts w:ascii="Calibri" w:cs="Calibri" w:eastAsia="Calibri" w:hAnsi="Calibri"/>
          <w:b/>
          <w:bCs/>
          <w:color w:val="5B6B62"/>
          <w:sz w:val="18"/>
          <w:szCs w:val="18"/>
        </w:rPr>
        <w:t xml:space="preserve">On screen:  </w:t>
      </w:r>
      <w:r>
        <w:rPr>
          <w:rFonts w:ascii="Calibri" w:cs="Calibri" w:eastAsia="Calibri" w:hAnsi="Calibri"/>
          <w:i/>
          <w:iCs/>
          <w:color w:val="5B6B62"/>
          <w:sz w:val="18"/>
          <w:szCs w:val="18"/>
        </w:rPr>
        <w:t xml:space="preserve">Split slide: why palm oil is scrutinized (left) and four deforestation-compliant alternatives with a Unilever proof point (right).</w:t>
      </w:r>
    </w:p>
    <w:p>
      <w:pPr>
        <w:keepNext/>
        <w:spacing w:after="120"/>
      </w:pPr>
      <w:r>
        <w:rPr>
          <w:rFonts w:ascii="Calibri" w:cs="Calibri" w:eastAsia="Calibri" w:hAnsi="Calibri"/>
          <w:b/>
          <w:bCs/>
          <w:color w:val="1B4332"/>
          <w:sz w:val="18"/>
          <w:szCs w:val="18"/>
        </w:rPr>
        <w:t xml:space="preserve">Target: ~47 sec   ·   Running total: 1:59</w:t>
      </w:r>
    </w:p>
    <w:p>
      <w:pPr>
        <w:keepLines/>
        <w:shd w:fill="E9F1EC" w:val="clear"/>
        <w:spacing w:after="80" w:before="80" w:line="300"/>
        <w:ind w:left="200" w:right="200"/>
      </w:pPr>
      <w:r>
        <w:rPr>
          <w:rFonts w:ascii="Calibri" w:cs="Calibri" w:eastAsia="Calibri" w:hAnsi="Calibri"/>
          <w:b/>
          <w:bCs/>
          <w:color w:val="8A6212"/>
          <w:spacing w:val="15"/>
          <w:sz w:val="17"/>
          <w:szCs w:val="17"/>
        </w:rPr>
        <w:t xml:space="preserve">SAY   </w:t>
      </w:r>
      <w:r>
        <w:rPr>
          <w:rFonts w:ascii="Calibri" w:cs="Calibri" w:eastAsia="Calibri" w:hAnsi="Calibri"/>
          <w:color w:val="20302A"/>
          <w:sz w:val="22"/>
          <w:szCs w:val="22"/>
        </w:rPr>
        <w:t xml:space="preserve">Palm oil gets its own moment — EUDR's most-scrutinized commodity, in roughly half of packaged products, and the crop most tied to deforestation in Indonesia and Malaysia. Key point: certification alone doesn't clear the bar. RSPO segregated or identity-preserved palm oil is the right foundation, but still needs plot-level geolocation on top. Real alternatives: algae- and fermentation-derived oils from C16 Biosciences and Corbion, zero land footprint; high-oleic sunflower and rapeseed blends — Nestlé has reformulated 1,400-plus products since 2020; and shea-based cocoa butter equivalents, blended with sal, mango kernel or illipe, the fastest-growing CBE segment. Proof point: Unilever, January 2025 — 100% of its European personal and home care palm oil is now deforestation-free certified or replaced.</w:t>
      </w:r>
    </w:p>
    <w:p>
      <w:pPr>
        <w:pBdr>
          <w:bottom w:val="single" w:color="CBD9CF" w:sz="6" w:space="1"/>
        </w:pBdr>
        <w:spacing w:after="220" w:before="120"/>
      </w:pPr>
      <w:r>
        <w:rPr>
          <w:sz w:val="2"/>
          <w:szCs w:val="2"/>
        </w:rPr>
        <w:t xml:space="preserve"/>
      </w:r>
    </w:p>
    <w:p>
      <w:pPr>
        <w:keepNext/>
        <w:spacing w:after="20" w:before="320"/>
      </w:pPr>
      <w:r>
        <w:rPr>
          <w:rFonts w:ascii="Calibri" w:cs="Calibri" w:eastAsia="Calibri" w:hAnsi="Calibri"/>
          <w:b/>
          <w:bCs/>
          <w:color w:val="8A6212"/>
          <w:spacing w:val="20"/>
          <w:sz w:val="16"/>
          <w:szCs w:val="16"/>
        </w:rPr>
        <w:t xml:space="preserve">SLIDE 5</w:t>
      </w:r>
    </w:p>
    <w:p>
      <w:pPr>
        <w:keepNext/>
        <w:spacing w:after="80" w:before="0"/>
      </w:pPr>
      <w:r>
        <w:rPr>
          <w:rFonts w:ascii="Cambria" w:cs="Cambria" w:eastAsia="Cambria" w:hAnsi="Cambria"/>
          <w:b/>
          <w:bCs/>
          <w:color w:val="1B4332"/>
          <w:sz w:val="27"/>
          <w:szCs w:val="27"/>
        </w:rPr>
        <w:t xml:space="preserve">CSRD &amp; CSDDD After the Omnibus Rewrite</w:t>
      </w:r>
    </w:p>
    <w:p>
      <w:pPr>
        <w:keepNext/>
        <w:spacing w:after="40"/>
      </w:pPr>
      <w:r>
        <w:rPr>
          <w:rFonts w:ascii="Calibri" w:cs="Calibri" w:eastAsia="Calibri" w:hAnsi="Calibri"/>
          <w:b/>
          <w:bCs/>
          <w:color w:val="5B6B62"/>
          <w:sz w:val="18"/>
          <w:szCs w:val="18"/>
        </w:rPr>
        <w:t xml:space="preserve">On screen:  </w:t>
      </w:r>
      <w:r>
        <w:rPr>
          <w:rFonts w:ascii="Calibri" w:cs="Calibri" w:eastAsia="Calibri" w:hAnsi="Calibri"/>
          <w:i/>
          <w:iCs/>
          <w:color w:val="5B6B62"/>
          <w:sz w:val="18"/>
          <w:szCs w:val="18"/>
        </w:rPr>
        <w:t xml:space="preserve">Two-column CSRD / CSDDD fact sheet with a datapoint-reduction and scope-reduction stat banner below.</w:t>
      </w:r>
    </w:p>
    <w:p>
      <w:pPr>
        <w:keepNext/>
        <w:spacing w:after="120"/>
      </w:pPr>
      <w:r>
        <w:rPr>
          <w:rFonts w:ascii="Calibri" w:cs="Calibri" w:eastAsia="Calibri" w:hAnsi="Calibri"/>
          <w:b/>
          <w:bCs/>
          <w:color w:val="1B4332"/>
          <w:sz w:val="18"/>
          <w:szCs w:val="18"/>
        </w:rPr>
        <w:t xml:space="preserve">Target: ~52 sec   ·   Running total: 2:51</w:t>
      </w:r>
    </w:p>
    <w:p>
      <w:pPr>
        <w:keepLines/>
        <w:shd w:fill="E9F1EC" w:val="clear"/>
        <w:spacing w:after="80" w:before="80" w:line="300"/>
        <w:ind w:left="200" w:right="200"/>
      </w:pPr>
      <w:r>
        <w:rPr>
          <w:rFonts w:ascii="Calibri" w:cs="Calibri" w:eastAsia="Calibri" w:hAnsi="Calibri"/>
          <w:b/>
          <w:bCs/>
          <w:color w:val="8A6212"/>
          <w:spacing w:val="15"/>
          <w:sz w:val="17"/>
          <w:szCs w:val="17"/>
        </w:rPr>
        <w:t xml:space="preserve">SAY   </w:t>
      </w:r>
      <w:r>
        <w:rPr>
          <w:rFonts w:ascii="Calibri" w:cs="Calibri" w:eastAsia="Calibri" w:hAnsi="Calibri"/>
          <w:color w:val="20302A"/>
          <w:sz w:val="22"/>
          <w:szCs w:val="22"/>
        </w:rPr>
        <w:t xml:space="preserve">Corporate reporting and due diligence — CSRD and CSDDD — both rewritten under the Omnibus package. CSRD: companies over 500 employees have reported since fiscal year 2024, and that continues. Omnibus I, in force since March 18, 2026, narrows the forward scope to over 1,000 employees AND over 450 million euros turnover — both required, an 80% cut in companies covered. Anyone still in scope reports fiscal year 2027 data, first filings due 2028. CSDDD, the same Omnibus rewrite: scope narrowed, EU-wide civil liability removed, member states transpose by July 26, 2028, applies from July 26, 2029. And the paperwork itself shrinks too — simplified ESRS cuts required datapoints from 1,073 to 320.</w:t>
      </w:r>
    </w:p>
    <w:p>
      <w:pPr>
        <w:pBdr>
          <w:bottom w:val="single" w:color="CBD9CF" w:sz="6" w:space="1"/>
        </w:pBdr>
        <w:spacing w:after="220" w:before="120"/>
      </w:pPr>
      <w:r>
        <w:rPr>
          <w:sz w:val="2"/>
          <w:szCs w:val="2"/>
        </w:rPr>
        <w:t xml:space="preserve"/>
      </w:r>
    </w:p>
    <w:p>
      <w:pPr>
        <w:keepNext/>
        <w:spacing w:after="20" w:before="320"/>
      </w:pPr>
      <w:r>
        <w:rPr>
          <w:rFonts w:ascii="Calibri" w:cs="Calibri" w:eastAsia="Calibri" w:hAnsi="Calibri"/>
          <w:b/>
          <w:bCs/>
          <w:color w:val="8A6212"/>
          <w:spacing w:val="20"/>
          <w:sz w:val="16"/>
          <w:szCs w:val="16"/>
        </w:rPr>
        <w:t xml:space="preserve">SLIDE 6</w:t>
      </w:r>
    </w:p>
    <w:p>
      <w:pPr>
        <w:keepNext/>
        <w:spacing w:after="80" w:before="0"/>
      </w:pPr>
      <w:r>
        <w:rPr>
          <w:rFonts w:ascii="Cambria" w:cs="Cambria" w:eastAsia="Cambria" w:hAnsi="Cambria"/>
          <w:b/>
          <w:bCs/>
          <w:color w:val="1B4332"/>
          <w:sz w:val="27"/>
          <w:szCs w:val="27"/>
        </w:rPr>
        <w:t xml:space="preserve">Packaging Rules Tighten</w:t>
      </w:r>
    </w:p>
    <w:p>
      <w:pPr>
        <w:keepNext/>
        <w:spacing w:after="40"/>
      </w:pPr>
      <w:r>
        <w:rPr>
          <w:rFonts w:ascii="Calibri" w:cs="Calibri" w:eastAsia="Calibri" w:hAnsi="Calibri"/>
          <w:b/>
          <w:bCs/>
          <w:color w:val="5B6B62"/>
          <w:sz w:val="18"/>
          <w:szCs w:val="18"/>
        </w:rPr>
        <w:t xml:space="preserve">On screen:  </w:t>
      </w:r>
      <w:r>
        <w:rPr>
          <w:rFonts w:ascii="Calibri" w:cs="Calibri" w:eastAsia="Calibri" w:hAnsi="Calibri"/>
          <w:i/>
          <w:iCs/>
          <w:color w:val="5B6B62"/>
          <w:sz w:val="18"/>
          <w:szCs w:val="18"/>
        </w:rPr>
        <w:t xml:space="preserve">Three cards — PPWR, UK pEPR, UK Plastic Packaging Tax — each with a headline date chip and three facts.</w:t>
      </w:r>
    </w:p>
    <w:p>
      <w:pPr>
        <w:keepNext/>
        <w:spacing w:after="120"/>
      </w:pPr>
      <w:r>
        <w:rPr>
          <w:rFonts w:ascii="Calibri" w:cs="Calibri" w:eastAsia="Calibri" w:hAnsi="Calibri"/>
          <w:b/>
          <w:bCs/>
          <w:color w:val="1B4332"/>
          <w:sz w:val="18"/>
          <w:szCs w:val="18"/>
        </w:rPr>
        <w:t xml:space="preserve">Target: ~44 sec   ·   Running total: 3:35</w:t>
      </w:r>
    </w:p>
    <w:p>
      <w:pPr>
        <w:keepLines/>
        <w:shd w:fill="E9F1EC" w:val="clear"/>
        <w:spacing w:after="80" w:before="80" w:line="300"/>
        <w:ind w:left="200" w:right="200"/>
      </w:pPr>
      <w:r>
        <w:rPr>
          <w:rFonts w:ascii="Calibri" w:cs="Calibri" w:eastAsia="Calibri" w:hAnsi="Calibri"/>
          <w:b/>
          <w:bCs/>
          <w:color w:val="8A6212"/>
          <w:spacing w:val="15"/>
          <w:sz w:val="17"/>
          <w:szCs w:val="17"/>
        </w:rPr>
        <w:t xml:space="preserve">SAY   </w:t>
      </w:r>
      <w:r>
        <w:rPr>
          <w:rFonts w:ascii="Calibri" w:cs="Calibri" w:eastAsia="Calibri" w:hAnsi="Calibri"/>
          <w:color w:val="20302A"/>
          <w:sz w:val="22"/>
          <w:szCs w:val="22"/>
        </w:rPr>
        <w:t xml:space="preserve">Packaging: three regimes converge. PPWR, the EU's rule, applies from August 12, 2026 — already live. It requires a Declaration of Conformity, bans PFAS in food-contact packaging above set thresholds, and phases in recycled-content and recyclability grading from January 2030. In the UK, Extended Producer Responsibility has been live since April 1, 2025; first invoices went out October 2025; fees start eco-modulating by recyclability this October. And the UK Plastic Packaging Tax rose to £228.82 a tonne on April 1, 2026, for packaging under 30% recycled content — the fifth straight rise. From April 2027, only post-consumer recyclate counts toward that 30%.</w:t>
      </w:r>
    </w:p>
    <w:p>
      <w:pPr>
        <w:pBdr>
          <w:bottom w:val="single" w:color="CBD9CF" w:sz="6" w:space="1"/>
        </w:pBdr>
        <w:spacing w:after="220" w:before="120"/>
      </w:pPr>
      <w:r>
        <w:rPr>
          <w:sz w:val="2"/>
          <w:szCs w:val="2"/>
        </w:rPr>
        <w:t xml:space="preserve"/>
      </w:r>
    </w:p>
    <w:p>
      <w:pPr>
        <w:keepNext/>
        <w:spacing w:after="20" w:before="320"/>
      </w:pPr>
      <w:r>
        <w:rPr>
          <w:rFonts w:ascii="Calibri" w:cs="Calibri" w:eastAsia="Calibri" w:hAnsi="Calibri"/>
          <w:b/>
          <w:bCs/>
          <w:color w:val="8A6212"/>
          <w:spacing w:val="20"/>
          <w:sz w:val="16"/>
          <w:szCs w:val="16"/>
        </w:rPr>
        <w:t xml:space="preserve">SLIDE 7</w:t>
      </w:r>
    </w:p>
    <w:p>
      <w:pPr>
        <w:keepNext/>
        <w:spacing w:after="80" w:before="0"/>
      </w:pPr>
      <w:r>
        <w:rPr>
          <w:rFonts w:ascii="Cambria" w:cs="Cambria" w:eastAsia="Cambria" w:hAnsi="Cambria"/>
          <w:b/>
          <w:bCs/>
          <w:color w:val="1B4332"/>
          <w:sz w:val="27"/>
          <w:szCs w:val="27"/>
        </w:rPr>
        <w:t xml:space="preserve">Federal Retreat, State Advance</w:t>
      </w:r>
    </w:p>
    <w:p>
      <w:pPr>
        <w:keepNext/>
        <w:spacing w:after="40"/>
      </w:pPr>
      <w:r>
        <w:rPr>
          <w:rFonts w:ascii="Calibri" w:cs="Calibri" w:eastAsia="Calibri" w:hAnsi="Calibri"/>
          <w:b/>
          <w:bCs/>
          <w:color w:val="5B6B62"/>
          <w:sz w:val="18"/>
          <w:szCs w:val="18"/>
        </w:rPr>
        <w:t xml:space="preserve">On screen:  </w:t>
      </w:r>
      <w:r>
        <w:rPr>
          <w:rFonts w:ascii="Calibri" w:cs="Calibri" w:eastAsia="Calibri" w:hAnsi="Calibri"/>
          <w:i/>
          <w:iCs/>
          <w:color w:val="5B6B62"/>
          <w:sz w:val="18"/>
          <w:szCs w:val="18"/>
        </w:rPr>
        <w:t xml:space="preserve">Split comparison: Federal retreat (SEC, FTC) on the left, California advance (SB253, SB261) on the right.</w:t>
      </w:r>
    </w:p>
    <w:p>
      <w:pPr>
        <w:keepNext/>
        <w:spacing w:after="120"/>
      </w:pPr>
      <w:r>
        <w:rPr>
          <w:rFonts w:ascii="Calibri" w:cs="Calibri" w:eastAsia="Calibri" w:hAnsi="Calibri"/>
          <w:b/>
          <w:bCs/>
          <w:color w:val="1B4332"/>
          <w:sz w:val="18"/>
          <w:szCs w:val="18"/>
        </w:rPr>
        <w:t xml:space="preserve">Target: ~44 sec   ·   Running total: 4:19</w:t>
      </w:r>
    </w:p>
    <w:p>
      <w:pPr>
        <w:keepLines/>
        <w:shd w:fill="E9F1EC" w:val="clear"/>
        <w:spacing w:after="80" w:before="80" w:line="300"/>
        <w:ind w:left="200" w:right="200"/>
      </w:pPr>
      <w:r>
        <w:rPr>
          <w:rFonts w:ascii="Calibri" w:cs="Calibri" w:eastAsia="Calibri" w:hAnsi="Calibri"/>
          <w:b/>
          <w:bCs/>
          <w:color w:val="8A6212"/>
          <w:spacing w:val="15"/>
          <w:sz w:val="17"/>
          <w:szCs w:val="17"/>
        </w:rPr>
        <w:t xml:space="preserve">SAY   </w:t>
      </w:r>
      <w:r>
        <w:rPr>
          <w:rFonts w:ascii="Calibri" w:cs="Calibri" w:eastAsia="Calibri" w:hAnsi="Calibri"/>
          <w:color w:val="20302A"/>
          <w:sz w:val="22"/>
          <w:szCs w:val="22"/>
        </w:rPr>
        <w:t xml:space="preserve">The US is diverging in two directions. Federally, retreat: the SEC's climate rule, adopted March 2024, stayed within a month, and the SEC proposed fully rescinding it June 3, 2026 — comments closed August 3rd, never enforced. FTC's Green Guides: reopened December 2022, still not finalized. California moves the opposite way. SB253 — over a billion in revenue — Scope 1 and 2 now targeted for November 10, 2026, moved once already from August; Scope 3 begins 2027. SB261, the climate-risk law, has been enjoined by the Ninth Circuit since November 2025, litigation still live. Bottom line: multi-market retailers are building to the EU and California bar, not Washington.</w:t>
      </w:r>
    </w:p>
    <w:p>
      <w:pPr>
        <w:pBdr>
          <w:bottom w:val="single" w:color="CBD9CF" w:sz="6" w:space="1"/>
        </w:pBdr>
        <w:spacing w:after="220" w:before="120"/>
      </w:pPr>
      <w:r>
        <w:rPr>
          <w:sz w:val="2"/>
          <w:szCs w:val="2"/>
        </w:rPr>
        <w:t xml:space="preserve"/>
      </w:r>
    </w:p>
    <w:p>
      <w:pPr>
        <w:keepNext/>
        <w:spacing w:after="20" w:before="320"/>
      </w:pPr>
      <w:r>
        <w:rPr>
          <w:rFonts w:ascii="Calibri" w:cs="Calibri" w:eastAsia="Calibri" w:hAnsi="Calibri"/>
          <w:b/>
          <w:bCs/>
          <w:color w:val="8A6212"/>
          <w:spacing w:val="20"/>
          <w:sz w:val="16"/>
          <w:szCs w:val="16"/>
        </w:rPr>
        <w:t xml:space="preserve">SLIDE 8</w:t>
      </w:r>
    </w:p>
    <w:p>
      <w:pPr>
        <w:keepNext/>
        <w:spacing w:after="80" w:before="0"/>
      </w:pPr>
      <w:r>
        <w:rPr>
          <w:rFonts w:ascii="Cambria" w:cs="Cambria" w:eastAsia="Cambria" w:hAnsi="Cambria"/>
          <w:b/>
          <w:bCs/>
          <w:color w:val="1B4332"/>
          <w:sz w:val="27"/>
          <w:szCs w:val="27"/>
        </w:rPr>
        <w:t xml:space="preserve">Green Claims Face a New Bar</w:t>
      </w:r>
    </w:p>
    <w:p>
      <w:pPr>
        <w:keepNext/>
        <w:spacing w:after="40"/>
      </w:pPr>
      <w:r>
        <w:rPr>
          <w:rFonts w:ascii="Calibri" w:cs="Calibri" w:eastAsia="Calibri" w:hAnsi="Calibri"/>
          <w:b/>
          <w:bCs/>
          <w:color w:val="5B6B62"/>
          <w:sz w:val="18"/>
          <w:szCs w:val="18"/>
        </w:rPr>
        <w:t xml:space="preserve">On screen:  </w:t>
      </w:r>
      <w:r>
        <w:rPr>
          <w:rFonts w:ascii="Calibri" w:cs="Calibri" w:eastAsia="Calibri" w:hAnsi="Calibri"/>
          <w:i/>
          <w:iCs/>
          <w:color w:val="5B6B62"/>
          <w:sz w:val="18"/>
          <w:szCs w:val="18"/>
        </w:rPr>
        <w:t xml:space="preserve">Big date callout (27 Sep 2026) plus three rows — EU Green Claims Directive, EmpCo, FTC Green Guides — each with a status badge.</w:t>
      </w:r>
    </w:p>
    <w:p>
      <w:pPr>
        <w:keepNext/>
        <w:spacing w:after="120"/>
      </w:pPr>
      <w:r>
        <w:rPr>
          <w:rFonts w:ascii="Calibri" w:cs="Calibri" w:eastAsia="Calibri" w:hAnsi="Calibri"/>
          <w:b/>
          <w:bCs/>
          <w:color w:val="1B4332"/>
          <w:sz w:val="18"/>
          <w:szCs w:val="18"/>
        </w:rPr>
        <w:t xml:space="preserve">Target: ~38 sec   ·   Running total: 4:57</w:t>
      </w:r>
    </w:p>
    <w:p>
      <w:pPr>
        <w:keepLines/>
        <w:shd w:fill="E9F1EC" w:val="clear"/>
        <w:spacing w:after="80" w:before="80" w:line="300"/>
        <w:ind w:left="200" w:right="200"/>
      </w:pPr>
      <w:r>
        <w:rPr>
          <w:rFonts w:ascii="Calibri" w:cs="Calibri" w:eastAsia="Calibri" w:hAnsi="Calibri"/>
          <w:b/>
          <w:bCs/>
          <w:color w:val="8A6212"/>
          <w:spacing w:val="15"/>
          <w:sz w:val="17"/>
          <w:szCs w:val="17"/>
        </w:rPr>
        <w:t xml:space="preserve">SAY   </w:t>
      </w:r>
      <w:r>
        <w:rPr>
          <w:rFonts w:ascii="Calibri" w:cs="Calibri" w:eastAsia="Calibri" w:hAnsi="Calibri"/>
          <w:color w:val="20302A"/>
          <w:sz w:val="22"/>
          <w:szCs w:val="22"/>
        </w:rPr>
        <w:t xml:space="preserve">Watch this date: September 27, 2026 — nineteen days from today. That's when the EU's Empowering Consumers Directive, EmpCo, becomes binding EU-wide — banning vague claims and offset-based ‘climate neutral’ labels, fines up to 4% of turnover. It's binding regardless of the separate Green Claims Directive, which the Commission said it intended to withdraw in June 2025 and hasn't moved since. The FTC's Green Guides sit in the same stalled place — under review since December 2022. If your clients sell into Europe, EmpCo is the priority, and the clock is almost out.</w:t>
      </w:r>
    </w:p>
    <w:p>
      <w:pPr>
        <w:pBdr>
          <w:bottom w:val="single" w:color="CBD9CF" w:sz="6" w:space="1"/>
        </w:pBdr>
        <w:spacing w:after="220" w:before="120"/>
      </w:pPr>
      <w:r>
        <w:rPr>
          <w:sz w:val="2"/>
          <w:szCs w:val="2"/>
        </w:rPr>
        <w:t xml:space="preserve"/>
      </w:r>
    </w:p>
    <w:p>
      <w:pPr>
        <w:keepNext/>
        <w:spacing w:after="20" w:before="320"/>
      </w:pPr>
      <w:r>
        <w:rPr>
          <w:rFonts w:ascii="Calibri" w:cs="Calibri" w:eastAsia="Calibri" w:hAnsi="Calibri"/>
          <w:b/>
          <w:bCs/>
          <w:color w:val="8A6212"/>
          <w:spacing w:val="20"/>
          <w:sz w:val="16"/>
          <w:szCs w:val="16"/>
        </w:rPr>
        <w:t xml:space="preserve">SLIDE 9</w:t>
      </w:r>
    </w:p>
    <w:p>
      <w:pPr>
        <w:keepNext/>
        <w:spacing w:after="80" w:before="0"/>
      </w:pPr>
      <w:r>
        <w:rPr>
          <w:rFonts w:ascii="Cambria" w:cs="Cambria" w:eastAsia="Cambria" w:hAnsi="Cambria"/>
          <w:b/>
          <w:bCs/>
          <w:color w:val="1B4332"/>
          <w:sz w:val="27"/>
          <w:szCs w:val="27"/>
        </w:rPr>
        <w:t xml:space="preserve">The Compliance Calendar</w:t>
      </w:r>
    </w:p>
    <w:p>
      <w:pPr>
        <w:keepNext/>
        <w:spacing w:after="40"/>
      </w:pPr>
      <w:r>
        <w:rPr>
          <w:rFonts w:ascii="Calibri" w:cs="Calibri" w:eastAsia="Calibri" w:hAnsi="Calibri"/>
          <w:b/>
          <w:bCs/>
          <w:color w:val="5B6B62"/>
          <w:sz w:val="18"/>
          <w:szCs w:val="18"/>
        </w:rPr>
        <w:t xml:space="preserve">On screen:  </w:t>
      </w:r>
      <w:r>
        <w:rPr>
          <w:rFonts w:ascii="Calibri" w:cs="Calibri" w:eastAsia="Calibri" w:hAnsi="Calibri"/>
          <w:i/>
          <w:iCs/>
          <w:color w:val="5B6B62"/>
          <w:sz w:val="18"/>
          <w:szCs w:val="18"/>
        </w:rPr>
        <w:t xml:space="preserve">Dark two-column timeline: ‘Next 12 Months’ and ‘2027–2030,’ every date from the deck in one place.</w:t>
      </w:r>
    </w:p>
    <w:p>
      <w:pPr>
        <w:keepNext/>
        <w:spacing w:after="120"/>
      </w:pPr>
      <w:r>
        <w:rPr>
          <w:rFonts w:ascii="Calibri" w:cs="Calibri" w:eastAsia="Calibri" w:hAnsi="Calibri"/>
          <w:b/>
          <w:bCs/>
          <w:color w:val="1B4332"/>
          <w:sz w:val="18"/>
          <w:szCs w:val="18"/>
        </w:rPr>
        <w:t xml:space="preserve">Target: ~32 sec   ·   Running total: 5:29</w:t>
      </w:r>
    </w:p>
    <w:p>
      <w:pPr>
        <w:keepLines/>
        <w:shd w:fill="E9F1EC" w:val="clear"/>
        <w:spacing w:after="80" w:before="80" w:line="300"/>
        <w:ind w:left="200" w:right="200"/>
      </w:pPr>
      <w:r>
        <w:rPr>
          <w:rFonts w:ascii="Calibri" w:cs="Calibri" w:eastAsia="Calibri" w:hAnsi="Calibri"/>
          <w:b/>
          <w:bCs/>
          <w:color w:val="8A6212"/>
          <w:spacing w:val="15"/>
          <w:sz w:val="17"/>
          <w:szCs w:val="17"/>
        </w:rPr>
        <w:t xml:space="preserve">SAY   </w:t>
      </w:r>
      <w:r>
        <w:rPr>
          <w:rFonts w:ascii="Calibri" w:cs="Calibri" w:eastAsia="Calibri" w:hAnsi="Calibri"/>
          <w:color w:val="20302A"/>
          <w:sz w:val="22"/>
          <w:szCs w:val="22"/>
        </w:rPr>
        <w:t xml:space="preserve">Your cheat sheet — every date, in order. Next twelve months: EmpCo September 27th, UK packaging fee changes October 1st, SB253's deadline November 10th, EUDR for large operators December 30, 2026. Further out: the EU Battery Passport February 2027, EUDR for SMEs next June, CSRD's next wave and SB253 Scope 3 sometime in 2027, CSDDD transposition July 2028, CSDDD applies July 2029, PPWR's recycled-content mandates January 2030. Worth a screenshot.</w:t>
      </w:r>
    </w:p>
    <w:p>
      <w:pPr>
        <w:pBdr>
          <w:bottom w:val="single" w:color="CBD9CF" w:sz="6" w:space="1"/>
        </w:pBdr>
        <w:spacing w:after="220" w:before="120"/>
      </w:pPr>
      <w:r>
        <w:rPr>
          <w:sz w:val="2"/>
          <w:szCs w:val="2"/>
        </w:rPr>
        <w:t xml:space="preserve"/>
      </w:r>
    </w:p>
    <w:p>
      <w:pPr>
        <w:keepNext/>
        <w:spacing w:after="20" w:before="320"/>
      </w:pPr>
      <w:r>
        <w:rPr>
          <w:rFonts w:ascii="Calibri" w:cs="Calibri" w:eastAsia="Calibri" w:hAnsi="Calibri"/>
          <w:b/>
          <w:bCs/>
          <w:color w:val="8A6212"/>
          <w:spacing w:val="20"/>
          <w:sz w:val="16"/>
          <w:szCs w:val="16"/>
        </w:rPr>
        <w:t xml:space="preserve">SLIDE 10</w:t>
      </w:r>
    </w:p>
    <w:p>
      <w:pPr>
        <w:keepNext/>
        <w:spacing w:after="80" w:before="0"/>
      </w:pPr>
      <w:r>
        <w:rPr>
          <w:rFonts w:ascii="Cambria" w:cs="Cambria" w:eastAsia="Cambria" w:hAnsi="Cambria"/>
          <w:b/>
          <w:bCs/>
          <w:color w:val="1B4332"/>
          <w:sz w:val="27"/>
          <w:szCs w:val="27"/>
        </w:rPr>
        <w:t xml:space="preserve">Ingredients &amp; Products Under the Most Pressure</w:t>
      </w:r>
    </w:p>
    <w:p>
      <w:pPr>
        <w:keepNext/>
        <w:spacing w:after="40"/>
      </w:pPr>
      <w:r>
        <w:rPr>
          <w:rFonts w:ascii="Calibri" w:cs="Calibri" w:eastAsia="Calibri" w:hAnsi="Calibri"/>
          <w:b/>
          <w:bCs/>
          <w:color w:val="5B6B62"/>
          <w:sz w:val="18"/>
          <w:szCs w:val="18"/>
        </w:rPr>
        <w:t xml:space="preserve">On screen:  </w:t>
      </w:r>
      <w:r>
        <w:rPr>
          <w:rFonts w:ascii="Calibri" w:cs="Calibri" w:eastAsia="Calibri" w:hAnsi="Calibri"/>
          <w:i/>
          <w:iCs/>
          <w:color w:val="5B6B62"/>
          <w:sz w:val="18"/>
          <w:szCs w:val="18"/>
        </w:rPr>
        <w:t xml:space="preserve">Nine-row table: ingredient/product, regulatory driver, one-line alternative approach.</w:t>
      </w:r>
    </w:p>
    <w:p>
      <w:pPr>
        <w:keepNext/>
        <w:spacing w:after="120"/>
      </w:pPr>
      <w:r>
        <w:rPr>
          <w:rFonts w:ascii="Calibri" w:cs="Calibri" w:eastAsia="Calibri" w:hAnsi="Calibri"/>
          <w:b/>
          <w:bCs/>
          <w:color w:val="1B4332"/>
          <w:sz w:val="18"/>
          <w:szCs w:val="18"/>
        </w:rPr>
        <w:t xml:space="preserve">Target: ~42 sec   ·   Running total: 6:11</w:t>
      </w:r>
    </w:p>
    <w:p>
      <w:pPr>
        <w:keepLines/>
        <w:shd w:fill="E9F1EC" w:val="clear"/>
        <w:spacing w:after="80" w:before="80" w:line="300"/>
        <w:ind w:left="200" w:right="200"/>
      </w:pPr>
      <w:r>
        <w:rPr>
          <w:rFonts w:ascii="Calibri" w:cs="Calibri" w:eastAsia="Calibri" w:hAnsi="Calibri"/>
          <w:b/>
          <w:bCs/>
          <w:color w:val="8A6212"/>
          <w:spacing w:val="15"/>
          <w:sz w:val="17"/>
          <w:szCs w:val="17"/>
        </w:rPr>
        <w:t xml:space="preserve">SAY   </w:t>
      </w:r>
      <w:r>
        <w:rPr>
          <w:rFonts w:ascii="Calibri" w:cs="Calibri" w:eastAsia="Calibri" w:hAnsi="Calibri"/>
          <w:color w:val="20302A"/>
          <w:sz w:val="22"/>
          <w:szCs w:val="22"/>
        </w:rPr>
        <w:t xml:space="preserve">Pulling that together — what's under the most pressure, and the one-line alternative for each. Palm oil: RSPO-segregated plus geolocation, or algae and high-oleic blends. Cocoa and coffee: certified, geo-traceable origin. Soy: deforestation-free or Cerrado-protected, or substitute European peas and rapeseed meal. Cattle and leather: traceable herd registries, or mycelium- and cactus-based alternatives. Natural rubber: GPSNR-aligned sourcing, or guayule-based synthetics. Wood fibre and pulp: FSC or PEFC chain-of-custody with geolocation layered in. On packaging: virgin plastic moves to 30%-plus recycled content or mono-material redesign; cotton moves to certified organic or recycled fiber with farm-level traceability.</w:t>
      </w:r>
    </w:p>
    <w:p>
      <w:pPr>
        <w:pBdr>
          <w:bottom w:val="single" w:color="CBD9CF" w:sz="6" w:space="1"/>
        </w:pBdr>
        <w:spacing w:after="220" w:before="120"/>
      </w:pPr>
      <w:r>
        <w:rPr>
          <w:sz w:val="2"/>
          <w:szCs w:val="2"/>
        </w:rPr>
        <w:t xml:space="preserve"/>
      </w:r>
    </w:p>
    <w:p>
      <w:pPr>
        <w:keepNext/>
        <w:spacing w:after="20" w:before="320"/>
      </w:pPr>
      <w:r>
        <w:rPr>
          <w:rFonts w:ascii="Calibri" w:cs="Calibri" w:eastAsia="Calibri" w:hAnsi="Calibri"/>
          <w:b/>
          <w:bCs/>
          <w:color w:val="8A6212"/>
          <w:spacing w:val="20"/>
          <w:sz w:val="16"/>
          <w:szCs w:val="16"/>
        </w:rPr>
        <w:t xml:space="preserve">SLIDE 11</w:t>
      </w:r>
    </w:p>
    <w:p>
      <w:pPr>
        <w:keepNext/>
        <w:spacing w:after="80" w:before="0"/>
      </w:pPr>
      <w:r>
        <w:rPr>
          <w:rFonts w:ascii="Cambria" w:cs="Cambria" w:eastAsia="Cambria" w:hAnsi="Cambria"/>
          <w:b/>
          <w:bCs/>
          <w:color w:val="1B4332"/>
          <w:sz w:val="27"/>
          <w:szCs w:val="27"/>
        </w:rPr>
        <w:t xml:space="preserve">5 Things to Keep in Mind Strategizing for Retailers</w:t>
      </w:r>
    </w:p>
    <w:p>
      <w:pPr>
        <w:keepNext/>
        <w:spacing w:after="40"/>
      </w:pPr>
      <w:r>
        <w:rPr>
          <w:rFonts w:ascii="Calibri" w:cs="Calibri" w:eastAsia="Calibri" w:hAnsi="Calibri"/>
          <w:b/>
          <w:bCs/>
          <w:color w:val="5B6B62"/>
          <w:sz w:val="18"/>
          <w:szCs w:val="18"/>
        </w:rPr>
        <w:t xml:space="preserve">On screen:  </w:t>
      </w:r>
      <w:r>
        <w:rPr>
          <w:rFonts w:ascii="Calibri" w:cs="Calibri" w:eastAsia="Calibri" w:hAnsi="Calibri"/>
          <w:i/>
          <w:iCs/>
          <w:color w:val="5B6B62"/>
          <w:sz w:val="18"/>
          <w:szCs w:val="18"/>
        </w:rPr>
        <w:t xml:space="preserve">Five numbered takeaways for consultants, dark closing slide, thank-you line at the bottom.</w:t>
      </w:r>
    </w:p>
    <w:p>
      <w:pPr>
        <w:keepNext/>
        <w:spacing w:after="120"/>
      </w:pPr>
      <w:r>
        <w:rPr>
          <w:rFonts w:ascii="Calibri" w:cs="Calibri" w:eastAsia="Calibri" w:hAnsi="Calibri"/>
          <w:b/>
          <w:bCs/>
          <w:color w:val="1B4332"/>
          <w:sz w:val="18"/>
          <w:szCs w:val="18"/>
        </w:rPr>
        <w:t xml:space="preserve">Target: ~48 sec   ·   Running total: 6:59</w:t>
      </w:r>
    </w:p>
    <w:p>
      <w:pPr>
        <w:keepLines/>
        <w:shd w:fill="E9F1EC" w:val="clear"/>
        <w:spacing w:after="80" w:before="80" w:line="300"/>
        <w:ind w:left="200" w:right="200"/>
      </w:pPr>
      <w:r>
        <w:rPr>
          <w:rFonts w:ascii="Calibri" w:cs="Calibri" w:eastAsia="Calibri" w:hAnsi="Calibri"/>
          <w:b/>
          <w:bCs/>
          <w:color w:val="8A6212"/>
          <w:spacing w:val="15"/>
          <w:sz w:val="17"/>
          <w:szCs w:val="17"/>
        </w:rPr>
        <w:t xml:space="preserve">SAY   </w:t>
      </w:r>
      <w:r>
        <w:rPr>
          <w:rFonts w:ascii="Calibri" w:cs="Calibri" w:eastAsia="Calibri" w:hAnsi="Calibri"/>
          <w:color w:val="20302A"/>
          <w:sz w:val="22"/>
          <w:szCs w:val="22"/>
        </w:rPr>
        <w:t xml:space="preserve">Five things to keep in mind strategizing for retailers. One: map exposure before you pitch — confirm which thresholds a client's suppliers actually cross. Two: design for the rule as amended, not announced — EUDR's slipped twice, CSRD's scope just shrank 80%; build flexible systems, not fixes tied to one draft. Three: turn mandatory traceability into shelf advantage — the same data retailers must collect anyway can power supplier scorecards and premium claims. Four: sequence the calendar by revenue-at-risk, not alphabetically. Five: build to the strictest market you touch — with US federal rules stalling while the EU and California tighten, one EU-grade program usually covers most markets at once. Thank you — happy to take questions.</w:t>
      </w:r>
    </w:p>
    <w:p>
      <w:r>
        <w:br w:type="page"/>
      </w:r>
    </w:p>
    <w:p>
      <w:pPr>
        <w:spacing w:after="40" w:before="0"/>
      </w:pPr>
      <w:r>
        <w:rPr>
          <w:rFonts w:ascii="Calibri" w:cs="Calibri" w:eastAsia="Calibri" w:hAnsi="Calibri"/>
          <w:b/>
          <w:bCs/>
          <w:color w:val="8A6212"/>
          <w:spacing w:val="20"/>
          <w:sz w:val="17"/>
          <w:szCs w:val="17"/>
        </w:rPr>
        <w:t xml:space="preserve">REFERENCE</w:t>
      </w:r>
    </w:p>
    <w:p>
      <w:pPr>
        <w:spacing w:after="100" w:before="0"/>
      </w:pPr>
      <w:r>
        <w:rPr>
          <w:rFonts w:ascii="Cambria" w:cs="Cambria" w:eastAsia="Cambria" w:hAnsi="Cambria"/>
          <w:b/>
          <w:bCs/>
          <w:color w:val="1B4332"/>
          <w:sz w:val="30"/>
          <w:szCs w:val="30"/>
        </w:rPr>
        <w:t xml:space="preserve">Sources &amp; Further Reading</w:t>
      </w:r>
    </w:p>
    <w:p>
      <w:pPr>
        <w:spacing w:after="240" w:before="0"/>
      </w:pPr>
      <w:r>
        <w:rPr>
          <w:rFonts w:ascii="Calibri" w:cs="Calibri" w:eastAsia="Calibri" w:hAnsi="Calibri"/>
          <w:color w:val="20302A"/>
          <w:sz w:val="21"/>
          <w:szCs w:val="21"/>
        </w:rPr>
        <w:t xml:space="preserve">All dates were current as of this briefing's preparation in September 2026. Several of these regulations — EUDR, CSRD/CSDDD, and California SB253/SB261 in particular — have shifted more than once. Confirm the live deadline against the official source before presenting to a client on a time-sensitive matter.</w:t>
      </w:r>
    </w:p>
    <w:p>
      <w:pPr>
        <w:spacing w:after="80" w:before="180"/>
      </w:pPr>
      <w:r>
        <w:rPr>
          <w:rFonts w:ascii="Calibri" w:cs="Calibri" w:eastAsia="Calibri" w:hAnsi="Calibri"/>
          <w:b/>
          <w:bCs/>
          <w:color w:val="1B4332"/>
          <w:sz w:val="22"/>
          <w:szCs w:val="22"/>
        </w:rPr>
        <w:t xml:space="preserve">EU Deforestation Regulation (EUDR)</w:t>
      </w:r>
    </w:p>
    <w:p>
      <w:pPr>
        <w:pStyle w:val="ListParagraph"/>
        <w:numPr>
          <w:ilvl w:val="0"/>
          <w:numId w:val="2"/>
        </w:numPr>
        <w:spacing w:after="90"/>
      </w:pPr>
      <w:r>
        <w:rPr>
          <w:rFonts w:ascii="Calibri" w:cs="Calibri" w:eastAsia="Calibri" w:hAnsi="Calibri"/>
          <w:color w:val="20302A"/>
          <w:sz w:val="20"/>
          <w:szCs w:val="20"/>
        </w:rPr>
        <w:t xml:space="preserve">Regulation (EU) 2023/1115 (Official Journal L150, 9 June 2023) and amending Regulation (EU) 2025/2650.</w:t>
      </w:r>
    </w:p>
    <w:p>
      <w:pPr>
        <w:pStyle w:val="ListParagraph"/>
        <w:numPr>
          <w:ilvl w:val="0"/>
          <w:numId w:val="2"/>
        </w:numPr>
        <w:spacing w:after="90"/>
      </w:pPr>
      <w:r>
        <w:rPr>
          <w:rFonts w:ascii="Calibri" w:cs="Calibri" w:eastAsia="Calibri" w:hAnsi="Calibri"/>
          <w:color w:val="20302A"/>
          <w:sz w:val="20"/>
          <w:szCs w:val="20"/>
        </w:rPr>
        <w:t xml:space="preserve">European Commission, Access2Markets — “Delay until December 2026 and other developments in the implementation of the EUDR Regulation” (December 2025).</w:t>
      </w:r>
    </w:p>
    <w:p>
      <w:pPr>
        <w:pStyle w:val="ListParagraph"/>
        <w:numPr>
          <w:ilvl w:val="0"/>
          <w:numId w:val="2"/>
        </w:numPr>
        <w:spacing w:after="90"/>
      </w:pPr>
      <w:r>
        <w:rPr>
          <w:rFonts w:ascii="Calibri" w:cs="Calibri" w:eastAsia="Calibri" w:hAnsi="Calibri"/>
          <w:color w:val="20302A"/>
          <w:sz w:val="20"/>
          <w:szCs w:val="20"/>
        </w:rPr>
        <w:t xml:space="preserve">World Resources Institute — “What Is the EU Deforestation Regulation (EUDR)?” (updated May 2026).</w:t>
      </w:r>
    </w:p>
    <w:p>
      <w:pPr>
        <w:spacing w:after="80" w:before="180"/>
      </w:pPr>
      <w:r>
        <w:rPr>
          <w:rFonts w:ascii="Calibri" w:cs="Calibri" w:eastAsia="Calibri" w:hAnsi="Calibri"/>
          <w:b/>
          <w:bCs/>
          <w:color w:val="1B4332"/>
          <w:sz w:val="22"/>
          <w:szCs w:val="22"/>
        </w:rPr>
        <w:t xml:space="preserve">CSRD &amp; CSDDD / “Omnibus I”</w:t>
      </w:r>
    </w:p>
    <w:p>
      <w:pPr>
        <w:pStyle w:val="ListParagraph"/>
        <w:numPr>
          <w:ilvl w:val="0"/>
          <w:numId w:val="2"/>
        </w:numPr>
        <w:spacing w:after="90"/>
      </w:pPr>
      <w:r>
        <w:rPr>
          <w:rFonts w:ascii="Calibri" w:cs="Calibri" w:eastAsia="Calibri" w:hAnsi="Calibri"/>
          <w:color w:val="20302A"/>
          <w:sz w:val="20"/>
          <w:szCs w:val="20"/>
        </w:rPr>
        <w:t xml:space="preserve">Directive (EU) 2026/470 (“Omnibus I”), Official Journal, 26 February 2026; entered into force 18 March 2026.</w:t>
      </w:r>
    </w:p>
    <w:p>
      <w:pPr>
        <w:pStyle w:val="ListParagraph"/>
        <w:numPr>
          <w:ilvl w:val="0"/>
          <w:numId w:val="2"/>
        </w:numPr>
        <w:spacing w:after="90"/>
      </w:pPr>
      <w:r>
        <w:rPr>
          <w:rFonts w:ascii="Calibri" w:cs="Calibri" w:eastAsia="Calibri" w:hAnsi="Calibri"/>
          <w:color w:val="20302A"/>
          <w:sz w:val="20"/>
          <w:szCs w:val="20"/>
        </w:rPr>
        <w:t xml:space="preserve">EFRAG, draft simplified European Sustainability Reporting Standards (3 December 2025).</w:t>
      </w:r>
    </w:p>
    <w:p>
      <w:pPr>
        <w:pStyle w:val="ListParagraph"/>
        <w:numPr>
          <w:ilvl w:val="0"/>
          <w:numId w:val="2"/>
        </w:numPr>
        <w:spacing w:after="90"/>
      </w:pPr>
      <w:r>
        <w:rPr>
          <w:rFonts w:ascii="Calibri" w:cs="Calibri" w:eastAsia="Calibri" w:hAnsi="Calibri"/>
          <w:color w:val="20302A"/>
          <w:sz w:val="20"/>
          <w:szCs w:val="20"/>
        </w:rPr>
        <w:t xml:space="preserve">Accountancy Europe — “Omnibus explained: key changes to the CSRD and CSDDD” (2026).</w:t>
      </w:r>
    </w:p>
    <w:p>
      <w:pPr>
        <w:spacing w:after="80" w:before="180"/>
      </w:pPr>
      <w:r>
        <w:rPr>
          <w:rFonts w:ascii="Calibri" w:cs="Calibri" w:eastAsia="Calibri" w:hAnsi="Calibri"/>
          <w:b/>
          <w:bCs/>
          <w:color w:val="1B4332"/>
          <w:sz w:val="22"/>
          <w:szCs w:val="22"/>
        </w:rPr>
        <w:t xml:space="preserve">Packaging — PPWR, UK pEPR, UK Plastic Packaging Tax</w:t>
      </w:r>
    </w:p>
    <w:p>
      <w:pPr>
        <w:pStyle w:val="ListParagraph"/>
        <w:numPr>
          <w:ilvl w:val="0"/>
          <w:numId w:val="2"/>
        </w:numPr>
        <w:spacing w:after="90"/>
      </w:pPr>
      <w:r>
        <w:rPr>
          <w:rFonts w:ascii="Calibri" w:cs="Calibri" w:eastAsia="Calibri" w:hAnsi="Calibri"/>
          <w:color w:val="20302A"/>
          <w:sz w:val="20"/>
          <w:szCs w:val="20"/>
        </w:rPr>
        <w:t xml:space="preserve">Regulation (EU) 2025/40 (Packaging and Packaging Waste Regulation), Official Journal, 22 January 2025.</w:t>
      </w:r>
    </w:p>
    <w:p>
      <w:pPr>
        <w:pStyle w:val="ListParagraph"/>
        <w:numPr>
          <w:ilvl w:val="0"/>
          <w:numId w:val="2"/>
        </w:numPr>
        <w:spacing w:after="90"/>
      </w:pPr>
      <w:r>
        <w:rPr>
          <w:rFonts w:ascii="Calibri" w:cs="Calibri" w:eastAsia="Calibri" w:hAnsi="Calibri"/>
          <w:color w:val="20302A"/>
          <w:sz w:val="20"/>
          <w:szCs w:val="20"/>
        </w:rPr>
        <w:t xml:space="preserve">UK Government (Defra / PackUK) — “Year 1 Extended Producer Responsibility for packaging fees update” (gov.uk, February 2026).</w:t>
      </w:r>
    </w:p>
    <w:p>
      <w:pPr>
        <w:pStyle w:val="ListParagraph"/>
        <w:numPr>
          <w:ilvl w:val="0"/>
          <w:numId w:val="2"/>
        </w:numPr>
        <w:spacing w:after="90"/>
      </w:pPr>
      <w:r>
        <w:rPr>
          <w:rFonts w:ascii="Calibri" w:cs="Calibri" w:eastAsia="Calibri" w:hAnsi="Calibri"/>
          <w:color w:val="20302A"/>
          <w:sz w:val="20"/>
          <w:szCs w:val="20"/>
        </w:rPr>
        <w:t xml:space="preserve">HMRC — Plastic Packaging Tax rate notices (2026–27 rate effective 1 April 2026).</w:t>
      </w:r>
    </w:p>
    <w:p>
      <w:pPr>
        <w:spacing w:after="80" w:before="180"/>
      </w:pPr>
      <w:r>
        <w:rPr>
          <w:rFonts w:ascii="Calibri" w:cs="Calibri" w:eastAsia="Calibri" w:hAnsi="Calibri"/>
          <w:b/>
          <w:bCs/>
          <w:color w:val="1B4332"/>
          <w:sz w:val="22"/>
          <w:szCs w:val="22"/>
        </w:rPr>
        <w:t xml:space="preserve">United States — SEC &amp; California</w:t>
      </w:r>
    </w:p>
    <w:p>
      <w:pPr>
        <w:pStyle w:val="ListParagraph"/>
        <w:numPr>
          <w:ilvl w:val="0"/>
          <w:numId w:val="2"/>
        </w:numPr>
        <w:spacing w:after="90"/>
      </w:pPr>
      <w:r>
        <w:rPr>
          <w:rFonts w:ascii="Calibri" w:cs="Calibri" w:eastAsia="Calibri" w:hAnsi="Calibri"/>
          <w:color w:val="20302A"/>
          <w:sz w:val="20"/>
          <w:szCs w:val="20"/>
        </w:rPr>
        <w:t xml:space="preserve">U.S. SEC — “Rescission of Climate-Related Disclosure Rules,” Release Nos. 33-11421 (proposed rule, 3 June 2026).</w:t>
      </w:r>
    </w:p>
    <w:p>
      <w:pPr>
        <w:pStyle w:val="ListParagraph"/>
        <w:numPr>
          <w:ilvl w:val="0"/>
          <w:numId w:val="2"/>
        </w:numPr>
        <w:spacing w:after="90"/>
      </w:pPr>
      <w:r>
        <w:rPr>
          <w:rFonts w:ascii="Calibri" w:cs="Calibri" w:eastAsia="Calibri" w:hAnsi="Calibri"/>
          <w:color w:val="20302A"/>
          <w:sz w:val="20"/>
          <w:szCs w:val="20"/>
        </w:rPr>
        <w:t xml:space="preserve">California Air Resources Board (CARB) — initial SB253 / SB261 implementing regulations, adopted 26 February 2026.</w:t>
      </w:r>
    </w:p>
    <w:p>
      <w:pPr>
        <w:pStyle w:val="ListParagraph"/>
        <w:numPr>
          <w:ilvl w:val="0"/>
          <w:numId w:val="2"/>
        </w:numPr>
        <w:spacing w:after="90"/>
      </w:pPr>
      <w:r>
        <w:rPr>
          <w:rFonts w:ascii="Calibri" w:cs="Calibri" w:eastAsia="Calibri" w:hAnsi="Calibri"/>
          <w:color w:val="20302A"/>
          <w:sz w:val="20"/>
          <w:szCs w:val="20"/>
        </w:rPr>
        <w:t xml:space="preserve">U.S. Court of Appeals for the Ninth Circuit — injunction order re: SB261 enforcement (18 November 2025).</w:t>
      </w:r>
    </w:p>
    <w:p>
      <w:pPr>
        <w:spacing w:after="80" w:before="180"/>
      </w:pPr>
      <w:r>
        <w:rPr>
          <w:rFonts w:ascii="Calibri" w:cs="Calibri" w:eastAsia="Calibri" w:hAnsi="Calibri"/>
          <w:b/>
          <w:bCs/>
          <w:color w:val="1B4332"/>
          <w:sz w:val="22"/>
          <w:szCs w:val="22"/>
        </w:rPr>
        <w:t xml:space="preserve">Green Claims — EU EmpCo, Green Claims Directive, FTC</w:t>
      </w:r>
    </w:p>
    <w:p>
      <w:pPr>
        <w:pStyle w:val="ListParagraph"/>
        <w:numPr>
          <w:ilvl w:val="0"/>
          <w:numId w:val="2"/>
        </w:numPr>
        <w:spacing w:after="90"/>
      </w:pPr>
      <w:r>
        <w:rPr>
          <w:rFonts w:ascii="Calibri" w:cs="Calibri" w:eastAsia="Calibri" w:hAnsi="Calibri"/>
          <w:color w:val="20302A"/>
          <w:sz w:val="20"/>
          <w:szCs w:val="20"/>
        </w:rPr>
        <w:t xml:space="preserve">Directive (EU) 2024/825 (Empowering Consumers for the Green Transition / “EmpCo”), applies from 27 September 2026.</w:t>
      </w:r>
    </w:p>
    <w:p>
      <w:pPr>
        <w:pStyle w:val="ListParagraph"/>
        <w:numPr>
          <w:ilvl w:val="0"/>
          <w:numId w:val="2"/>
        </w:numPr>
        <w:spacing w:after="90"/>
      </w:pPr>
      <w:r>
        <w:rPr>
          <w:rFonts w:ascii="Calibri" w:cs="Calibri" w:eastAsia="Calibri" w:hAnsi="Calibri"/>
          <w:color w:val="20302A"/>
          <w:sz w:val="20"/>
          <w:szCs w:val="20"/>
        </w:rPr>
        <w:t xml:space="preserve">European Commission — statements on Green Claims Directive withdrawal intent (20 June 2025).</w:t>
      </w:r>
    </w:p>
    <w:p>
      <w:pPr>
        <w:pStyle w:val="ListParagraph"/>
        <w:numPr>
          <w:ilvl w:val="0"/>
          <w:numId w:val="2"/>
        </w:numPr>
        <w:spacing w:after="90"/>
      </w:pPr>
      <w:r>
        <w:rPr>
          <w:rFonts w:ascii="Calibri" w:cs="Calibri" w:eastAsia="Calibri" w:hAnsi="Calibri"/>
          <w:color w:val="20302A"/>
          <w:sz w:val="20"/>
          <w:szCs w:val="20"/>
        </w:rPr>
        <w:t xml:space="preserve">U.S. FTC — Green Guides review docket (reopened December 2022; not finalized as of this briefing).</w:t>
      </w:r>
    </w:p>
    <w:p>
      <w:pPr>
        <w:spacing w:after="80" w:before="180"/>
      </w:pPr>
      <w:r>
        <w:rPr>
          <w:rFonts w:ascii="Calibri" w:cs="Calibri" w:eastAsia="Calibri" w:hAnsi="Calibri"/>
          <w:b/>
          <w:bCs/>
          <w:color w:val="1B4332"/>
          <w:sz w:val="22"/>
          <w:szCs w:val="22"/>
        </w:rPr>
        <w:t xml:space="preserve">Palm Oil &amp; Commodity Alternatives</w:t>
      </w:r>
    </w:p>
    <w:p>
      <w:pPr>
        <w:pStyle w:val="ListParagraph"/>
        <w:numPr>
          <w:ilvl w:val="0"/>
          <w:numId w:val="2"/>
        </w:numPr>
        <w:spacing w:after="90"/>
      </w:pPr>
      <w:r>
        <w:rPr>
          <w:rFonts w:ascii="Calibri" w:cs="Calibri" w:eastAsia="Calibri" w:hAnsi="Calibri"/>
          <w:color w:val="20302A"/>
          <w:sz w:val="20"/>
          <w:szCs w:val="20"/>
        </w:rPr>
        <w:t xml:space="preserve">Company disclosures: Unilever (January 2025 palm oil deforestation-free confirmation); Nestlé (reformulation of 1,400+ products since 2020).</w:t>
      </w:r>
    </w:p>
    <w:p>
      <w:pPr>
        <w:pStyle w:val="ListParagraph"/>
        <w:numPr>
          <w:ilvl w:val="0"/>
          <w:numId w:val="2"/>
        </w:numPr>
        <w:spacing w:after="90"/>
      </w:pPr>
      <w:r>
        <w:rPr>
          <w:rFonts w:ascii="Calibri" w:cs="Calibri" w:eastAsia="Calibri" w:hAnsi="Calibri"/>
          <w:color w:val="20302A"/>
          <w:sz w:val="20"/>
          <w:szCs w:val="20"/>
        </w:rPr>
        <w:t xml:space="preserve">Industry coverage of C16 Biosciences (“Palmless”), Corbion, and Olam Food Ingredients’ (OFI) shea supply chain.</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30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2026-09-08T13:08:19.918Z</dcterms:created>
  <dcterms:modified xsi:type="dcterms:W3CDTF">2026-09-08T13:08:19.919Z</dcterms:modified>
</cp:coreProperties>
</file>

<file path=docProps/custom.xml><?xml version="1.0" encoding="utf-8"?>
<Properties xmlns="http://schemas.openxmlformats.org/officeDocument/2006/custom-properties" xmlns:vt="http://schemas.openxmlformats.org/officeDocument/2006/docPropsVTypes"/>
</file>