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4"/>
        </w:rPr>
        <w:t>距离测度加权采样的大实验更新版</w:t>
      </w:r>
    </w:p>
    <w:p>
      <w:pPr>
        <w:spacing w:after="200"/>
      </w:pPr>
      <w:r>
        <w:rPr>
          <w:rFonts w:ascii="Calibri" w:hAnsi="Calibri" w:eastAsia="Microsoft YaHei"/>
          <w:color w:val="555555"/>
          <w:sz w:val="24"/>
        </w:rPr>
        <w:t>从 NN-PR/TYPR 距离出发，决定 D-optimal 与随机采样的批次混合比例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实验规模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n=10000；p=20 和 p=50；5 类数据集；5 个 data seed；2 个初始采样 seed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策略数量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Measure-weighted、Random、D-optimal、Latin hypercube 共 4 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批次设置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初始 5% 均匀 pilot；每轮新增 500 点；6 轮 batch 更新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主规则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8"/>
              </w:rPr>
              <w:t>使用 mean(d_FPR, d_TYPR) 作为保守距离，映射到 30%-95% 的 D-optimal 比例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核心结论 </w:t>
            </w:r>
            <w:r>
              <w:rPr>
                <w:rFonts w:ascii="Calibri" w:hAnsi="Calibri" w:eastAsia="Microsoft YaHei"/>
                <w:sz w:val="21"/>
              </w:rPr>
              <w:t>新的大实验表明，该测度最适合被解释为 transfer gate：距离小则更大胆迁移 PR/D-optimal 技术，距离大则保留更多随机探索。它不是万能地击败所有采样规则，但能揭示何时旧技术会产生负迁移。</w:t>
            </w:r>
          </w:p>
        </w:tc>
      </w:tr>
    </w:tbl>
    <w:p/>
    <w:p>
      <w:pPr>
        <w:pStyle w:val="Heading1"/>
      </w:pPr>
      <w:r>
        <w:t>1. 实验流程</w:t>
      </w:r>
    </w:p>
    <w:p>
      <w:pPr>
        <w:spacing w:after="120"/>
      </w:pPr>
      <w:r>
        <w:rPr>
          <w:rFonts w:ascii="Calibri" w:hAnsi="Calibri" w:eastAsia="Microsoft YaHei"/>
        </w:rPr>
        <w:t>实际应用中无法预先知道 NN 与 FullPR/TYPR 是否接近。因此实验先在训练集上做均匀 pilot 抽样，训练初始 NN，再计算该 NN 与 FullPR、TYPR 的响应曲面距离。距离经过归一化后转成下一批数据中的 D-optimal 比例。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708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sampling_flowchart_c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70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1. 距离测度加权的批次采样流程</w:t>
      </w:r>
    </w:p>
    <w:p>
      <w:pPr>
        <w:pStyle w:val="Heading1"/>
      </w:pPr>
      <w:r>
        <w:t>2. 实验设计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对每个数据集做 75/25 train/test 拆分，训练集内先均匀抽取 5% 作为 pilot subset。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用 pilot subset 训练单隐层 tanh NN；在 pilot validation 上计算 NN-FPR 和 NN-TYPR 距离。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主实验使用 mean(d_FPR, d_TYPR) 而不是 min(...)，避免高维下单个 PR 代理偶然贴近导致过度使用 D-optimal。</w:t>
      </w:r>
    </w:p>
    <w:p>
      <w:pPr>
        <w:pStyle w:val="ListNumber"/>
        <w:spacing w:after="80"/>
      </w:pPr>
      <w:r>
        <w:rPr>
          <w:rFonts w:ascii="Calibri" w:hAnsi="Calibri" w:eastAsia="Microsoft YaHei"/>
          <w:sz w:val="21"/>
        </w:rPr>
        <w:t>每轮固定新增 500 点，Measure-weighted 策略按 weight 混合 D-optimal 点和随机点；对照组为全随机、全 D-optimal 和 Latin hypercube。</w:t>
      </w:r>
    </w:p>
    <w:p>
      <w:pPr>
        <w:pStyle w:val="Heading1"/>
      </w:pPr>
      <w:r>
        <w:t>3. 主结果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600"/>
        <w:gridCol w:w="1600"/>
        <w:gridCol w:w="1700"/>
        <w:gridCol w:w="1500"/>
        <w:gridCol w:w="126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策略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Final MSE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相对随机提升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正提升率</w:t>
            </w:r>
          </w:p>
        </w:tc>
        <w:tc>
          <w:tcPr>
            <w:tcW w:type="dxa" w:w="12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运行数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Latin hypercube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0.004811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5.79%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D-optimal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0.004986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4.11%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Measure-weighted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0.004993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4.40%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72.0%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Random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0.005113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Latin hypercube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0.018574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0.17%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46.0%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Random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0.018808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Measure-weighted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0.019143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0.50%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54.0%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D-optimal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0.019594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-1.85%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48.0%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04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gain_by_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2. 不同维度下各策略相对随机采样的最终提升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54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learning_g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4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3. 多轮 batch 更新中的相对随机提升曲线</w:t>
      </w:r>
    </w:p>
    <w:p>
      <w:pPr>
        <w:pStyle w:val="Heading1"/>
      </w:pPr>
      <w:r>
        <w:t>4. 分数据集结果</w:t>
      </w:r>
    </w:p>
    <w:p>
      <w:pPr>
        <w:spacing w:after="120"/>
      </w:pPr>
      <w:r>
        <w:rPr>
          <w:rFonts w:ascii="Calibri" w:hAnsi="Calibri" w:eastAsia="Microsoft YaHei"/>
        </w:rPr>
        <w:t>Measure-weighted 在 p=20 的多数结构上为正提升，在 p=50 中能明显缓解全 D-optimal 的负迁移，尤其在 high-frequency 中将全 D-optimal 的大幅损失压回接近随机水平，在 local interior 中则取得最强结果。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400"/>
        <w:gridCol w:w="2200"/>
        <w:gridCol w:w="2000"/>
        <w:gridCol w:w="1700"/>
      </w:tblGrid>
      <w:tr>
        <w:trPr>
          <w:tblHeader w:val="true"/>
        </w:trPr>
        <w:tc>
          <w:tcPr>
            <w:tcW w:type="dxa" w:w="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数据集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Measure-weighted MSE</w:t>
            </w:r>
          </w:p>
        </w:tc>
        <w:tc>
          <w:tcPr>
            <w:tcW w:type="dxa" w:w="2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相对随机提升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正提升率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高频非多项式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0.010106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-9.52%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40.0%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局部内部结构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0.003893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5.82%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二次多项式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0.007036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8.24%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90.0%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平滑非线性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0.002244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8.96%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90.0%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强非线性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0.001685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8.48%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60.0%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高频非多项式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0.022579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0.24%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60.0%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局部内部结构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0.008042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13.55%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80.0%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二次多项式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0.049157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-8.05%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30.0%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平滑非线性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0.010861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-2.91%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30.0%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强非线性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0.005076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-0.33%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70.0%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983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case_gain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4. Measure-weighted 在各数据集和维度下的相对随机提升</w:t>
      </w:r>
    </w:p>
    <w:p>
      <w:pPr>
        <w:pStyle w:val="Heading1"/>
      </w:pPr>
      <w:r>
        <w:t>5. 权重校准与测度解释</w:t>
      </w:r>
    </w:p>
    <w:p>
      <w:pPr>
        <w:spacing w:after="120"/>
      </w:pPr>
      <w:r>
        <w:rPr>
          <w:rFonts w:ascii="Calibri" w:hAnsi="Calibri" w:eastAsia="Microsoft YaHei"/>
        </w:rPr>
        <w:t>权重热图显示，采样比例不是按数据集标签硬编码，而是由每个 pilot run 的距离决定。p=20 中 high-frequency 被压到低 D-optimal 比例；p=50 中某些情形的权重明显下降，说明维度升高后 PR/TYPR 近似性变弱时，策略会自动更保守。</w:t>
      </w:r>
    </w:p>
    <w:tbl>
      <w:tblPr>
        <w:tblW w:type="dxa" w:w="89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200"/>
        <w:gridCol w:w="1900"/>
        <w:gridCol w:w="1900"/>
        <w:gridCol w:w="2310"/>
      </w:tblGrid>
      <w:tr>
        <w:trPr>
          <w:tblHeader w:val="true"/>
        </w:trPr>
        <w:tc>
          <w:tcPr>
            <w:tcW w:type="dxa" w:w="6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</w:t>
            </w:r>
          </w:p>
        </w:tc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数据集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FPR 距离均值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TYPR 距离均值</w:t>
            </w:r>
          </w:p>
        </w:tc>
        <w:tc>
          <w:tcPr>
            <w:tcW w:type="dxa" w:w="23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D-optimal 比例均值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高频非多项式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0.22958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0.94323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0.323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局部内部结构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0.08290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0.90947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0.551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二次多项式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0.04888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0.92314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0.579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平滑非线性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0.01406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0.78233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0.779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强非线性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0.01903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0.80521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0.749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高频非多项式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0.01115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0.87244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0.377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局部内部结构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0.00287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0.69602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0.545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二次多项式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0.00381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0.67319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0.578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平滑非线性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0.00507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0.53331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0.694</w:t>
            </w:r>
          </w:p>
        </w:tc>
      </w:tr>
      <w:tr>
        <w:tc>
          <w:tcPr>
            <w:tcW w:type="dxa" w:w="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强非线性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0.00797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0.42922</w:t>
            </w:r>
          </w:p>
        </w:tc>
        <w:tc>
          <w:tcPr>
            <w:tcW w:type="dxa" w:w="2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sz w:val="17"/>
              </w:rPr>
              <w:t>0.815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983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_weighted_grand_weight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9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color w:val="555555"/>
          <w:sz w:val="18"/>
        </w:rPr>
        <w:t>图 5. 由 NN-PR/TYPR 距离学习到的 D-optimal 平均比例</w:t>
      </w:r>
    </w:p>
    <w:p>
      <w:pPr>
        <w:pStyle w:val="Heading1"/>
      </w:pPr>
      <w:r>
        <w:t>6. 敏感性与边界条件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重要修正 </w:t>
            </w:r>
            <w:r>
              <w:rPr>
                <w:rFonts w:ascii="Calibri" w:hAnsi="Calibri" w:eastAsia="Microsoft YaHei"/>
                <w:sz w:val="21"/>
              </w:rPr>
              <w:t>早先使用 min(d_FPR, d_TYPR) 时，p=50 的 Measure-weighted 相对随机为 -2.821%；改用 mean(d_FPR, d_TYPR) 后提高到 +0.501%，并超过全 D-optimal 的 -1.846%。这说明高维下需要更保守的距离组合规则。</w:t>
            </w:r>
          </w:p>
        </w:tc>
      </w:tr>
    </w:tbl>
    <w:p/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优势：该测度能把采样策略从固定规则变成数据驱动规则，尤其能识别 D-optimal 可能负迁移的场景。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限制：Latin hypercube 在某些高频或全局覆盖需求强的场景仍然更稳定；当前策略只在随机和 D-optimal 之间混合，尚未把 Latin 作为可选动作。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后续改进：可把 D-optimal 下限从 30% 降到 10% 或引入三路混合（random / D-optimal / Latin），让远距离场景更接近纯探索。</w:t>
      </w:r>
    </w:p>
    <w:p>
      <w:pPr>
        <w:pStyle w:val="Heading1"/>
      </w:pPr>
      <w:r>
        <w:t>7. 可写入论文的表述</w:t>
      </w:r>
    </w:p>
    <w:p>
      <w:pPr>
        <w:spacing w:after="120"/>
      </w:pPr>
      <w:r>
        <w:rPr>
          <w:rFonts w:ascii="Calibri" w:hAnsi="Calibri" w:eastAsia="Microsoft YaHei"/>
        </w:rPr>
        <w:t>本实验支持的不是“测度加权采样永远优于所有设计”，而是一个更稳健的结论：NN-PR/TYPR 距离可以作为旧 PR/D-optimal 技术迁移到新 NN 模型前的可操作 gate。距离小，旧技术可高比例迁移；距离大，策略保留随机探索以降低负迁移风险。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Generated from reproducible experiment outputs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距离测度加权采样大实验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