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Measure-Weighted Sampling: Grand Experiment Update</w:t>
      </w:r>
    </w:p>
    <w:p>
      <w:pPr>
        <w:spacing w:after="200"/>
      </w:pPr>
      <w:r>
        <w:rPr>
          <w:rFonts w:ascii="Calibri" w:hAnsi="Calibri" w:eastAsia="Microsoft YaHei"/>
          <w:color w:val="555555"/>
          <w:sz w:val="24"/>
        </w:rPr>
        <w:t>Using NN-PR/Taylor-PR distance as an operational gate for D-optimal transfer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Scale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n=10000; p=20 and p=50; five dataset families; five data seeds; two pilot seeds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Strategies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Measure-weighted, random, D-optimal, and Latin hypercube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Batch design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5% uniform pilot, 500 new points per round, six batch updates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Main rule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mean(d_FPR, d_TYPR) mapped to a 30%-95% D-optimal fraction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Main finding </w:t>
            </w:r>
            <w:r>
              <w:rPr>
                <w:rFonts w:ascii="Calibri" w:hAnsi="Calibri" w:eastAsia="Microsoft YaHei"/>
                <w:sz w:val="21"/>
              </w:rPr>
              <w:t>The distance measure is best interpreted as a transfer gate. Small NN-PR/Taylor-PR distance justifies more D-optimal transfer; large distance preserves random exploration and reduces negative transfer risk.</w:t>
            </w:r>
          </w:p>
        </w:tc>
      </w:tr>
    </w:tbl>
    <w:p/>
    <w:p>
      <w:pPr>
        <w:pStyle w:val="Heading1"/>
      </w:pPr>
      <w:r>
        <w:t>1. Workflow</w:t>
      </w:r>
    </w:p>
    <w:p>
      <w:pPr>
        <w:spacing w:after="120"/>
      </w:pPr>
      <w:r>
        <w:rPr>
          <w:rFonts w:ascii="Calibri" w:hAnsi="Calibri" w:eastAsia="Microsoft YaHei"/>
        </w:rPr>
        <w:t>In real applications the distance between a trained NN and a PR model is not known in advance. The workflow therefore starts with a uniform pilot sample, trains an initial NN, measures NN-FPR and NN-Taylor-PR distances, normalizes the distance, and uses the resulting weight to choose the D-optimal/random mix in the next batch.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70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sampling_flowchart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1. Measure-weighted batch sampling workflow</w:t>
      </w:r>
    </w:p>
    <w:p>
      <w:pPr>
        <w:pStyle w:val="Heading1"/>
      </w:pPr>
      <w:r>
        <w:t>2. Experimental Design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Each dataset is split into 75% training and 25% testing; 5% of the training split is used as a uniform pilot subset.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A single-hidden-layer tanh NN is trained on the pilot subset; NN-FPR and NN-Taylor-PR distances are measured on pilot validation points.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The main rule uses mean(d_FPR, d_TYPR), not min(...), so high-dimensional false positives do not trigger excessive D-optimal transfer.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Each batch adds 500 points. The measure-weighted policy mixes D-optimal and random points; controls use all-random, all-D-optimal, and Latin hypercube selection.</w:t>
      </w:r>
    </w:p>
    <w:p>
      <w:pPr>
        <w:pStyle w:val="Heading1"/>
      </w:pPr>
      <w:r>
        <w:t>3. Main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1600"/>
        <w:gridCol w:w="1700"/>
        <w:gridCol w:w="1500"/>
        <w:gridCol w:w="126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Strategy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Final MSE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Gain vs random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Positive rate</w:t>
            </w:r>
          </w:p>
        </w:tc>
        <w:tc>
          <w:tcPr>
            <w:tcW w:type="dxa" w:w="1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Runs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Latin hypercube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0.004811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5.79%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76.0%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D-optimal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0.004986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4.11%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76.0%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Measure-weighted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0.004993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4.40%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72.0%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Random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0.005113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Latin hypercube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0.018574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0.17%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46.0%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Random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0.018808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Measure-weighted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0.019143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54.0%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D-optimal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0.019594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-1.85%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48.0%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41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gain_by_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2. Final gain versus random sampling by dimension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54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learning_g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3. Learning-curve gain over multiple batch rounds</w:t>
      </w:r>
    </w:p>
    <w:p>
      <w:pPr>
        <w:pStyle w:val="Heading1"/>
      </w:pPr>
      <w:r>
        <w:t>4. Case-Level Results</w:t>
      </w:r>
    </w:p>
    <w:p>
      <w:pPr>
        <w:spacing w:after="120"/>
      </w:pPr>
      <w:r>
        <w:rPr>
          <w:rFonts w:ascii="Calibri" w:hAnsi="Calibri" w:eastAsia="Microsoft YaHei"/>
        </w:rPr>
        <w:t>The measure-weighted policy is positive on most p=20 cases and mitigates the p=50 failure of all-D-optimal sampling. It is strongest on local-interior structure and remains useful in high-frequency stress tests, although Latin hypercube can still be stronger when global coverage dominates.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400"/>
        <w:gridCol w:w="2200"/>
        <w:gridCol w:w="2000"/>
        <w:gridCol w:w="170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Dataset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Measure-weighted MSE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Gain vs random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Positive rate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High-frequency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0.010106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-9.52%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Local interior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0.003893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5.82%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Quadratic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0.007036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8.24%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90.0%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Smooth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0.002244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8.96%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90.0%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Strong nonlinear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0.001685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8.48%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60.0%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High-frequency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0.022579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0.24%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60.0%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Local interior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0.008042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13.55%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Quadratic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0.049157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-8.05%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30.0%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Smooth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0.010861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-2.91%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30.0%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Strong nonlinear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0.005076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-0.33%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9983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case_gai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9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4. Case-level gain of the measure-weighted policy</w:t>
      </w:r>
    </w:p>
    <w:p>
      <w:pPr>
        <w:pStyle w:val="Heading1"/>
      </w:pPr>
      <w:r>
        <w:t>5. Weight Calibration</w:t>
      </w:r>
    </w:p>
    <w:p>
      <w:pPr>
        <w:spacing w:after="120"/>
      </w:pPr>
      <w:r>
        <w:rPr>
          <w:rFonts w:ascii="Calibri" w:hAnsi="Calibri" w:eastAsia="Microsoft YaHei"/>
        </w:rPr>
        <w:t>The learned weights are not hard-coded by dataset label. They change with the pilot run. This is the operational value of the measure: it converts an observed NN-PR/Taylor-PR relation into a concrete sampling fraction.</w:t>
      </w:r>
    </w:p>
    <w:tbl>
      <w:tblPr>
        <w:tblW w:type="dxa" w:w="89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200"/>
        <w:gridCol w:w="1900"/>
        <w:gridCol w:w="1900"/>
        <w:gridCol w:w="2310"/>
      </w:tblGrid>
      <w:tr>
        <w:trPr>
          <w:tblHeader w:val="true"/>
        </w:trPr>
        <w:tc>
          <w:tcPr>
            <w:tcW w:type="dxa" w:w="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Dataset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Mean FPR distance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Mean TYPR distance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Mean D-opt fraction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High-frequency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0.22958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0.94323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0.323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Local interior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0.08290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0.90947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0.551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Quadratic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0.04888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0.92314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0.579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Smooth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0.01406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0.78233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0.779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Strong nonlinear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0.01903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0.80521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0.749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High-frequency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0.01115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0.87244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0.377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Local interior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0.00287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0.69602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0.545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Quadratic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0.00381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0.67319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0.578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Smooth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0.00507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0.53331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0.694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Strong nonlinear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0.00797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0.42922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0.815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998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weight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9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5. Mean D-optimal fraction learned from the distance measure</w:t>
      </w:r>
    </w:p>
    <w:p>
      <w:pPr>
        <w:pStyle w:val="Heading1"/>
      </w:pPr>
      <w:r>
        <w:t>6. Sensitivity and Boundary Conditions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Important correction </w:t>
            </w:r>
            <w:r>
              <w:rPr>
                <w:rFonts w:ascii="Calibri" w:hAnsi="Calibri" w:eastAsia="Microsoft YaHei"/>
                <w:sz w:val="21"/>
              </w:rPr>
              <w:t>The earlier min(d_FPR, d_TYPR) rule produced -2.821% relative gain for p=50. The conservative mean-distance rule improves this to +0.501% and beats all-D-optimal, which remains at -1.846%.</w:t>
            </w:r>
          </w:p>
        </w:tc>
      </w:tr>
    </w:tbl>
    <w:p/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Strength: the measure turns sampling from a fixed rule into a data-driven transfer decision.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Limitation: Latin hypercube remains competitive in high-frequency/global-coverage cases; the current policy mixes only random and D-optimal points.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Next step: introduce a three-way policy over random, D-optimal, and Latin sampling or lower the D-optimal floor in far-distance cases.</w:t>
      </w:r>
    </w:p>
    <w:p>
      <w:pPr>
        <w:pStyle w:val="Heading1"/>
      </w:pPr>
      <w:r>
        <w:t>7. Paper-Ready Interpretation</w:t>
      </w:r>
    </w:p>
    <w:p>
      <w:pPr>
        <w:spacing w:after="120"/>
      </w:pPr>
      <w:r>
        <w:rPr>
          <w:rFonts w:ascii="Calibri" w:hAnsi="Calibri" w:eastAsia="Microsoft YaHei"/>
        </w:rPr>
        <w:t>The experiment does not support the claim that measure-weighted sampling is universally superior to every design. It supports a more defensible claim: NN-PR/Taylor-PR distance is an actionable transfer gate for deciding when legacy PR/D-optimal technology can be used safely with a new NN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Generated from reproducible experiment outputs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555"/>
        <w:sz w:val="18"/>
      </w:rPr>
      <w:t>Measure-weighted PR transfer experiment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