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Microsoft YaHei"/>
          <w:b/>
          <w:color w:val="0B2545"/>
          <w:sz w:val="44"/>
        </w:rPr>
        <w:t>High-Dimensional Iterative D-optimal Experiment for NN-FullPR Transfer</w:t>
      </w:r>
    </w:p>
    <w:p>
      <w:pPr>
        <w:spacing w:after="200"/>
      </w:pPr>
      <w:r>
        <w:rPr>
          <w:rFonts w:ascii="Calibri" w:hAnsi="Calibri" w:eastAsia="Microsoft YaHei"/>
          <w:color w:val="555555"/>
          <w:sz w:val="24"/>
        </w:rPr>
        <w:t>Paper-scale bilingual report update with n=10000, p=20/50, CPU/GPU, and multi-seed replication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r>
              <w:rPr>
                <w:rFonts w:ascii="Calibri" w:hAnsi="Calibri" w:eastAsia="Microsoft YaHei"/>
                <w:b/>
                <w:color w:val="1F4D78"/>
                <w:sz w:val="18"/>
              </w:rPr>
              <w:t>Dataset scale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Original n=10000; training/evaluation split=7500/2500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r>
              <w:rPr>
                <w:rFonts w:ascii="Calibri" w:hAnsi="Calibri" w:eastAsia="Microsoft YaHei"/>
                <w:b/>
                <w:color w:val="1F4D78"/>
                <w:sz w:val="18"/>
              </w:rPr>
              <w:t>Dimensions and cases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p=20,50; quadratic / smooth / strong nonlinear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r>
              <w:rPr>
                <w:rFonts w:ascii="Calibri" w:hAnsi="Calibri" w:eastAsia="Microsoft YaHei"/>
                <w:b/>
                <w:color w:val="1F4D78"/>
                <w:sz w:val="18"/>
              </w:rPr>
              <w:t>Replication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3 data seeds × 2 NN initialization seeds × 2 initial fractions × CPU/GPU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r>
              <w:rPr>
                <w:rFonts w:ascii="Calibri" w:hAnsi="Calibri" w:eastAsia="Microsoft YaHei"/>
                <w:b/>
                <w:color w:val="1F4D78"/>
                <w:sz w:val="18"/>
              </w:rPr>
              <w:t>Workload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72 NN oracle trainings; 144 iterative paths; 8640 random surrogate fits</w:t>
            </w:r>
          </w:p>
        </w:tc>
      </w:tr>
    </w:tbl>
    <w:p/>
    <w:p>
      <w:pPr>
        <w:pStyle w:val="Heading1"/>
      </w:pPr>
      <w:r>
        <w:t>Executive Summary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Main finding: </w:t>
            </w:r>
            <w:r>
              <w:rPr>
                <w:rFonts w:ascii="Calibri" w:hAnsi="Calibri" w:eastAsia="Microsoft YaHei"/>
                <w:sz w:val="21"/>
              </w:rPr>
              <w:t>At the final iteration, D-optimal upgrading outperformed the same-budget random-upgrade median in 128 of 144 replications. The final positive-rate was 88.9%, and the average MSE gain was 2.61%. The result supports iterative D-optimal design as a stable data-upgrading strategy for high-dimensional NN-to-FullPR surrogate construction, while also showing that the gain depends on feature expressiveness, initial sampling fraction, and nonlinearity strength.</w:t>
            </w:r>
          </w:p>
        </w:tc>
      </w:tr>
    </w:tbl>
    <w:p/>
    <w:p>
      <w:pPr>
        <w:pStyle w:val="Heading1"/>
      </w:pPr>
      <w:r>
        <w:t>Experimental Workflow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Generate a high-dimensional original dataset and split it into a training pool and an evaluation set.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Train an NN oracle on the training pool; this NN is treated as the new target model.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Uniformly sample the initial design set and estimate the pilot distance between the NN and the FullPR surrogate.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At each iteration, compute D-optimal leverage conditional on the already upgraded design set and add a new batch of samples.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Refit the FullPR surrogate after each upgrade and compare it against random upgrades under the same budget.</w:t>
      </w:r>
    </w:p>
    <w:p>
      <w:pPr>
        <w:pStyle w:val="Heading1"/>
      </w:pPr>
      <w:r>
        <w:t>Experimental Matrix and Workload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7"/>
              </w:rPr>
              <w:t>Item</w:t>
            </w:r>
          </w:p>
        </w:tc>
        <w:tc>
          <w:tcPr>
            <w:tcW w:type="dxa" w:w="71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7"/>
              </w:rPr>
              <w:t>Setting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Original dataset size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10000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Input dimensions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20, 50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Synthetic cases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quadratic, smooth, strong nonlinear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Initial uniform fractions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0.05, 0.1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Iterations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5; 500 samples added per iteration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Random baseline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10 repeats per iteration point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Devices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CPU and NVIDIA GeForce RTX 4070 Ti SUPER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FullPR features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degree=2, include_special=True</w:t>
            </w:r>
          </w:p>
        </w:tc>
      </w:tr>
    </w:tbl>
    <w:p/>
    <w:p>
      <w:pPr>
        <w:pStyle w:val="Heading1"/>
      </w:pPr>
      <w:r>
        <w:t>Main Results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5143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highdim_iter_dopt_final_gain_c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color w:val="555555"/>
          <w:sz w:val="18"/>
        </w:rPr>
        <w:t>Figure 1. Final-iteration D-optimal gain over random upgrading, mean +/- 95% CI.</w:t>
      </w:r>
    </w:p>
    <w:p>
      <w:pPr>
        <w:pStyle w:val="Heading2"/>
      </w:pPr>
      <w:r>
        <w:t>Final-Iteration Group Statistics</w:t>
      </w:r>
    </w:p>
    <w:p>
      <w:r>
        <w:t>Tables 1 and 2 summarize final-iteration performance. A positive gain means that the D-optimal surrogate has lower MSE than the same-budget random-upgrade median.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620"/>
        <w:gridCol w:w="820"/>
        <w:gridCol w:w="720"/>
        <w:gridCol w:w="3600"/>
        <w:gridCol w:w="1750"/>
      </w:tblGrid>
      <w:tr>
        <w:trPr>
          <w:tblHeader w:val="true"/>
        </w:trPr>
        <w:tc>
          <w:tcPr>
            <w:tcW w:type="dxa" w:w="18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7"/>
              </w:rPr>
              <w:t>Case</w:t>
            </w:r>
          </w:p>
        </w:tc>
        <w:tc>
          <w:tcPr>
            <w:tcW w:type="dxa" w:w="62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7"/>
              </w:rPr>
              <w:t>p</w:t>
            </w:r>
          </w:p>
        </w:tc>
        <w:tc>
          <w:tcPr>
            <w:tcW w:type="dxa" w:w="82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7"/>
              </w:rPr>
              <w:t>Init</w:t>
            </w:r>
          </w:p>
        </w:tc>
        <w:tc>
          <w:tcPr>
            <w:tcW w:type="dxa" w:w="72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7"/>
              </w:rPr>
              <w:t>Reps</w:t>
            </w:r>
          </w:p>
        </w:tc>
        <w:tc>
          <w:tcPr>
            <w:tcW w:type="dxa" w:w="3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7"/>
              </w:rPr>
              <w:t>Gain mean +/-95%CI</w:t>
            </w:r>
          </w:p>
        </w:tc>
        <w:tc>
          <w:tcPr>
            <w:tcW w:type="dxa" w:w="17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7"/>
              </w:rPr>
              <w:t>Positive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poly2</w:t>
            </w:r>
          </w:p>
        </w:tc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20</w:t>
            </w:r>
          </w:p>
        </w:tc>
        <w:tc>
          <w:tcPr>
            <w:tcW w:type="dxa" w:w="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0.05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6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2.49% +/- 0.43%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100.0%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poly2</w:t>
            </w:r>
          </w:p>
        </w:tc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20</w:t>
            </w:r>
          </w:p>
        </w:tc>
        <w:tc>
          <w:tcPr>
            <w:tcW w:type="dxa" w:w="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0.1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6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2.04% +/- 1.08%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83.3%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smooth</w:t>
            </w:r>
          </w:p>
        </w:tc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20</w:t>
            </w:r>
          </w:p>
        </w:tc>
        <w:tc>
          <w:tcPr>
            <w:tcW w:type="dxa" w:w="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0.05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6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2.26% +/- 0.61%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100.0%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smooth</w:t>
            </w:r>
          </w:p>
        </w:tc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20</w:t>
            </w:r>
          </w:p>
        </w:tc>
        <w:tc>
          <w:tcPr>
            <w:tcW w:type="dxa" w:w="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0.1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6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1.78% +/- 0.69%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100.0%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strong</w:t>
            </w:r>
          </w:p>
        </w:tc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20</w:t>
            </w:r>
          </w:p>
        </w:tc>
        <w:tc>
          <w:tcPr>
            <w:tcW w:type="dxa" w:w="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0.05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6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3.53% +/- 6.31%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66.7%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strong</w:t>
            </w:r>
          </w:p>
        </w:tc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20</w:t>
            </w:r>
          </w:p>
        </w:tc>
        <w:tc>
          <w:tcPr>
            <w:tcW w:type="dxa" w:w="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0.1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6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3.46% +/- 5.58%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66.7%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poly2</w:t>
            </w:r>
          </w:p>
        </w:tc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50</w:t>
            </w:r>
          </w:p>
        </w:tc>
        <w:tc>
          <w:tcPr>
            <w:tcW w:type="dxa" w:w="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0.05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6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3.99% +/- 1.76%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100.0%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poly2</w:t>
            </w:r>
          </w:p>
        </w:tc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50</w:t>
            </w:r>
          </w:p>
        </w:tc>
        <w:tc>
          <w:tcPr>
            <w:tcW w:type="dxa" w:w="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0.1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6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3.24% +/- 0.92%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100.0%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smooth</w:t>
            </w:r>
          </w:p>
        </w:tc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50</w:t>
            </w:r>
          </w:p>
        </w:tc>
        <w:tc>
          <w:tcPr>
            <w:tcW w:type="dxa" w:w="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0.05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6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3.81% +/- 1.02%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100.0%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smooth</w:t>
            </w:r>
          </w:p>
        </w:tc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50</w:t>
            </w:r>
          </w:p>
        </w:tc>
        <w:tc>
          <w:tcPr>
            <w:tcW w:type="dxa" w:w="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0.1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6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2.34% +/- 1.08%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100.0%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strong</w:t>
            </w:r>
          </w:p>
        </w:tc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50</w:t>
            </w:r>
          </w:p>
        </w:tc>
        <w:tc>
          <w:tcPr>
            <w:tcW w:type="dxa" w:w="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0.05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6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0.48% +/- 2.79%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66.7%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strong</w:t>
            </w:r>
          </w:p>
        </w:tc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50</w:t>
            </w:r>
          </w:p>
        </w:tc>
        <w:tc>
          <w:tcPr>
            <w:tcW w:type="dxa" w:w="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0.1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6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1.59% +/- 1.42%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66.7%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620"/>
        <w:gridCol w:w="820"/>
        <w:gridCol w:w="720"/>
        <w:gridCol w:w="3600"/>
        <w:gridCol w:w="1750"/>
      </w:tblGrid>
      <w:tr>
        <w:trPr>
          <w:tblHeader w:val="true"/>
        </w:trPr>
        <w:tc>
          <w:tcPr>
            <w:tcW w:type="dxa" w:w="18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7"/>
              </w:rPr>
              <w:t>Case</w:t>
            </w:r>
          </w:p>
        </w:tc>
        <w:tc>
          <w:tcPr>
            <w:tcW w:type="dxa" w:w="62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7"/>
              </w:rPr>
              <w:t>p</w:t>
            </w:r>
          </w:p>
        </w:tc>
        <w:tc>
          <w:tcPr>
            <w:tcW w:type="dxa" w:w="82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7"/>
              </w:rPr>
              <w:t>Init</w:t>
            </w:r>
          </w:p>
        </w:tc>
        <w:tc>
          <w:tcPr>
            <w:tcW w:type="dxa" w:w="72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7"/>
              </w:rPr>
              <w:t>Reps</w:t>
            </w:r>
          </w:p>
        </w:tc>
        <w:tc>
          <w:tcPr>
            <w:tcW w:type="dxa" w:w="3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7"/>
              </w:rPr>
              <w:t>Gain mean +/-95%CI</w:t>
            </w:r>
          </w:p>
        </w:tc>
        <w:tc>
          <w:tcPr>
            <w:tcW w:type="dxa" w:w="17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7"/>
              </w:rPr>
              <w:t>Positive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poly2</w:t>
            </w:r>
          </w:p>
        </w:tc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20</w:t>
            </w:r>
          </w:p>
        </w:tc>
        <w:tc>
          <w:tcPr>
            <w:tcW w:type="dxa" w:w="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0.05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6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1.96% +/- 0.58%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100.0%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poly2</w:t>
            </w:r>
          </w:p>
        </w:tc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20</w:t>
            </w:r>
          </w:p>
        </w:tc>
        <w:tc>
          <w:tcPr>
            <w:tcW w:type="dxa" w:w="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0.1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6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1.70% +/- 0.34%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100.0%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smooth</w:t>
            </w:r>
          </w:p>
        </w:tc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20</w:t>
            </w:r>
          </w:p>
        </w:tc>
        <w:tc>
          <w:tcPr>
            <w:tcW w:type="dxa" w:w="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0.05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6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2.58% +/- 1.05%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100.0%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smooth</w:t>
            </w:r>
          </w:p>
        </w:tc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20</w:t>
            </w:r>
          </w:p>
        </w:tc>
        <w:tc>
          <w:tcPr>
            <w:tcW w:type="dxa" w:w="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0.1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6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2.54% +/- 1.08%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100.0%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strong</w:t>
            </w:r>
          </w:p>
        </w:tc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20</w:t>
            </w:r>
          </w:p>
        </w:tc>
        <w:tc>
          <w:tcPr>
            <w:tcW w:type="dxa" w:w="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0.05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6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5.35% +/- 5.33%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83.3%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strong</w:t>
            </w:r>
          </w:p>
        </w:tc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20</w:t>
            </w:r>
          </w:p>
        </w:tc>
        <w:tc>
          <w:tcPr>
            <w:tcW w:type="dxa" w:w="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0.1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6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2.73% +/- 4.17%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66.7%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poly2</w:t>
            </w:r>
          </w:p>
        </w:tc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50</w:t>
            </w:r>
          </w:p>
        </w:tc>
        <w:tc>
          <w:tcPr>
            <w:tcW w:type="dxa" w:w="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0.05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6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3.55% +/- 1.34%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100.0%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poly2</w:t>
            </w:r>
          </w:p>
        </w:tc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50</w:t>
            </w:r>
          </w:p>
        </w:tc>
        <w:tc>
          <w:tcPr>
            <w:tcW w:type="dxa" w:w="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0.1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6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2.82% +/- 0.93%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100.0%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smooth</w:t>
            </w:r>
          </w:p>
        </w:tc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50</w:t>
            </w:r>
          </w:p>
        </w:tc>
        <w:tc>
          <w:tcPr>
            <w:tcW w:type="dxa" w:w="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0.05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6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3.49% +/- 0.96%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100.0%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smooth</w:t>
            </w:r>
          </w:p>
        </w:tc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50</w:t>
            </w:r>
          </w:p>
        </w:tc>
        <w:tc>
          <w:tcPr>
            <w:tcW w:type="dxa" w:w="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0.1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6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2.80% +/- 1.47%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83.3%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strong</w:t>
            </w:r>
          </w:p>
        </w:tc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50</w:t>
            </w:r>
          </w:p>
        </w:tc>
        <w:tc>
          <w:tcPr>
            <w:tcW w:type="dxa" w:w="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0.05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6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1.62% +/- 1.21%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83.3%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strong</w:t>
            </w:r>
          </w:p>
        </w:tc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50</w:t>
            </w:r>
          </w:p>
        </w:tc>
        <w:tc>
          <w:tcPr>
            <w:tcW w:type="dxa" w:w="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0.1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6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0.50% +/- 1.80%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66.7%</w:t>
            </w:r>
          </w:p>
        </w:tc>
      </w:tr>
    </w:tbl>
    <w:p/>
    <w:p>
      <w:pPr>
        <w:pStyle w:val="Heading1"/>
      </w:pPr>
      <w:r>
        <w:t>Iteration Curves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4694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highdim_iter_dopt_cpu_gain_mean_c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69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color w:val="555555"/>
          <w:sz w:val="18"/>
        </w:rPr>
        <w:t>Figure 2. CPU gain curves with 95% confidence intervals.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4694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highdim_iter_dopt_cuda_gain_mean_c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69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color w:val="555555"/>
          <w:sz w:val="18"/>
        </w:rPr>
        <w:t>Figure 3. CUDA gain curves with 95% confidence intervals.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4694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highdim_iter_dopt_cpu_mse_mean_c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69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color w:val="555555"/>
          <w:sz w:val="18"/>
        </w:rPr>
        <w:t>Figure 4. CPU MSE curves for D-optimal surrogates and random baselines.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4694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highdim_iter_dopt_cuda_mse_mean_c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69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color w:val="555555"/>
          <w:sz w:val="18"/>
        </w:rPr>
        <w:t>Figure 5. CUDA MSE curves for D-optimal surrogates and random baselines.</w:t>
      </w:r>
    </w:p>
    <w:p>
      <w:pPr>
        <w:pStyle w:val="Heading1"/>
      </w:pPr>
      <w:r>
        <w:t>Discussion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For p=20, the quadratic FullPR feature count is relatively small, so the initial design often already exceeds the number of features. D-optimal gains are therefore modest but stable.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For p=50, the initial design is more likely to be under the FullPR feature count. Early iterations are more volatile, but the upgraded design stabilizes as it is reused in later D-optimal steps.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The strong nonlinear case has wider confidence intervals, which marks the boundary of the method: D-optimal selection can improve coverage, but it is not a guarantee that a low-degree FullPR surrogate fully captures the NN oracle.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CPU and GPU runs lead to the same qualitative conclusion, reducing the chance that the result is a device-specific artifact.</w:t>
      </w:r>
    </w:p>
    <w:p>
      <w:pPr>
        <w:pStyle w:val="Heading1"/>
      </w:pPr>
      <w:r>
        <w:t>Conclusion</w:t>
      </w:r>
    </w:p>
    <w:p>
      <w:r>
        <w:rPr>
          <w:rFonts w:ascii="Calibri" w:hAnsi="Calibri" w:eastAsia="Microsoft YaHei"/>
        </w:rPr>
        <w:t>This updated experiment is suitable as a main paper experiment. The most defensible claim is that pilot distance and iterative D-optimal upgrading form an observable and reproducible diagnostic workflow for data selection. In high-dimensional settings, the workflow usually improves over random upgrading, but the magnitude of improvement depends on the FullPR feature space, nonlinearity strength, initial sampling fraction, and iteration budget.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55555"/>
        <w:sz w:val="18"/>
      </w:rPr>
      <w:t>Generated from reproducible experiment outputs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55555"/>
        <w:sz w:val="18"/>
      </w:rPr>
      <w:t>Paper-level high-dimensional iterative D-optimal experiment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