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Microsoft YaHei"/>
          <w:b/>
          <w:color w:val="0B2545"/>
          <w:sz w:val="44"/>
        </w:rPr>
        <w:t>NN-FullPR 迁移中的高维迭代 D-optimal 实验报告</w:t>
      </w:r>
    </w:p>
    <w:p>
      <w:pPr>
        <w:spacing w:after="200"/>
      </w:pPr>
      <w:r>
        <w:rPr>
          <w:rFonts w:ascii="Calibri" w:hAnsi="Calibri" w:eastAsia="Microsoft YaHei"/>
          <w:color w:val="555555"/>
          <w:sz w:val="24"/>
        </w:rPr>
        <w:t>基于 10000 样本、p=20/50、CPU/GPU、多 seed 的论文级实验更新版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r>
              <w:rPr>
                <w:rFonts w:ascii="Calibri" w:hAnsi="Calibri" w:eastAsia="Microsoft YaHei"/>
                <w:b/>
                <w:color w:val="1F4D78"/>
                <w:sz w:val="18"/>
              </w:rPr>
              <w:t>数据规模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原始 n=10000；训练池/评估集=7500/2500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r>
              <w:rPr>
                <w:rFonts w:ascii="Calibri" w:hAnsi="Calibri" w:eastAsia="Microsoft YaHei"/>
                <w:b/>
                <w:color w:val="1F4D78"/>
                <w:sz w:val="18"/>
              </w:rPr>
              <w:t>维度与场景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p=20,50；quadratic / smooth / strong nonlinear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r>
              <w:rPr>
                <w:rFonts w:ascii="Calibri" w:hAnsi="Calibri" w:eastAsia="Microsoft YaHei"/>
                <w:b/>
                <w:color w:val="1F4D78"/>
                <w:sz w:val="18"/>
              </w:rPr>
              <w:t>重复设计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3 个 data seed × 2 个 NN 初始化 seed × 2 个初始采样比例 × CPU/GPU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r>
              <w:rPr>
                <w:rFonts w:ascii="Calibri" w:hAnsi="Calibri" w:eastAsia="Microsoft YaHei"/>
                <w:b/>
                <w:color w:val="1F4D78"/>
                <w:sz w:val="18"/>
              </w:rPr>
              <w:t>计算量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72 次 NN oracle 训练；144 条迭代轨迹；8640 次随机 surrogate 拟合</w:t>
            </w:r>
          </w:p>
        </w:tc>
      </w:tr>
    </w:tbl>
    <w:p/>
    <w:p>
      <w:pPr>
        <w:pStyle w:val="Heading1"/>
      </w:pPr>
      <w:r>
        <w:t>摘要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核心结论： </w:t>
            </w:r>
            <w:r>
              <w:rPr>
                <w:rFonts w:ascii="Calibri" w:hAnsi="Calibri" w:eastAsia="Microsoft YaHei"/>
                <w:sz w:val="21"/>
              </w:rPr>
              <w:t>在最后一轮 144 个重复中，D-optimal 升级有 128 个重复优于同预算随机升级中位数，正收益比例为 88.9%，平均 MSE gain 为 2.61%。这说明迭代式 D-optimal 可以作为高维 NN-to-FullPR surrogate 构建中的稳定数据升级策略，但收益大小依赖特征空间、初始采样比例和非线性强度。</w:t>
            </w:r>
          </w:p>
        </w:tc>
      </w:tr>
    </w:tbl>
    <w:p/>
    <w:p>
      <w:pPr>
        <w:pStyle w:val="Heading1"/>
      </w:pPr>
      <w:r>
        <w:t>实验流程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sz w:val="21"/>
        </w:rPr>
        <w:t>先生成原始高维数据集，并按 75/25 划分为训练池和评估集。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sz w:val="21"/>
        </w:rPr>
        <w:t>在训练池上训练 NN oracle，将该 NN 视为新的目标模型。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sz w:val="21"/>
        </w:rPr>
        <w:t>从训练池中均匀抽取初始设计集，估计 NN 与 FullPR surrogate 的 pilot 距离。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sz w:val="21"/>
        </w:rPr>
        <w:t>每一轮基于当前已经升级后的设计集计算 D-optimal leverage，选择下一批样本加入设计集。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sz w:val="21"/>
        </w:rPr>
        <w:t>每轮重新拟合 FullPR surrogate，并与同预算随机升级的中位数表现比较。</w:t>
      </w:r>
    </w:p>
    <w:p>
      <w:pPr>
        <w:pStyle w:val="Heading1"/>
      </w:pPr>
      <w:r>
        <w:t>实验矩阵与计算量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71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17"/>
              </w:rPr>
              <w:t>设置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原始数据集大小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10000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输入维度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20, 50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数据场景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quadratic, smooth, strong nonlinear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初始 uniform 比例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0.05, 0.1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迭代轮数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5；每轮增加 500 个样本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随机基准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每个迭代点重复 10 次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设备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CPU 与 NVIDIA GeForce RTX 4070 Ti SUPER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FullPR 特征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degree=2, include_special=True</w:t>
            </w:r>
          </w:p>
        </w:tc>
      </w:tr>
    </w:tbl>
    <w:p/>
    <w:p>
      <w:pPr>
        <w:pStyle w:val="Heading1"/>
      </w:pPr>
      <w:r>
        <w:t>主要结果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5143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highdim_iter_dopt_final_gain_c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14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color w:val="555555"/>
          <w:sz w:val="18"/>
        </w:rPr>
        <w:t>图 1. 最后一轮 D-optimal 相对随机升级的 mean gain +/- 95% CI。</w:t>
      </w:r>
    </w:p>
    <w:p>
      <w:pPr>
        <w:pStyle w:val="Heading2"/>
      </w:pPr>
      <w:r>
        <w:t>最后一轮分组统计</w:t>
      </w:r>
    </w:p>
    <w:p>
      <w:r>
        <w:t>表 1 和表 2 汇总最后一轮结果。gain 为正表示 D-optimal surrogate 的 MSE 低于同预算随机升级中位数。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620"/>
        <w:gridCol w:w="820"/>
        <w:gridCol w:w="720"/>
        <w:gridCol w:w="3600"/>
        <w:gridCol w:w="1750"/>
      </w:tblGrid>
      <w:tr>
        <w:trPr>
          <w:tblHeader w:val="true"/>
        </w:trPr>
        <w:tc>
          <w:tcPr>
            <w:tcW w:type="dxa" w:w="18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17"/>
              </w:rPr>
              <w:t>Case</w:t>
            </w:r>
          </w:p>
        </w:tc>
        <w:tc>
          <w:tcPr>
            <w:tcW w:type="dxa" w:w="62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17"/>
              </w:rPr>
              <w:t>p</w:t>
            </w:r>
          </w:p>
        </w:tc>
        <w:tc>
          <w:tcPr>
            <w:tcW w:type="dxa" w:w="82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17"/>
              </w:rPr>
              <w:t>Init</w:t>
            </w:r>
          </w:p>
        </w:tc>
        <w:tc>
          <w:tcPr>
            <w:tcW w:type="dxa" w:w="72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17"/>
              </w:rPr>
              <w:t>Reps</w:t>
            </w:r>
          </w:p>
        </w:tc>
        <w:tc>
          <w:tcPr>
            <w:tcW w:type="dxa" w:w="3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17"/>
              </w:rPr>
              <w:t>Gain mean +/-95%CI</w:t>
            </w:r>
          </w:p>
        </w:tc>
        <w:tc>
          <w:tcPr>
            <w:tcW w:type="dxa" w:w="17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17"/>
              </w:rPr>
              <w:t>Positive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poly2</w:t>
            </w:r>
          </w:p>
        </w:tc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20</w:t>
            </w:r>
          </w:p>
        </w:tc>
        <w:tc>
          <w:tcPr>
            <w:tcW w:type="dxa" w:w="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0.05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6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2.49% +/- 0.43%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100.0%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poly2</w:t>
            </w:r>
          </w:p>
        </w:tc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20</w:t>
            </w:r>
          </w:p>
        </w:tc>
        <w:tc>
          <w:tcPr>
            <w:tcW w:type="dxa" w:w="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0.1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6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2.04% +/- 1.08%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83.3%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smooth</w:t>
            </w:r>
          </w:p>
        </w:tc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20</w:t>
            </w:r>
          </w:p>
        </w:tc>
        <w:tc>
          <w:tcPr>
            <w:tcW w:type="dxa" w:w="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0.05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6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2.26% +/- 0.61%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100.0%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smooth</w:t>
            </w:r>
          </w:p>
        </w:tc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20</w:t>
            </w:r>
          </w:p>
        </w:tc>
        <w:tc>
          <w:tcPr>
            <w:tcW w:type="dxa" w:w="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0.1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6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1.78% +/- 0.69%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100.0%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strong</w:t>
            </w:r>
          </w:p>
        </w:tc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20</w:t>
            </w:r>
          </w:p>
        </w:tc>
        <w:tc>
          <w:tcPr>
            <w:tcW w:type="dxa" w:w="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0.05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6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3.53% +/- 6.31%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66.7%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strong</w:t>
            </w:r>
          </w:p>
        </w:tc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20</w:t>
            </w:r>
          </w:p>
        </w:tc>
        <w:tc>
          <w:tcPr>
            <w:tcW w:type="dxa" w:w="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0.1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6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3.46% +/- 5.58%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66.7%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poly2</w:t>
            </w:r>
          </w:p>
        </w:tc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50</w:t>
            </w:r>
          </w:p>
        </w:tc>
        <w:tc>
          <w:tcPr>
            <w:tcW w:type="dxa" w:w="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0.05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6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3.99% +/- 1.76%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100.0%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poly2</w:t>
            </w:r>
          </w:p>
        </w:tc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50</w:t>
            </w:r>
          </w:p>
        </w:tc>
        <w:tc>
          <w:tcPr>
            <w:tcW w:type="dxa" w:w="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0.1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6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3.24% +/- 0.92%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100.0%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smooth</w:t>
            </w:r>
          </w:p>
        </w:tc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50</w:t>
            </w:r>
          </w:p>
        </w:tc>
        <w:tc>
          <w:tcPr>
            <w:tcW w:type="dxa" w:w="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0.05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6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3.81% +/- 1.02%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100.0%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smooth</w:t>
            </w:r>
          </w:p>
        </w:tc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50</w:t>
            </w:r>
          </w:p>
        </w:tc>
        <w:tc>
          <w:tcPr>
            <w:tcW w:type="dxa" w:w="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0.1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6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2.34% +/- 1.08%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100.0%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strong</w:t>
            </w:r>
          </w:p>
        </w:tc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50</w:t>
            </w:r>
          </w:p>
        </w:tc>
        <w:tc>
          <w:tcPr>
            <w:tcW w:type="dxa" w:w="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0.05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6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0.48% +/- 2.79%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66.7%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strong</w:t>
            </w:r>
          </w:p>
        </w:tc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50</w:t>
            </w:r>
          </w:p>
        </w:tc>
        <w:tc>
          <w:tcPr>
            <w:tcW w:type="dxa" w:w="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0.1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6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1.59% +/- 1.42%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66.7%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620"/>
        <w:gridCol w:w="820"/>
        <w:gridCol w:w="720"/>
        <w:gridCol w:w="3600"/>
        <w:gridCol w:w="1750"/>
      </w:tblGrid>
      <w:tr>
        <w:trPr>
          <w:tblHeader w:val="true"/>
        </w:trPr>
        <w:tc>
          <w:tcPr>
            <w:tcW w:type="dxa" w:w="18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17"/>
              </w:rPr>
              <w:t>Case</w:t>
            </w:r>
          </w:p>
        </w:tc>
        <w:tc>
          <w:tcPr>
            <w:tcW w:type="dxa" w:w="62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17"/>
              </w:rPr>
              <w:t>p</w:t>
            </w:r>
          </w:p>
        </w:tc>
        <w:tc>
          <w:tcPr>
            <w:tcW w:type="dxa" w:w="82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17"/>
              </w:rPr>
              <w:t>Init</w:t>
            </w:r>
          </w:p>
        </w:tc>
        <w:tc>
          <w:tcPr>
            <w:tcW w:type="dxa" w:w="72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17"/>
              </w:rPr>
              <w:t>Reps</w:t>
            </w:r>
          </w:p>
        </w:tc>
        <w:tc>
          <w:tcPr>
            <w:tcW w:type="dxa" w:w="3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17"/>
              </w:rPr>
              <w:t>Gain mean +/-95%CI</w:t>
            </w:r>
          </w:p>
        </w:tc>
        <w:tc>
          <w:tcPr>
            <w:tcW w:type="dxa" w:w="17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1F4D78"/>
                <w:sz w:val="17"/>
              </w:rPr>
              <w:t>Positive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poly2</w:t>
            </w:r>
          </w:p>
        </w:tc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20</w:t>
            </w:r>
          </w:p>
        </w:tc>
        <w:tc>
          <w:tcPr>
            <w:tcW w:type="dxa" w:w="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0.05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6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1.96% +/- 0.58%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100.0%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poly2</w:t>
            </w:r>
          </w:p>
        </w:tc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20</w:t>
            </w:r>
          </w:p>
        </w:tc>
        <w:tc>
          <w:tcPr>
            <w:tcW w:type="dxa" w:w="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0.1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6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1.70% +/- 0.34%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100.0%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smooth</w:t>
            </w:r>
          </w:p>
        </w:tc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20</w:t>
            </w:r>
          </w:p>
        </w:tc>
        <w:tc>
          <w:tcPr>
            <w:tcW w:type="dxa" w:w="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0.05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6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2.58% +/- 1.05%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100.0%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smooth</w:t>
            </w:r>
          </w:p>
        </w:tc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20</w:t>
            </w:r>
          </w:p>
        </w:tc>
        <w:tc>
          <w:tcPr>
            <w:tcW w:type="dxa" w:w="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0.1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6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2.54% +/- 1.08%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100.0%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strong</w:t>
            </w:r>
          </w:p>
        </w:tc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20</w:t>
            </w:r>
          </w:p>
        </w:tc>
        <w:tc>
          <w:tcPr>
            <w:tcW w:type="dxa" w:w="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0.05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6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5.35% +/- 5.33%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83.3%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strong</w:t>
            </w:r>
          </w:p>
        </w:tc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20</w:t>
            </w:r>
          </w:p>
        </w:tc>
        <w:tc>
          <w:tcPr>
            <w:tcW w:type="dxa" w:w="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0.1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6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2.73% +/- 4.17%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66.7%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poly2</w:t>
            </w:r>
          </w:p>
        </w:tc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50</w:t>
            </w:r>
          </w:p>
        </w:tc>
        <w:tc>
          <w:tcPr>
            <w:tcW w:type="dxa" w:w="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0.05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6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3.55% +/- 1.34%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100.0%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poly2</w:t>
            </w:r>
          </w:p>
        </w:tc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50</w:t>
            </w:r>
          </w:p>
        </w:tc>
        <w:tc>
          <w:tcPr>
            <w:tcW w:type="dxa" w:w="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0.1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6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2.82% +/- 0.93%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100.0%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smooth</w:t>
            </w:r>
          </w:p>
        </w:tc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50</w:t>
            </w:r>
          </w:p>
        </w:tc>
        <w:tc>
          <w:tcPr>
            <w:tcW w:type="dxa" w:w="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0.05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6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3.49% +/- 0.96%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100.0%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smooth</w:t>
            </w:r>
          </w:p>
        </w:tc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50</w:t>
            </w:r>
          </w:p>
        </w:tc>
        <w:tc>
          <w:tcPr>
            <w:tcW w:type="dxa" w:w="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0.1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6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2.80% +/- 1.47%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83.3%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strong</w:t>
            </w:r>
          </w:p>
        </w:tc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50</w:t>
            </w:r>
          </w:p>
        </w:tc>
        <w:tc>
          <w:tcPr>
            <w:tcW w:type="dxa" w:w="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0.05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6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1.62% +/- 1.21%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83.3%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strong</w:t>
            </w:r>
          </w:p>
        </w:tc>
        <w:tc>
          <w:tcPr>
            <w:tcW w:type="dxa" w:w="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50</w:t>
            </w:r>
          </w:p>
        </w:tc>
        <w:tc>
          <w:tcPr>
            <w:tcW w:type="dxa" w:w="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0.1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6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0.50% +/- 1.80%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sz w:val="16"/>
              </w:rPr>
              <w:t>66.7%</w:t>
            </w:r>
          </w:p>
        </w:tc>
      </w:tr>
    </w:tbl>
    <w:p/>
    <w:p>
      <w:pPr>
        <w:pStyle w:val="Heading1"/>
      </w:pPr>
      <w:r>
        <w:t>迭代曲线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4694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highdim_iter_dopt_cpu_gain_mean_c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69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color w:val="555555"/>
          <w:sz w:val="18"/>
        </w:rPr>
        <w:t>图 2. CPU 实验中 D-optimal 相对随机升级的 gain 均值曲线与 95% CI。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4694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highdim_iter_dopt_cuda_gain_mean_c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69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color w:val="555555"/>
          <w:sz w:val="18"/>
        </w:rPr>
        <w:t>图 3. CUDA 实验中 D-optimal 相对随机升级的 gain 均值曲线与 95% CI。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4694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highdim_iter_dopt_cpu_mse_mean_ci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69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color w:val="555555"/>
          <w:sz w:val="18"/>
        </w:rPr>
        <w:t>图 4. CPU 实验中 D-optimal surrogate 与随机基准的 MSE 迭代曲线。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46940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highdim_iter_dopt_cuda_mse_mean_ci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69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color w:val="555555"/>
          <w:sz w:val="18"/>
        </w:rPr>
        <w:t>图 5. CUDA 实验中 D-optimal surrogate 与随机基准的 MSE 迭代曲线。</w:t>
      </w:r>
    </w:p>
    <w:p>
      <w:pPr>
        <w:pStyle w:val="Heading1"/>
      </w:pPr>
      <w:r>
        <w:t>讨论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sz w:val="21"/>
        </w:rPr>
        <w:t>p=20 时二阶 FullPR 特征数较少，初始样本通常已超过特征数，因此 D-optimal 的收益较温和，但正收益比例高。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sz w:val="21"/>
        </w:rPr>
        <w:t>p=50 时初始设计集更容易低于 FullPR 特征数，早期迭代出现更大波动；当升级数据集继续进入下一轮 D-optimal 后，误差逐步稳定。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sz w:val="21"/>
        </w:rPr>
        <w:t>strong nonlinear 场景的置信区间明显更宽，说明当 NN oracle 的局部行为超出二阶 FullPR 表达能力时，D-optimal 仍能改善覆盖，但不能被解释为充分逼近 NN 的保证。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sz w:val="21"/>
        </w:rPr>
        <w:t>CPU/GPU 的总体结论一致，说明结果不是单一设备偶然现象。</w:t>
      </w:r>
    </w:p>
    <w:p>
      <w:pPr>
        <w:pStyle w:val="Heading1"/>
      </w:pPr>
      <w:r>
        <w:t>结论</w:t>
      </w:r>
    </w:p>
    <w:p>
      <w:r>
        <w:rPr>
          <w:rFonts w:ascii="Calibri" w:hAnsi="Calibri" w:eastAsia="Microsoft YaHei"/>
        </w:rPr>
        <w:t>这版实验可以作为论文主实验使用。更稳妥的论文表述是：pilot 距离和迭代式 D-optimal 升级提供了一个可观测、可复现的数据选择诊断流程；该流程在高维设置中能够稳定优于随机升级，但收益幅度受 FullPR 特征空间、非线性强度、初始采样比例和迭代预算共同影响。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555555"/>
        <w:sz w:val="18"/>
      </w:rPr>
      <w:t>Generated from reproducible experiment outputs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555555"/>
        <w:sz w:val="18"/>
      </w:rPr>
      <w:t>论文级高维迭代 D-optimal 实验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