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C447C"/>
          <w:sz w:val="40"/>
          <w:szCs w:val="40"/>
        </w:rPr>
        <w:t xml:space="preserve">Peer Code Review Guidelines</w:t>
      </w:r>
    </w:p>
    <w:p>
      <w:pPr>
        <w:spacing w:after="400"/>
        <w:jc w:val="center"/>
      </w:pPr>
      <w:r>
        <w:rPr>
          <w:i/>
          <w:iCs/>
          <w:color w:val="444441"/>
          <w:sz w:val="22"/>
          <w:szCs w:val="22"/>
        </w:rPr>
        <w:t xml:space="preserve">Task 5 Final Project — Trainee Presentation &amp; Review Session</w:t>
      </w:r>
    </w:p>
    <w:p>
      <w:pPr>
        <w:spacing w:after="140"/>
      </w:pPr>
      <w:r>
        <w:t xml:space="preserve">Each trainee presents their project for 15 minutes, followed by a 15-minute peer code review. This document gives reviewers a consistent checklist so feedback is fair, specific, and useful, across the five review dimensions: code quality, naming conventions, documentation, performance, and git commit history.</w:t>
      </w:r>
    </w:p>
    <w:p>
      <w:pPr>
        <w:pStyle w:val="Heading1"/>
        <w:spacing w:after="160" w:before="320"/>
      </w:pPr>
      <w:r>
        <w:t xml:space="preserve">1. Session Format (30 minutes total)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Minutes 0–15 — Presenter walks through: problem statement, dataset, model, results, challenges, future scope (see Technical Presentation Notes for suggested structure).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Minutes 15–25 — Reviewers go through the checklist below against the presenter's shared repository, asking clarifying questions as they go.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Minutes 25–30 — Reviewers summarize 2–3 strengths and 2–3 concrete improvement actions; presenter notes them for follow-up.</w:t>
      </w:r>
    </w:p>
    <w:p>
      <w:pPr>
        <w:pStyle w:val="Heading1"/>
        <w:spacing w:after="160" w:before="320"/>
      </w:pPr>
      <w:r>
        <w:t xml:space="preserve">2. Code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What the reviewer looks for</w:t>
            </w:r>
          </w:p>
        </w:tc>
      </w:tr>
      <w:tr>
        <w:tc>
          <w:tcPr>
            <w:tcW w:type="dxa" w:w="3200"/>
          </w:tcPr>
          <w:p>
            <w:r>
              <w:t xml:space="preserve">Readability</w:t>
            </w:r>
          </w:p>
        </w:tc>
        <w:tc>
          <w:tcPr>
            <w:tcW w:type="dxa" w:w="6200"/>
          </w:tcPr>
          <w:p>
            <w:r>
              <w:t xml:space="preserve">Functions are short and single-purpose; nesting depth is reasonable; no duplicated logic copy-pasted across files.</w:t>
            </w:r>
          </w:p>
        </w:tc>
      </w:tr>
      <w:tr>
        <w:tc>
          <w:tcPr>
            <w:tcW w:type="dxa" w:w="3200"/>
          </w:tcPr>
          <w:p>
            <w:r>
              <w:t xml:space="preserve">Structure</w:t>
            </w:r>
          </w:p>
        </w:tc>
        <w:tc>
          <w:tcPr>
            <w:tcW w:type="dxa" w:w="6200"/>
          </w:tcPr>
          <w:p>
            <w:r>
              <w:t xml:space="preserve">Data loading, preprocessing, model training, and evaluation are in separate, clearly-named functions or files rather than one long script.</w:t>
            </w:r>
          </w:p>
        </w:tc>
      </w:tr>
      <w:tr>
        <w:tc>
          <w:tcPr>
            <w:tcW w:type="dxa" w:w="3200"/>
          </w:tcPr>
          <w:p>
            <w:r>
              <w:t xml:space="preserve">Error handling</w:t>
            </w:r>
          </w:p>
        </w:tc>
        <w:tc>
          <w:tcPr>
            <w:tcW w:type="dxa" w:w="6200"/>
          </w:tcPr>
          <w:p>
            <w:r>
              <w:t xml:space="preserve">File I/O, missing columns, and model-load failures are handled with clear errors, not silent failures or bare except blocks.</w:t>
            </w:r>
          </w:p>
        </w:tc>
      </w:tr>
      <w:tr>
        <w:tc>
          <w:tcPr>
            <w:tcW w:type="dxa" w:w="3200"/>
          </w:tcPr>
          <w:p>
            <w:r>
              <w:t xml:space="preserve">Reproducibility</w:t>
            </w:r>
          </w:p>
        </w:tc>
        <w:tc>
          <w:tcPr>
            <w:tcW w:type="dxa" w:w="6200"/>
          </w:tcPr>
          <w:p>
            <w:r>
              <w:t xml:space="preserve">Random seeds are set; a requirements file or environment spec is included; the project runs end-to-end from a clean checkout.</w:t>
            </w:r>
          </w:p>
        </w:tc>
      </w:tr>
      <w:tr>
        <w:tc>
          <w:tcPr>
            <w:tcW w:type="dxa" w:w="3200"/>
          </w:tcPr>
          <w:p>
            <w:r>
              <w:t xml:space="preserve">Hardcoding</w:t>
            </w:r>
          </w:p>
        </w:tc>
        <w:tc>
          <w:tcPr>
            <w:tcW w:type="dxa" w:w="6200"/>
          </w:tcPr>
          <w:p>
            <w:r>
              <w:t xml:space="preserve">Paths, thresholds, and hyperparameters are defined as named constants or config values, not scattered magic numbers.</w:t>
            </w:r>
          </w:p>
        </w:tc>
      </w:tr>
    </w:tbl>
    <w:p>
      <w:pPr>
        <w:pStyle w:val="Heading1"/>
        <w:spacing w:after="160" w:before="320"/>
      </w:pPr>
      <w:r>
        <w:t xml:space="preserve">3. Naming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What the reviewer looks for</w:t>
            </w:r>
          </w:p>
        </w:tc>
      </w:tr>
      <w:tr>
        <w:tc>
          <w:tcPr>
            <w:tcW w:type="dxa" w:w="3200"/>
          </w:tcPr>
          <w:p>
            <w:r>
              <w:t xml:space="preserve">Variables</w:t>
            </w:r>
          </w:p>
        </w:tc>
        <w:tc>
          <w:tcPr>
            <w:tcW w:type="dxa" w:w="6200"/>
          </w:tcPr>
          <w:p>
            <w:r>
              <w:t xml:space="preserve">Names describe what the value is (e.g. patients_ahead_in_queue, not x2 or temp).</w:t>
            </w:r>
          </w:p>
        </w:tc>
      </w:tr>
      <w:tr>
        <w:tc>
          <w:tcPr>
            <w:tcW w:type="dxa" w:w="3200"/>
          </w:tcPr>
          <w:p>
            <w:r>
              <w:t xml:space="preserve">Functions</w:t>
            </w:r>
          </w:p>
        </w:tc>
        <w:tc>
          <w:tcPr>
            <w:tcW w:type="dxa" w:w="6200"/>
          </w:tcPr>
          <w:p>
            <w:r>
              <w:t xml:space="preserve">Verb-based names describing the action (e.g. train_model, generate_dataset), consistent case style (snake_case for Python).</w:t>
            </w:r>
          </w:p>
        </w:tc>
      </w:tr>
      <w:tr>
        <w:tc>
          <w:tcPr>
            <w:tcW w:type="dxa" w:w="3200"/>
          </w:tcPr>
          <w:p>
            <w:r>
              <w:t xml:space="preserve">Files &amp; folders</w:t>
            </w:r>
          </w:p>
        </w:tc>
        <w:tc>
          <w:tcPr>
            <w:tcW w:type="dxa" w:w="6200"/>
          </w:tcPr>
          <w:p>
            <w:r>
              <w:t xml:space="preserve">Structure reflects purpose (data/, model/, results/), not generic names like script1.py, final_final_v2.py.</w:t>
            </w:r>
          </w:p>
        </w:tc>
      </w:tr>
      <w:tr>
        <w:tc>
          <w:tcPr>
            <w:tcW w:type="dxa" w:w="3200"/>
          </w:tcPr>
          <w:p>
            <w:r>
              <w:t xml:space="preserve">Consistency</w:t>
            </w:r>
          </w:p>
        </w:tc>
        <w:tc>
          <w:tcPr>
            <w:tcW w:type="dxa" w:w="6200"/>
          </w:tcPr>
          <w:p>
            <w:r>
              <w:t xml:space="preserve">One naming convention used throughout — reviewers flag any mix of camelCase and snake_case in the same language/file.</w:t>
            </w:r>
          </w:p>
        </w:tc>
      </w:tr>
    </w:tbl>
    <w:p>
      <w:pPr>
        <w:pStyle w:val="Heading1"/>
        <w:spacing w:after="160" w:before="320"/>
      </w:pPr>
      <w:r>
        <w:t xml:space="preserve">4.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What the reviewer looks for</w:t>
            </w:r>
          </w:p>
        </w:tc>
      </w:tr>
      <w:tr>
        <w:tc>
          <w:tcPr>
            <w:tcW w:type="dxa" w:w="3200"/>
          </w:tcPr>
          <w:p>
            <w:r>
              <w:t xml:space="preserve">README</w:t>
            </w:r>
          </w:p>
        </w:tc>
        <w:tc>
          <w:tcPr>
            <w:tcW w:type="dxa" w:w="6200"/>
          </w:tcPr>
          <w:p>
            <w:r>
              <w:t xml:space="preserve">Explains the problem, how to set up the environment, how to run the code, and what output to expect.</w:t>
            </w:r>
          </w:p>
        </w:tc>
      </w:tr>
      <w:tr>
        <w:tc>
          <w:tcPr>
            <w:tcW w:type="dxa" w:w="3200"/>
          </w:tcPr>
          <w:p>
            <w:r>
              <w:t xml:space="preserve">Inline comments</w:t>
            </w:r>
          </w:p>
        </w:tc>
        <w:tc>
          <w:tcPr>
            <w:tcW w:type="dxa" w:w="6200"/>
          </w:tcPr>
          <w:p>
            <w:r>
              <w:t xml:space="preserve">Non-obvious logic (e.g. the wait-time formula, feature engineering choices) is explained; comments explain *why*, not restate *what* the code already says.</w:t>
            </w:r>
          </w:p>
        </w:tc>
      </w:tr>
      <w:tr>
        <w:tc>
          <w:tcPr>
            <w:tcW w:type="dxa" w:w="3200"/>
          </w:tcPr>
          <w:p>
            <w:r>
              <w:t xml:space="preserve">Docstrings</w:t>
            </w:r>
          </w:p>
        </w:tc>
        <w:tc>
          <w:tcPr>
            <w:tcW w:type="dxa" w:w="6200"/>
          </w:tcPr>
          <w:p>
            <w:r>
              <w:t xml:space="preserve">Public functions have a short docstring: purpose, inputs, and return value.</w:t>
            </w:r>
          </w:p>
        </w:tc>
      </w:tr>
      <w:tr>
        <w:tc>
          <w:tcPr>
            <w:tcW w:type="dxa" w:w="3200"/>
          </w:tcPr>
          <w:p>
            <w:r>
              <w:t xml:space="preserve">Assumptions</w:t>
            </w:r>
          </w:p>
        </w:tc>
        <w:tc>
          <w:tcPr>
            <w:tcW w:type="dxa" w:w="6200"/>
          </w:tcPr>
          <w:p>
            <w:r>
              <w:t xml:space="preserve">Any assumption about the data or business rule (e.g. clinic operating hours, target wait-time threshold) is written down where a reader will see it.</w:t>
            </w:r>
          </w:p>
        </w:tc>
      </w:tr>
    </w:tbl>
    <w:p>
      <w:pPr>
        <w:pStyle w:val="Heading1"/>
        <w:spacing w:after="160" w:before="320"/>
      </w:pPr>
      <w:r>
        <w:t xml:space="preserve">5.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What the reviewer looks for</w:t>
            </w:r>
          </w:p>
        </w:tc>
      </w:tr>
      <w:tr>
        <w:tc>
          <w:tcPr>
            <w:tcW w:type="dxa" w:w="3200"/>
          </w:tcPr>
          <w:p>
            <w:r>
              <w:t xml:space="preserve">Efficiency</w:t>
            </w:r>
          </w:p>
        </w:tc>
        <w:tc>
          <w:tcPr>
            <w:tcW w:type="dxa" w:w="6200"/>
          </w:tcPr>
          <w:p>
            <w:r>
              <w:t xml:space="preserve">No unnecessary repeated computation (e.g. reloading the dataset inside a loop); vectorized operations used over manual row-by-row loops where possible.</w:t>
            </w:r>
          </w:p>
        </w:tc>
      </w:tr>
      <w:tr>
        <w:tc>
          <w:tcPr>
            <w:tcW w:type="dxa" w:w="3200"/>
          </w:tcPr>
          <w:p>
            <w:r>
              <w:t xml:space="preserve">Model evaluation</w:t>
            </w:r>
          </w:p>
        </w:tc>
        <w:tc>
          <w:tcPr>
            <w:tcW w:type="dxa" w:w="6200"/>
          </w:tcPr>
          <w:p>
            <w:r>
              <w:t xml:space="preserve">Train/test split (or cross-validation) is used correctly; metrics (MAE, RMSE, R², or task-appropriate equivalents) are reported, not just accuracy on training data.</w:t>
            </w:r>
          </w:p>
        </w:tc>
      </w:tr>
      <w:tr>
        <w:tc>
          <w:tcPr>
            <w:tcW w:type="dxa" w:w="3200"/>
          </w:tcPr>
          <w:p>
            <w:r>
              <w:t xml:space="preserve">Resource use</w:t>
            </w:r>
          </w:p>
        </w:tc>
        <w:tc>
          <w:tcPr>
            <w:tcW w:type="dxa" w:w="6200"/>
          </w:tcPr>
          <w:p>
            <w:r>
              <w:t xml:space="preserve">Memory and runtime are reasonable for the dataset size; the presenter can explain any step that is notably slow.</w:t>
            </w:r>
          </w:p>
        </w:tc>
      </w:tr>
      <w:tr>
        <w:tc>
          <w:tcPr>
            <w:tcW w:type="dxa" w:w="3200"/>
          </w:tcPr>
          <w:p>
            <w:r>
              <w:t xml:space="preserve">Scalability awareness</w:t>
            </w:r>
          </w:p>
        </w:tc>
        <w:tc>
          <w:tcPr>
            <w:tcW w:type="dxa" w:w="6200"/>
          </w:tcPr>
          <w:p>
            <w:r>
              <w:t xml:space="preserve">Presenter can speak to what would need to change if data volume grew 10–100x.</w:t>
            </w:r>
          </w:p>
        </w:tc>
      </w:tr>
    </w:tbl>
    <w:p>
      <w:pPr>
        <w:pStyle w:val="Heading1"/>
        <w:spacing w:after="160" w:before="320"/>
      </w:pPr>
      <w:r>
        <w:t xml:space="preserve">6. Git Commit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200"/>
            <w:shd w:fill="0C447C" w:val="clear"/>
          </w:tcPr>
          <w:p>
            <w:r>
              <w:rPr>
                <w:b/>
                <w:bCs/>
                <w:color w:val="FFFFFF"/>
              </w:rPr>
              <w:t xml:space="preserve">What the reviewer looks for</w:t>
            </w:r>
          </w:p>
        </w:tc>
      </w:tr>
      <w:tr>
        <w:tc>
          <w:tcPr>
            <w:tcW w:type="dxa" w:w="3200"/>
          </w:tcPr>
          <w:p>
            <w:r>
              <w:t xml:space="preserve">Commit granularity</w:t>
            </w:r>
          </w:p>
        </w:tc>
        <w:tc>
          <w:tcPr>
            <w:tcW w:type="dxa" w:w="6200"/>
          </w:tcPr>
          <w:p>
            <w:r>
              <w:t xml:space="preserve">Commits represent logical units of work (e.g. “add wait-time simulation”), not one giant commit with the entire project, or dozens of “fix”/“wip” commits with no context.</w:t>
            </w:r>
          </w:p>
        </w:tc>
      </w:tr>
      <w:tr>
        <w:tc>
          <w:tcPr>
            <w:tcW w:type="dxa" w:w="3200"/>
          </w:tcPr>
          <w:p>
            <w:r>
              <w:t xml:space="preserve">Commit messages</w:t>
            </w:r>
          </w:p>
        </w:tc>
        <w:tc>
          <w:tcPr>
            <w:tcW w:type="dxa" w:w="6200"/>
          </w:tcPr>
          <w:p>
            <w:r>
              <w:t xml:space="preserve">Present-tense, descriptive messages (e.g. “add feature importance chart”) rather than “update” or “changes”.</w:t>
            </w:r>
          </w:p>
        </w:tc>
      </w:tr>
      <w:tr>
        <w:tc>
          <w:tcPr>
            <w:tcW w:type="dxa" w:w="3200"/>
          </w:tcPr>
          <w:p>
            <w:r>
              <w:t xml:space="preserve">Branching (if used)</w:t>
            </w:r>
          </w:p>
        </w:tc>
        <w:tc>
          <w:tcPr>
            <w:tcW w:type="dxa" w:w="6200"/>
          </w:tcPr>
          <w:p>
            <w:r>
              <w:t xml:space="preserve">Feature work is isolated from a stable main branch; merge history is traceable.</w:t>
            </w:r>
          </w:p>
        </w:tc>
      </w:tr>
      <w:tr>
        <w:tc>
          <w:tcPr>
            <w:tcW w:type="dxa" w:w="3200"/>
          </w:tcPr>
          <w:p>
            <w:r>
              <w:t xml:space="preserve">No secrets/artifacts committed</w:t>
            </w:r>
          </w:p>
        </w:tc>
        <w:tc>
          <w:tcPr>
            <w:tcW w:type="dxa" w:w="6200"/>
          </w:tcPr>
          <w:p>
            <w:r>
              <w:t xml:space="preserve">No API keys, credentials, large binary datasets, or virtual-environment folders committed to the repository.</w:t>
            </w:r>
          </w:p>
        </w:tc>
      </w:tr>
    </w:tbl>
    <w:p>
      <w:pPr>
        <w:pStyle w:val="Heading1"/>
        <w:spacing w:after="160" w:before="320"/>
      </w:pPr>
      <w:r>
        <w:t xml:space="preserve">7. Feedback Format</w:t>
      </w:r>
    </w:p>
    <w:p>
      <w:pPr>
        <w:spacing w:after="140"/>
      </w:pPr>
      <w:r>
        <w:t xml:space="preserve">Reviewers should phrase feedback as specific and actionable, referencing a file or line where possible, for example: “In train_model.py, the hyperparameters for GradientBoostingRegressor are hardcoded on line 34 — consider moving them to a config dictionary at the top of the file.” Avoid unspecific feedback such as “the code could be cleaner.”</w:t>
      </w:r>
    </w:p>
    <w:p>
      <w:pPr>
        <w:spacing w:after="140"/>
      </w:pPr>
      <w:r>
        <w:t xml:space="preserve">Each review should end with the presenter writing down at least one concrete follow-up action per category where a gap was found.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2026-07-28T05:52:19.754Z</dcterms:created>
  <dcterms:modified xsi:type="dcterms:W3CDTF">2026-07-28T05:52:19.754Z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