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C447C"/>
          <w:sz w:val="44"/>
          <w:szCs w:val="44"/>
        </w:rPr>
        <w:t xml:space="preserve">Risk Analysis</w:t>
      </w:r>
    </w:p>
    <w:p>
      <w:pPr>
        <w:spacing w:after="400"/>
        <w:jc w:val="center"/>
      </w:pPr>
      <w:r>
        <w:rPr>
          <w:i/>
          <w:iCs/>
          <w:color w:val="444441"/>
          <w:sz w:val="22"/>
          <w:szCs w:val="22"/>
        </w:rPr>
        <w:t xml:space="preserve">Mindtone Mental Health Clinic — Outpatient Wait-Time AI System</w:t>
      </w:r>
    </w:p>
    <w:p>
      <w:pPr>
        <w:spacing w:after="160"/>
      </w:pPr>
      <w:r>
        <w:t xml:space="preserve">This analysis identifies the key risks to delivering and operating the proposed AI wait-time system, grouped by category, with likelihood, impact, and mitigation for each. Likelihood and impact are rated High / Medium / Low based on similar healthcare-IT deployments and the specific context of Mindtone Mental Health Clinic.</w:t>
      </w:r>
    </w:p>
    <w:p>
      <w:pPr>
        <w:pStyle w:val="Heading1"/>
        <w:spacing w:after="160" w:before="320"/>
      </w:pPr>
      <w:r>
        <w:t xml:space="preserve">1. Technical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4600"/>
        <w:gridCol w:w="3000"/>
      </w:tblGrid>
      <w:tr>
        <w:trPr>
          <w:tblHeader/>
        </w:trPr>
        <w:tc>
          <w:tcPr>
            <w:tcW w:type="dxa" w:w="2600"/>
            <w:shd w:fill="0C447C" w:val="clear"/>
          </w:tcPr>
          <w:p>
            <w:r>
              <w:rPr>
                <w:b/>
                <w:bCs/>
                <w:color w:val="FFFFFF"/>
              </w:rPr>
              <w:t xml:space="preserve">Risk</w:t>
            </w:r>
          </w:p>
        </w:tc>
        <w:tc>
          <w:tcPr>
            <w:tcW w:type="dxa" w:w="1400"/>
            <w:shd w:fill="0C447C" w:val="clear"/>
          </w:tcPr>
          <w:p>
            <w:r>
              <w:rPr>
                <w:b/>
                <w:bCs/>
                <w:color w:val="FFFFFF"/>
              </w:rPr>
              <w:t xml:space="preserve">Likelihood</w:t>
            </w:r>
          </w:p>
        </w:tc>
        <w:tc>
          <w:tcPr>
            <w:tcW w:type="dxa" w:w="1400"/>
            <w:shd w:fill="0C447C" w:val="clear"/>
          </w:tcPr>
          <w:p>
            <w:r>
              <w:rPr>
                <w:b/>
                <w:bCs/>
                <w:color w:val="FFFFFF"/>
              </w:rPr>
              <w:t xml:space="preserve">Impact</w:t>
            </w:r>
          </w:p>
        </w:tc>
        <w:tc>
          <w:tcPr>
            <w:tcW w:type="dxa" w:w="4600"/>
            <w:shd w:fill="0C447C" w:val="clear"/>
          </w:tcPr>
          <w:p>
            <w:r>
              <w:rPr>
                <w:b/>
                <w:bCs/>
                <w:color w:val="FFFFFF"/>
              </w:rPr>
              <w:t xml:space="preserve">Description</w:t>
            </w:r>
          </w:p>
        </w:tc>
        <w:tc>
          <w:tcPr>
            <w:tcW w:type="dxa" w:w="3000"/>
            <w:shd w:fill="0C447C" w:val="clear"/>
          </w:tcPr>
          <w:p>
            <w:r>
              <w:rPr>
                <w:b/>
                <w:bCs/>
                <w:color w:val="FFFFFF"/>
              </w:rPr>
              <w:t xml:space="preserve">Mitigation</w:t>
            </w:r>
          </w:p>
        </w:tc>
      </w:tr>
      <w:tr>
        <w:tc>
          <w:tcPr>
            <w:tcW w:type="dxa" w:w="2600"/>
          </w:tcPr>
          <w:p>
            <w:r>
              <w:t xml:space="preserve">Data quality / incompleteness</w:t>
            </w:r>
          </w:p>
        </w:tc>
        <w:tc>
          <w:tcPr>
            <w:tcW w:type="dxa" w:w="1400"/>
            <w:shd w:fill="F7C1C1" w:val="clear"/>
          </w:tcPr>
          <w:p>
            <w:r>
              <w:rPr>
                <w:b/>
                <w:bCs/>
                <w:color w:val="791F1F"/>
              </w:rPr>
              <w:t xml:space="preserve">High</w:t>
            </w:r>
          </w:p>
        </w:tc>
        <w:tc>
          <w:tcPr>
            <w:tcW w:type="dxa" w:w="1400"/>
            <w:shd w:fill="F7C1C1" w:val="clear"/>
          </w:tcPr>
          <w:p>
            <w:r>
              <w:rPr>
                <w:b/>
                <w:bCs/>
                <w:color w:val="791F1F"/>
              </w:rPr>
              <w:t xml:space="preserve">High</w:t>
            </w:r>
          </w:p>
        </w:tc>
        <w:tc>
          <w:tcPr>
            <w:tcW w:type="dxa" w:w="4600"/>
          </w:tcPr>
          <w:p>
            <w:r>
              <w:t xml:space="preserve">Historical clinic data may have missing fields, inconsistent timestamps, or insufficient volume, particularly for session-length and walk-in records that are often logged manually.</w:t>
            </w:r>
          </w:p>
        </w:tc>
        <w:tc>
          <w:tcPr>
            <w:tcW w:type="dxa" w:w="3000"/>
          </w:tcPr>
          <w:p>
            <w:r>
              <w:t xml:space="preserve">Run a data audit during discovery; define minimum viable data fields before build; use synthetic augmentation only as a bridge, never in production.</w:t>
            </w:r>
          </w:p>
        </w:tc>
      </w:tr>
      <w:tr>
        <w:tc>
          <w:tcPr>
            <w:tcW w:type="dxa" w:w="2600"/>
          </w:tcPr>
          <w:p>
            <w:r>
              <w:t xml:space="preserve">Model accuracy degrades over time</w:t>
            </w:r>
          </w:p>
        </w:tc>
        <w:tc>
          <w:tcPr>
            <w:tcW w:type="dxa" w:w="1400"/>
            <w:shd w:fill="FAC775" w:val="clear"/>
          </w:tcPr>
          <w:p>
            <w:r>
              <w:rPr>
                <w:b/>
                <w:bCs/>
                <w:color w:val="633806"/>
              </w:rPr>
              <w:t xml:space="preserve">Medium</w:t>
            </w:r>
          </w:p>
        </w:tc>
        <w:tc>
          <w:tcPr>
            <w:tcW w:type="dxa" w:w="1400"/>
            <w:shd w:fill="FAC775" w:val="clear"/>
          </w:tcPr>
          <w:p>
            <w:r>
              <w:rPr>
                <w:b/>
                <w:bCs/>
                <w:color w:val="633806"/>
              </w:rPr>
              <w:t xml:space="preserve">Medium</w:t>
            </w:r>
          </w:p>
        </w:tc>
        <w:tc>
          <w:tcPr>
            <w:tcW w:type="dxa" w:w="4600"/>
          </w:tcPr>
          <w:p>
            <w:r>
              <w:t xml:space="preserve">Patient mix, staffing, or seasonal patterns shift after launch, causing predictions to drift from reality.</w:t>
            </w:r>
          </w:p>
        </w:tc>
        <w:tc>
          <w:tcPr>
            <w:tcW w:type="dxa" w:w="3000"/>
          </w:tcPr>
          <w:p>
            <w:r>
              <w:t xml:space="preserve">Automated drift monitoring; scheduled retraining every 4–6 weeks; alert if MAE exceeds an agreed threshold.</w:t>
            </w:r>
          </w:p>
        </w:tc>
      </w:tr>
      <w:tr>
        <w:tc>
          <w:tcPr>
            <w:tcW w:type="dxa" w:w="2600"/>
          </w:tcPr>
          <w:p>
            <w:r>
              <w:t xml:space="preserve">Integration with existing clinic systems</w:t>
            </w:r>
          </w:p>
        </w:tc>
        <w:tc>
          <w:tcPr>
            <w:tcW w:type="dxa" w:w="1400"/>
            <w:shd w:fill="FAC775" w:val="clear"/>
          </w:tcPr>
          <w:p>
            <w:r>
              <w:rPr>
                <w:b/>
                <w:bCs/>
                <w:color w:val="633806"/>
              </w:rPr>
              <w:t xml:space="preserve">Medium</w:t>
            </w:r>
          </w:p>
        </w:tc>
        <w:tc>
          <w:tcPr>
            <w:tcW w:type="dxa" w:w="1400"/>
            <w:shd w:fill="F7C1C1" w:val="clear"/>
          </w:tcPr>
          <w:p>
            <w:r>
              <w:rPr>
                <w:b/>
                <w:bCs/>
                <w:color w:val="791F1F"/>
              </w:rPr>
              <w:t xml:space="preserve">High</w:t>
            </w:r>
          </w:p>
        </w:tc>
        <w:tc>
          <w:tcPr>
            <w:tcW w:type="dxa" w:w="4600"/>
          </w:tcPr>
          <w:p>
            <w:r>
              <w:t xml:space="preserve">Mindtone's legacy scheduling or EHR system may lack APIs, slowing data integration.</w:t>
            </w:r>
          </w:p>
        </w:tc>
        <w:tc>
          <w:tcPr>
            <w:tcW w:type="dxa" w:w="3000"/>
          </w:tcPr>
          <w:p>
            <w:r>
              <w:t xml:space="preserve">Early technical discovery; fallback to secure scheduled data exports if live API access is unavailable.</w:t>
            </w:r>
          </w:p>
        </w:tc>
      </w:tr>
      <w:tr>
        <w:tc>
          <w:tcPr>
            <w:tcW w:type="dxa" w:w="2600"/>
          </w:tcPr>
          <w:p>
            <w:r>
              <w:t xml:space="preserve">System downtime during peak hours</w:t>
            </w:r>
          </w:p>
        </w:tc>
        <w:tc>
          <w:tcPr>
            <w:tcW w:type="dxa" w:w="1400"/>
            <w:shd w:fill="C0DD97" w:val="clear"/>
          </w:tcPr>
          <w:p>
            <w:r>
              <w:rPr>
                <w:b/>
                <w:bCs/>
                <w:color w:val="27500A"/>
              </w:rPr>
              <w:t xml:space="preserve">Low</w:t>
            </w:r>
          </w:p>
        </w:tc>
        <w:tc>
          <w:tcPr>
            <w:tcW w:type="dxa" w:w="1400"/>
            <w:shd w:fill="F7C1C1" w:val="clear"/>
          </w:tcPr>
          <w:p>
            <w:r>
              <w:rPr>
                <w:b/>
                <w:bCs/>
                <w:color w:val="791F1F"/>
              </w:rPr>
              <w:t xml:space="preserve">High</w:t>
            </w:r>
          </w:p>
        </w:tc>
        <w:tc>
          <w:tcPr>
            <w:tcW w:type="dxa" w:w="4600"/>
          </w:tcPr>
          <w:p>
            <w:r>
              <w:t xml:space="preserve">An outage during clinic hours would remove the wait-time tool exactly when it is most needed.</w:t>
            </w:r>
          </w:p>
        </w:tc>
        <w:tc>
          <w:tcPr>
            <w:tcW w:type="dxa" w:w="3000"/>
          </w:tcPr>
          <w:p>
            <w:r>
              <w:t xml:space="preserve">Cloud redundancy, health checks, and a manual fallback process staff can revert to instantly.</w:t>
            </w:r>
          </w:p>
        </w:tc>
      </w:tr>
    </w:tbl>
    <w:p>
      <w:pPr>
        <w:pStyle w:val="Heading1"/>
        <w:spacing w:after="160" w:before="320"/>
      </w:pPr>
      <w:r>
        <w:t xml:space="preserve">2. Operational &amp; Change-Management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4600"/>
        <w:gridCol w:w="3000"/>
      </w:tblGrid>
      <w:tr>
        <w:trPr>
          <w:tblHeader/>
        </w:trPr>
        <w:tc>
          <w:tcPr>
            <w:tcW w:type="dxa" w:w="2600"/>
            <w:shd w:fill="0C447C" w:val="clear"/>
          </w:tcPr>
          <w:p>
            <w:r>
              <w:rPr>
                <w:b/>
                <w:bCs/>
                <w:color w:val="FFFFFF"/>
              </w:rPr>
              <w:t xml:space="preserve">Risk</w:t>
            </w:r>
          </w:p>
        </w:tc>
        <w:tc>
          <w:tcPr>
            <w:tcW w:type="dxa" w:w="1400"/>
            <w:shd w:fill="0C447C" w:val="clear"/>
          </w:tcPr>
          <w:p>
            <w:r>
              <w:rPr>
                <w:b/>
                <w:bCs/>
                <w:color w:val="FFFFFF"/>
              </w:rPr>
              <w:t xml:space="preserve">Likelihood</w:t>
            </w:r>
          </w:p>
        </w:tc>
        <w:tc>
          <w:tcPr>
            <w:tcW w:type="dxa" w:w="1400"/>
            <w:shd w:fill="0C447C" w:val="clear"/>
          </w:tcPr>
          <w:p>
            <w:r>
              <w:rPr>
                <w:b/>
                <w:bCs/>
                <w:color w:val="FFFFFF"/>
              </w:rPr>
              <w:t xml:space="preserve">Impact</w:t>
            </w:r>
          </w:p>
        </w:tc>
        <w:tc>
          <w:tcPr>
            <w:tcW w:type="dxa" w:w="4600"/>
            <w:shd w:fill="0C447C" w:val="clear"/>
          </w:tcPr>
          <w:p>
            <w:r>
              <w:rPr>
                <w:b/>
                <w:bCs/>
                <w:color w:val="FFFFFF"/>
              </w:rPr>
              <w:t xml:space="preserve">Description</w:t>
            </w:r>
          </w:p>
        </w:tc>
        <w:tc>
          <w:tcPr>
            <w:tcW w:type="dxa" w:w="3000"/>
            <w:shd w:fill="0C447C" w:val="clear"/>
          </w:tcPr>
          <w:p>
            <w:r>
              <w:rPr>
                <w:b/>
                <w:bCs/>
                <w:color w:val="FFFFFF"/>
              </w:rPr>
              <w:t xml:space="preserve">Mitigation</w:t>
            </w:r>
          </w:p>
        </w:tc>
      </w:tr>
      <w:tr>
        <w:tc>
          <w:tcPr>
            <w:tcW w:type="dxa" w:w="2600"/>
          </w:tcPr>
          <w:p>
            <w:r>
              <w:t xml:space="preserve">Staff resistance to new workflow</w:t>
            </w:r>
          </w:p>
        </w:tc>
        <w:tc>
          <w:tcPr>
            <w:tcW w:type="dxa" w:w="1400"/>
            <w:shd w:fill="FAC775" w:val="clear"/>
          </w:tcPr>
          <w:p>
            <w:r>
              <w:rPr>
                <w:b/>
                <w:bCs/>
                <w:color w:val="633806"/>
              </w:rPr>
              <w:t xml:space="preserve">Medium</w:t>
            </w:r>
          </w:p>
        </w:tc>
        <w:tc>
          <w:tcPr>
            <w:tcW w:type="dxa" w:w="1400"/>
            <w:shd w:fill="FAC775" w:val="clear"/>
          </w:tcPr>
          <w:p>
            <w:r>
              <w:rPr>
                <w:b/>
                <w:bCs/>
                <w:color w:val="633806"/>
              </w:rPr>
              <w:t xml:space="preserve">Medium</w:t>
            </w:r>
          </w:p>
        </w:tc>
        <w:tc>
          <w:tcPr>
            <w:tcW w:type="dxa" w:w="4600"/>
          </w:tcPr>
          <w:p>
            <w:r>
              <w:t xml:space="preserve">Front-desk and clinical staff may distrust an automated queue recommendation over their own judgment.</w:t>
            </w:r>
          </w:p>
        </w:tc>
        <w:tc>
          <w:tcPr>
            <w:tcW w:type="dxa" w:w="3000"/>
          </w:tcPr>
          <w:p>
            <w:r>
              <w:t xml:space="preserve">Involve staff in pilot design; keep a human override on every AI recommendation; structured training sessions.</w:t>
            </w:r>
          </w:p>
        </w:tc>
      </w:tr>
      <w:tr>
        <w:tc>
          <w:tcPr>
            <w:tcW w:type="dxa" w:w="2600"/>
          </w:tcPr>
          <w:p>
            <w:r>
              <w:t xml:space="preserve">Patient trust in wait-time estimates</w:t>
            </w:r>
          </w:p>
        </w:tc>
        <w:tc>
          <w:tcPr>
            <w:tcW w:type="dxa" w:w="1400"/>
            <w:shd w:fill="FAC775" w:val="clear"/>
          </w:tcPr>
          <w:p>
            <w:r>
              <w:rPr>
                <w:b/>
                <w:bCs/>
                <w:color w:val="633806"/>
              </w:rPr>
              <w:t xml:space="preserve">Medium</w:t>
            </w:r>
          </w:p>
        </w:tc>
        <w:tc>
          <w:tcPr>
            <w:tcW w:type="dxa" w:w="1400"/>
            <w:shd w:fill="FAC775" w:val="clear"/>
          </w:tcPr>
          <w:p>
            <w:r>
              <w:rPr>
                <w:b/>
                <w:bCs/>
                <w:color w:val="633806"/>
              </w:rPr>
              <w:t xml:space="preserve">Medium</w:t>
            </w:r>
          </w:p>
        </w:tc>
        <w:tc>
          <w:tcPr>
            <w:tcW w:type="dxa" w:w="4600"/>
          </w:tcPr>
          <w:p>
            <w:r>
              <w:t xml:space="preserve">If early estimates are inaccurate, patients may stop trusting the displayed wait time.</w:t>
            </w:r>
          </w:p>
        </w:tc>
        <w:tc>
          <w:tcPr>
            <w:tcW w:type="dxa" w:w="3000"/>
          </w:tcPr>
          <w:p>
            <w:r>
              <w:t xml:space="preserve">Communicate estimates as ranges during the pilot phase; only display point estimates once accuracy is validated.</w:t>
            </w:r>
          </w:p>
        </w:tc>
      </w:tr>
      <w:tr>
        <w:tc>
          <w:tcPr>
            <w:tcW w:type="dxa" w:w="2600"/>
          </w:tcPr>
          <w:p>
            <w:r>
              <w:t xml:space="preserve">Patient anxiety from visible wait estimates</w:t>
            </w:r>
          </w:p>
        </w:tc>
        <w:tc>
          <w:tcPr>
            <w:tcW w:type="dxa" w:w="1400"/>
            <w:shd w:fill="FAC775" w:val="clear"/>
          </w:tcPr>
          <w:p>
            <w:r>
              <w:rPr>
                <w:b/>
                <w:bCs/>
                <w:color w:val="633806"/>
              </w:rPr>
              <w:t xml:space="preserve">Medium</w:t>
            </w:r>
          </w:p>
        </w:tc>
        <w:tc>
          <w:tcPr>
            <w:tcW w:type="dxa" w:w="1400"/>
            <w:shd w:fill="FAC775" w:val="clear"/>
          </w:tcPr>
          <w:p>
            <w:r>
              <w:rPr>
                <w:b/>
                <w:bCs/>
                <w:color w:val="633806"/>
              </w:rPr>
              <w:t xml:space="preserve">Medium</w:t>
            </w:r>
          </w:p>
        </w:tc>
        <w:tc>
          <w:tcPr>
            <w:tcW w:type="dxa" w:w="4600"/>
          </w:tcPr>
          <w:p>
            <w:r>
              <w:t xml:space="preserve">In a mental health setting, an abrupt or overly precise countdown could increase pre-session anxiety rather than reduce it.</w:t>
            </w:r>
          </w:p>
        </w:tc>
        <w:tc>
          <w:tcPr>
            <w:tcW w:type="dxa" w:w="3000"/>
          </w:tcPr>
          <w:p>
            <w:r>
              <w:t xml:space="preserve">Display calm, range-based estimates (e.g. “about 15–20 minutes”) rather than a ticking countdown; co-design messaging with clinical staff.</w:t>
            </w:r>
          </w:p>
        </w:tc>
      </w:tr>
    </w:tbl>
    <w:p>
      <w:pPr>
        <w:pStyle w:val="Heading1"/>
        <w:spacing w:after="160" w:before="320"/>
      </w:pPr>
      <w:r>
        <w:t xml:space="preserve">3. Compliance &amp; Data Privacy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4600"/>
        <w:gridCol w:w="3000"/>
      </w:tblGrid>
      <w:tr>
        <w:trPr>
          <w:tblHeader/>
        </w:trPr>
        <w:tc>
          <w:tcPr>
            <w:tcW w:type="dxa" w:w="2600"/>
            <w:shd w:fill="0C447C" w:val="clear"/>
          </w:tcPr>
          <w:p>
            <w:r>
              <w:rPr>
                <w:b/>
                <w:bCs/>
                <w:color w:val="FFFFFF"/>
              </w:rPr>
              <w:t xml:space="preserve">Risk</w:t>
            </w:r>
          </w:p>
        </w:tc>
        <w:tc>
          <w:tcPr>
            <w:tcW w:type="dxa" w:w="1400"/>
            <w:shd w:fill="0C447C" w:val="clear"/>
          </w:tcPr>
          <w:p>
            <w:r>
              <w:rPr>
                <w:b/>
                <w:bCs/>
                <w:color w:val="FFFFFF"/>
              </w:rPr>
              <w:t xml:space="preserve">Likelihood</w:t>
            </w:r>
          </w:p>
        </w:tc>
        <w:tc>
          <w:tcPr>
            <w:tcW w:type="dxa" w:w="1400"/>
            <w:shd w:fill="0C447C" w:val="clear"/>
          </w:tcPr>
          <w:p>
            <w:r>
              <w:rPr>
                <w:b/>
                <w:bCs/>
                <w:color w:val="FFFFFF"/>
              </w:rPr>
              <w:t xml:space="preserve">Impact</w:t>
            </w:r>
          </w:p>
        </w:tc>
        <w:tc>
          <w:tcPr>
            <w:tcW w:type="dxa" w:w="4600"/>
            <w:shd w:fill="0C447C" w:val="clear"/>
          </w:tcPr>
          <w:p>
            <w:r>
              <w:rPr>
                <w:b/>
                <w:bCs/>
                <w:color w:val="FFFFFF"/>
              </w:rPr>
              <w:t xml:space="preserve">Description</w:t>
            </w:r>
          </w:p>
        </w:tc>
        <w:tc>
          <w:tcPr>
            <w:tcW w:type="dxa" w:w="3000"/>
            <w:shd w:fill="0C447C" w:val="clear"/>
          </w:tcPr>
          <w:p>
            <w:r>
              <w:rPr>
                <w:b/>
                <w:bCs/>
                <w:color w:val="FFFFFF"/>
              </w:rPr>
              <w:t xml:space="preserve">Mitigation</w:t>
            </w:r>
          </w:p>
        </w:tc>
      </w:tr>
      <w:tr>
        <w:tc>
          <w:tcPr>
            <w:tcW w:type="dxa" w:w="2600"/>
          </w:tcPr>
          <w:p>
            <w:r>
              <w:t xml:space="preserve">Patient data privacy / compliance</w:t>
            </w:r>
          </w:p>
        </w:tc>
        <w:tc>
          <w:tcPr>
            <w:tcW w:type="dxa" w:w="1400"/>
            <w:shd w:fill="FAC775" w:val="clear"/>
          </w:tcPr>
          <w:p>
            <w:r>
              <w:rPr>
                <w:b/>
                <w:bCs/>
                <w:color w:val="633806"/>
              </w:rPr>
              <w:t xml:space="preserve">Medium</w:t>
            </w:r>
          </w:p>
        </w:tc>
        <w:tc>
          <w:tcPr>
            <w:tcW w:type="dxa" w:w="1400"/>
            <w:shd w:fill="F7C1C1" w:val="clear"/>
          </w:tcPr>
          <w:p>
            <w:r>
              <w:rPr>
                <w:b/>
                <w:bCs/>
                <w:color w:val="791F1F"/>
              </w:rPr>
              <w:t xml:space="preserve">High</w:t>
            </w:r>
          </w:p>
        </w:tc>
        <w:tc>
          <w:tcPr>
            <w:tcW w:type="dxa" w:w="4600"/>
          </w:tcPr>
          <w:p>
            <w:r>
              <w:t xml:space="preserve">Clinic data, especially Mindtone's mental health records, is highly sensitive and subject to strict regulation.</w:t>
            </w:r>
          </w:p>
        </w:tc>
        <w:tc>
          <w:tcPr>
            <w:tcW w:type="dxa" w:w="3000"/>
          </w:tcPr>
          <w:p>
            <w:r>
              <w:t xml:space="preserve">Model uses operational fields only, not clinical notes; role-based access; encryption at rest and in transit; compliance sign-off before go-live.</w:t>
            </w:r>
          </w:p>
        </w:tc>
      </w:tr>
      <w:tr>
        <w:tc>
          <w:tcPr>
            <w:tcW w:type="dxa" w:w="2600"/>
          </w:tcPr>
          <w:p>
            <w:r>
              <w:t xml:space="preserve">Vendor / cloud lock-in</w:t>
            </w:r>
          </w:p>
        </w:tc>
        <w:tc>
          <w:tcPr>
            <w:tcW w:type="dxa" w:w="1400"/>
            <w:shd w:fill="C0DD97" w:val="clear"/>
          </w:tcPr>
          <w:p>
            <w:r>
              <w:rPr>
                <w:b/>
                <w:bCs/>
                <w:color w:val="27500A"/>
              </w:rPr>
              <w:t xml:space="preserve">Low</w:t>
            </w:r>
          </w:p>
        </w:tc>
        <w:tc>
          <w:tcPr>
            <w:tcW w:type="dxa" w:w="1400"/>
            <w:shd w:fill="FAC775" w:val="clear"/>
          </w:tcPr>
          <w:p>
            <w:r>
              <w:rPr>
                <w:b/>
                <w:bCs/>
                <w:color w:val="633806"/>
              </w:rPr>
              <w:t xml:space="preserve">Medium</w:t>
            </w:r>
          </w:p>
        </w:tc>
        <w:tc>
          <w:tcPr>
            <w:tcW w:type="dxa" w:w="4600"/>
          </w:tcPr>
          <w:p>
            <w:r>
              <w:t xml:space="preserve">Deep integration with one cloud provider could raise switching costs later.</w:t>
            </w:r>
          </w:p>
        </w:tc>
        <w:tc>
          <w:tcPr>
            <w:tcW w:type="dxa" w:w="3000"/>
          </w:tcPr>
          <w:p>
            <w:r>
              <w:t xml:space="preserve">Use portable, open-source ML tooling (scikit-learn) and containerized services (Docker) to keep migration feasible.</w:t>
            </w:r>
          </w:p>
        </w:tc>
      </w:tr>
    </w:tbl>
    <w:p>
      <w:pPr>
        <w:pStyle w:val="Heading1"/>
        <w:spacing w:after="160" w:before="320"/>
      </w:pPr>
      <w:r>
        <w:t xml:space="preserve">4. Financial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4600"/>
        <w:gridCol w:w="3000"/>
      </w:tblGrid>
      <w:tr>
        <w:trPr>
          <w:tblHeader/>
        </w:trPr>
        <w:tc>
          <w:tcPr>
            <w:tcW w:type="dxa" w:w="2600"/>
            <w:shd w:fill="0C447C" w:val="clear"/>
          </w:tcPr>
          <w:p>
            <w:r>
              <w:rPr>
                <w:b/>
                <w:bCs/>
                <w:color w:val="FFFFFF"/>
              </w:rPr>
              <w:t xml:space="preserve">Risk</w:t>
            </w:r>
          </w:p>
        </w:tc>
        <w:tc>
          <w:tcPr>
            <w:tcW w:type="dxa" w:w="1400"/>
            <w:shd w:fill="0C447C" w:val="clear"/>
          </w:tcPr>
          <w:p>
            <w:r>
              <w:rPr>
                <w:b/>
                <w:bCs/>
                <w:color w:val="FFFFFF"/>
              </w:rPr>
              <w:t xml:space="preserve">Likelihood</w:t>
            </w:r>
          </w:p>
        </w:tc>
        <w:tc>
          <w:tcPr>
            <w:tcW w:type="dxa" w:w="1400"/>
            <w:shd w:fill="0C447C" w:val="clear"/>
          </w:tcPr>
          <w:p>
            <w:r>
              <w:rPr>
                <w:b/>
                <w:bCs/>
                <w:color w:val="FFFFFF"/>
              </w:rPr>
              <w:t xml:space="preserve">Impact</w:t>
            </w:r>
          </w:p>
        </w:tc>
        <w:tc>
          <w:tcPr>
            <w:tcW w:type="dxa" w:w="4600"/>
            <w:shd w:fill="0C447C" w:val="clear"/>
          </w:tcPr>
          <w:p>
            <w:r>
              <w:rPr>
                <w:b/>
                <w:bCs/>
                <w:color w:val="FFFFFF"/>
              </w:rPr>
              <w:t xml:space="preserve">Description</w:t>
            </w:r>
          </w:p>
        </w:tc>
        <w:tc>
          <w:tcPr>
            <w:tcW w:type="dxa" w:w="3000"/>
            <w:shd w:fill="0C447C" w:val="clear"/>
          </w:tcPr>
          <w:p>
            <w:r>
              <w:rPr>
                <w:b/>
                <w:bCs/>
                <w:color w:val="FFFFFF"/>
              </w:rPr>
              <w:t xml:space="preserve">Mitigation</w:t>
            </w:r>
          </w:p>
        </w:tc>
      </w:tr>
      <w:tr>
        <w:tc>
          <w:tcPr>
            <w:tcW w:type="dxa" w:w="2600"/>
          </w:tcPr>
          <w:p>
            <w:r>
              <w:t xml:space="preserve">Budget overrun during integration</w:t>
            </w:r>
          </w:p>
        </w:tc>
        <w:tc>
          <w:tcPr>
            <w:tcW w:type="dxa" w:w="1400"/>
            <w:shd w:fill="FAC775" w:val="clear"/>
          </w:tcPr>
          <w:p>
            <w:r>
              <w:rPr>
                <w:b/>
                <w:bCs/>
                <w:color w:val="633806"/>
              </w:rPr>
              <w:t xml:space="preserve">Medium</w:t>
            </w:r>
          </w:p>
        </w:tc>
        <w:tc>
          <w:tcPr>
            <w:tcW w:type="dxa" w:w="1400"/>
            <w:shd w:fill="FAC775" w:val="clear"/>
          </w:tcPr>
          <w:p>
            <w:r>
              <w:rPr>
                <w:b/>
                <w:bCs/>
                <w:color w:val="633806"/>
              </w:rPr>
              <w:t xml:space="preserve">Medium</w:t>
            </w:r>
          </w:p>
        </w:tc>
        <w:tc>
          <w:tcPr>
            <w:tcW w:type="dxa" w:w="4600"/>
          </w:tcPr>
          <w:p>
            <w:r>
              <w:t xml:space="preserve">Legacy system integration is historically the most common source of scope and cost growth in healthcare IT projects.</w:t>
            </w:r>
          </w:p>
        </w:tc>
        <w:tc>
          <w:tcPr>
            <w:tcW w:type="dxa" w:w="3000"/>
          </w:tcPr>
          <w:p>
            <w:r>
              <w:t xml:space="preserve">Fixed-scope pilot phase with a defined budget ceiling before committing to full rollout spend.</w:t>
            </w:r>
          </w:p>
        </w:tc>
      </w:tr>
      <w:tr>
        <w:tc>
          <w:tcPr>
            <w:tcW w:type="dxa" w:w="2600"/>
          </w:tcPr>
          <w:p>
            <w:r>
              <w:t xml:space="preserve">Lower-than-projected ROI</w:t>
            </w:r>
          </w:p>
        </w:tc>
        <w:tc>
          <w:tcPr>
            <w:tcW w:type="dxa" w:w="1400"/>
            <w:shd w:fill="C0DD97" w:val="clear"/>
          </w:tcPr>
          <w:p>
            <w:r>
              <w:rPr>
                <w:b/>
                <w:bCs/>
                <w:color w:val="27500A"/>
              </w:rPr>
              <w:t xml:space="preserve">Low</w:t>
            </w:r>
          </w:p>
        </w:tc>
        <w:tc>
          <w:tcPr>
            <w:tcW w:type="dxa" w:w="1400"/>
            <w:shd w:fill="FAC775" w:val="clear"/>
          </w:tcPr>
          <w:p>
            <w:r>
              <w:rPr>
                <w:b/>
                <w:bCs/>
                <w:color w:val="633806"/>
              </w:rPr>
              <w:t xml:space="preserve">Medium</w:t>
            </w:r>
          </w:p>
        </w:tc>
        <w:tc>
          <w:tcPr>
            <w:tcW w:type="dxa" w:w="4600"/>
          </w:tcPr>
          <w:p>
            <w:r>
              <w:t xml:space="preserve">Wait-time reduction may be smaller in production than in simulation due to real-world variability.</w:t>
            </w:r>
          </w:p>
        </w:tc>
        <w:tc>
          <w:tcPr>
            <w:tcW w:type="dxa" w:w="3000"/>
          </w:tcPr>
          <w:p>
            <w:r>
              <w:t xml:space="preserve">Pilot-phase measurement against the baseline in the Business Problem Analysis before scaling investment.</w:t>
            </w:r>
          </w:p>
        </w:tc>
      </w:tr>
    </w:tbl>
    <w:p>
      <w:pPr>
        <w:pStyle w:val="Heading1"/>
        <w:spacing w:after="160" w:before="320"/>
      </w:pPr>
      <w:r>
        <w:t xml:space="preserve">5. Overall Risk Posture</w:t>
      </w:r>
    </w:p>
    <w:p>
      <w:pPr>
        <w:spacing w:after="160"/>
      </w:pPr>
      <w:r>
        <w:t xml:space="preserve">No single risk in this analysis is rated both High likelihood and High impact simultaneously, so the project is assessed as viable to proceed with standard mitigations. The two risks warranting closest early attention are data quality/completeness and patient data privacy — both are addressed at the discovery stage, before any build work begins, so they can be resolved without affecting the committed timeline.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2026-07-29T20:31:56.777Z</dcterms:created>
  <dcterms:modified xsi:type="dcterms:W3CDTF">2026-07-29T20:31:56.777Z</dcterms:modified>
</cp:coreProperties>
</file>

<file path=docProps/custom.xml><?xml version="1.0" encoding="utf-8"?>
<Properties xmlns="http://schemas.openxmlformats.org/officeDocument/2006/custom-properties" xmlns:vt="http://schemas.openxmlformats.org/officeDocument/2006/docPropsVTypes"/>
</file>