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1A365D"/>
            <w:tcMar>
              <w:top w:w="240" w:type="dxa"/>
              <w:bottom w:w="240" w:type="dxa"/>
              <w:left w:w="240" w:type="dxa"/>
              <w:right w:w="240" w:type="dxa"/>
            </w:tcMar>
          </w:tcPr>
          <w:p>
            <w:pPr>
              <w:spacing w:after="80"/>
              <w:jc w:val="center"/>
            </w:pPr>
            <w:r>
              <w:rPr>
                <w:rFonts w:ascii="Calibri" w:hAnsi="Calibri"/>
                <w:b/>
                <w:color w:val="FFFFFF"/>
                <w:sz w:val="30"/>
              </w:rPr>
              <w:t>RAJSHAHI UNIVERSITY OF ENGINEERING &amp; TECHNOLOGY</w:t>
            </w:r>
          </w:p>
          <w:p>
            <w:pPr>
              <w:spacing w:after="80"/>
              <w:jc w:val="center"/>
            </w:pPr>
            <w:r>
              <w:rPr>
                <w:rFonts w:ascii="Calibri" w:hAnsi="Calibri"/>
                <w:b/>
                <w:color w:val="E2E8F0"/>
                <w:sz w:val="26"/>
              </w:rPr>
              <w:t>DEPARTMENT OF COMPUTER SCIENCE &amp; ENGINEERING</w:t>
            </w:r>
          </w:p>
          <w:p>
            <w:pPr>
              <w:spacing w:after="80"/>
              <w:jc w:val="center"/>
            </w:pPr>
            <w:r>
              <w:rPr>
                <w:rFonts w:ascii="Calibri" w:hAnsi="Calibri"/>
                <w:i/>
                <w:color w:val="CBD5E0"/>
                <w:sz w:val="22"/>
              </w:rPr>
              <w:t>1st Year Odd Semester Examination 2022 | Solution &amp; Answer Key</w:t>
            </w:r>
          </w:p>
          <w:p>
            <w:pPr>
              <w:spacing w:after="0"/>
              <w:jc w:val="center"/>
            </w:pPr>
            <w:r>
              <w:rPr>
                <w:rFonts w:ascii="Calibri" w:hAnsi="Calibri"/>
                <w:b/>
                <w:color w:val="FFFFFF"/>
                <w:sz w:val="20"/>
              </w:rPr>
              <w:t>Course Code: Hum 1113  |  Course Title: Functional English  |  Full Marks: 60  |  Time: 3 Hours</w:t>
            </w:r>
          </w:p>
        </w:tc>
      </w:tr>
    </w:tbl>
    <w:p>
      <w:pPr>
        <w:spacing w:after="240"/>
      </w:pPr>
    </w:p>
    <w:p>
      <w:pPr>
        <w:keepNext/>
        <w:spacing w:before="360" w:after="160"/>
      </w:pPr>
      <w:r>
        <w:rPr>
          <w:rFonts w:ascii="Calibri" w:hAnsi="Calibri"/>
          <w:b/>
          <w:color w:val="1A365D"/>
          <w:sz w:val="32"/>
        </w:rPr>
        <w:t>SECTION A</w:t>
      </w:r>
    </w:p>
    <w:p>
      <w:pPr>
        <w:spacing w:after="240"/>
      </w:pPr>
      <w:r>
        <w:rPr>
          <w:b/>
          <w:color w:val="2B6CB0"/>
        </w:rPr>
        <w:t>―――――――――――――――――――――――――――――――――――――――――――――――――――――――</w:t>
      </w: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180" w:type="dxa"/>
              <w:right w:w="180" w:type="dxa"/>
            </w:tcMar>
            <w:tcBorders>
              <w:left w:val="single" w:sz="24" w:space="0" w:color="1A365D"/>
              <w:top w:val="none"/>
              <w:right w:val="none"/>
              <w:bottom w:val="none"/>
            </w:tcBorders>
          </w:tcPr>
          <w:p>
            <w:pPr>
              <w:spacing w:after="80"/>
            </w:pPr>
            <w:r>
              <w:rPr>
                <w:rFonts w:ascii="Calibri" w:hAnsi="Calibri"/>
                <w:b/>
                <w:color w:val="1A365D"/>
                <w:sz w:val="22"/>
              </w:rPr>
              <w:t>QUESTION 1 (a) [CO4 | Marks: 2]</w:t>
            </w:r>
          </w:p>
          <w:p>
            <w:pPr>
              <w:spacing w:after="0"/>
            </w:pPr>
            <w:r>
              <w:rPr>
                <w:rFonts w:ascii="Calibri" w:hAnsi="Calibri"/>
                <w:i/>
                <w:color w:val="2D3748"/>
                <w:sz w:val="21"/>
              </w:rPr>
              <w:t>Describe the differences between meeting minutes and memorandum.</w:t>
            </w:r>
          </w:p>
        </w:tc>
      </w:tr>
    </w:tbl>
    <w:p>
      <w:pPr>
        <w:spacing w:after="160"/>
      </w:pPr>
    </w:p>
    <w:p>
      <w:pPr>
        <w:keepNext/>
        <w:spacing w:before="240" w:after="80"/>
      </w:pPr>
      <w:r>
        <w:rPr>
          <w:rFonts w:ascii="Calibri" w:hAnsi="Calibri"/>
          <w:b/>
          <w:color w:val="2B6CB0"/>
          <w:sz w:val="26"/>
        </w:rPr>
        <w:t>Solution / Answer:</w:t>
      </w:r>
    </w:p>
    <w:p>
      <w:pPr>
        <w:spacing w:after="120" w:line="276" w:lineRule="auto"/>
      </w:pPr>
      <w:r>
        <w:rPr>
          <w:rFonts w:ascii="Calibri" w:hAnsi="Calibri"/>
          <w:color w:val="2D3748"/>
          <w:sz w:val="21"/>
        </w:rPr>
        <w:t>A Meeting Minutes document and a Memorandum (Memo) are both fundamental forms of administrative and professional written communication in organizational settings, but they serve distinct operational purposes, follow different structural formats, and target different audiences.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160"/>
        <w:gridCol w:w="3888"/>
        <w:gridCol w:w="3888"/>
      </w:tblGrid>
      <w:tr>
        <w:tc>
          <w:tcPr>
            <w:tcW w:type="dxa" w:w="3312"/>
            <w:shd w:fill="1A365D"/>
            <w:tcMar>
              <w:top w:w="100" w:type="dxa"/>
              <w:bottom w:w="100" w:type="dxa"/>
              <w:left w:w="120" w:type="dxa"/>
              <w:right w:w="120" w:type="dxa"/>
            </w:tcMar>
          </w:tcPr>
          <w:p>
            <w:pPr>
              <w:jc w:val="center"/>
            </w:pPr>
            <w:r>
              <w:rPr>
                <w:rFonts w:ascii="Calibri" w:hAnsi="Calibri"/>
                <w:b/>
                <w:color w:val="FFFFFF"/>
                <w:sz w:val="20"/>
              </w:rPr>
              <w:t>Feature / Aspect</w:t>
            </w:r>
          </w:p>
        </w:tc>
        <w:tc>
          <w:tcPr>
            <w:tcW w:type="dxa" w:w="3312"/>
            <w:shd w:fill="1A365D"/>
            <w:tcMar>
              <w:top w:w="100" w:type="dxa"/>
              <w:bottom w:w="100" w:type="dxa"/>
              <w:left w:w="120" w:type="dxa"/>
              <w:right w:w="120" w:type="dxa"/>
            </w:tcMar>
          </w:tcPr>
          <w:p>
            <w:pPr>
              <w:jc w:val="center"/>
            </w:pPr>
            <w:r>
              <w:rPr>
                <w:rFonts w:ascii="Calibri" w:hAnsi="Calibri"/>
                <w:b/>
                <w:color w:val="FFFFFF"/>
                <w:sz w:val="20"/>
              </w:rPr>
              <w:t>Meeting Minutes</w:t>
            </w:r>
          </w:p>
        </w:tc>
        <w:tc>
          <w:tcPr>
            <w:tcW w:type="dxa" w:w="3312"/>
            <w:shd w:fill="1A365D"/>
            <w:tcMar>
              <w:top w:w="100" w:type="dxa"/>
              <w:bottom w:w="100" w:type="dxa"/>
              <w:left w:w="120" w:type="dxa"/>
              <w:right w:w="120" w:type="dxa"/>
            </w:tcMar>
          </w:tcPr>
          <w:p>
            <w:pPr>
              <w:jc w:val="center"/>
            </w:pPr>
            <w:r>
              <w:rPr>
                <w:rFonts w:ascii="Calibri" w:hAnsi="Calibri"/>
                <w:b/>
                <w:color w:val="FFFFFF"/>
                <w:sz w:val="20"/>
              </w:rPr>
              <w:t>Memorandum (Memo)</w:t>
            </w:r>
          </w:p>
        </w:tc>
      </w:tr>
      <w:tr>
        <w:tc>
          <w:tcPr>
            <w:tcW w:type="dxa" w:w="3312"/>
            <w:shd w:fill="F7FAFC"/>
            <w:tcMar>
              <w:top w:w="80" w:type="dxa"/>
              <w:bottom w:w="80" w:type="dxa"/>
              <w:left w:w="100" w:type="dxa"/>
              <w:right w:w="100" w:type="dxa"/>
            </w:tcMar>
          </w:tcPr>
          <w:p>
            <w:r>
              <w:rPr>
                <w:rFonts w:ascii="Calibri" w:hAnsi="Calibri"/>
                <w:b/>
                <w:color w:val="2D3748"/>
                <w:sz w:val="19"/>
              </w:rPr>
              <w:t>Primary Purpose</w:t>
            </w:r>
          </w:p>
        </w:tc>
        <w:tc>
          <w:tcPr>
            <w:tcW w:type="dxa" w:w="3312"/>
            <w:shd w:fill="F7FAFC"/>
            <w:tcMar>
              <w:top w:w="80" w:type="dxa"/>
              <w:bottom w:w="80" w:type="dxa"/>
              <w:left w:w="100" w:type="dxa"/>
              <w:right w:w="100" w:type="dxa"/>
            </w:tcMar>
          </w:tcPr>
          <w:p>
            <w:r>
              <w:rPr>
                <w:rFonts w:ascii="Calibri" w:hAnsi="Calibri"/>
                <w:color w:val="2D3748"/>
                <w:sz w:val="19"/>
              </w:rPr>
              <w:t>To provide an official, accurate, and historical record of discussions, decisions, and action items from a meeting.</w:t>
            </w:r>
          </w:p>
        </w:tc>
        <w:tc>
          <w:tcPr>
            <w:tcW w:type="dxa" w:w="3312"/>
            <w:shd w:fill="F7FAFC"/>
            <w:tcMar>
              <w:top w:w="80" w:type="dxa"/>
              <w:bottom w:w="80" w:type="dxa"/>
              <w:left w:w="100" w:type="dxa"/>
              <w:right w:w="100" w:type="dxa"/>
            </w:tcMar>
          </w:tcPr>
          <w:p>
            <w:r>
              <w:rPr>
                <w:rFonts w:ascii="Calibri" w:hAnsi="Calibri"/>
                <w:color w:val="2D3748"/>
                <w:sz w:val="19"/>
              </w:rPr>
              <w:t>To communicate internal news, policy updates, instructions, requests, or announcements across a department or team.</w:t>
            </w:r>
          </w:p>
        </w:tc>
      </w:tr>
      <w:tr>
        <w:tc>
          <w:tcPr>
            <w:tcW w:type="dxa" w:w="3312"/>
            <w:shd w:fill="FFFFFF"/>
            <w:tcMar>
              <w:top w:w="80" w:type="dxa"/>
              <w:bottom w:w="80" w:type="dxa"/>
              <w:left w:w="100" w:type="dxa"/>
              <w:right w:w="100" w:type="dxa"/>
            </w:tcMar>
          </w:tcPr>
          <w:p>
            <w:r>
              <w:rPr>
                <w:rFonts w:ascii="Calibri" w:hAnsi="Calibri"/>
                <w:b/>
                <w:color w:val="2D3748"/>
                <w:sz w:val="19"/>
              </w:rPr>
              <w:t>Timing &amp; Trigger</w:t>
            </w:r>
          </w:p>
        </w:tc>
        <w:tc>
          <w:tcPr>
            <w:tcW w:type="dxa" w:w="3312"/>
            <w:shd w:fill="FFFFFF"/>
            <w:tcMar>
              <w:top w:w="80" w:type="dxa"/>
              <w:bottom w:w="80" w:type="dxa"/>
              <w:left w:w="100" w:type="dxa"/>
              <w:right w:w="100" w:type="dxa"/>
            </w:tcMar>
          </w:tcPr>
          <w:p>
            <w:r>
              <w:rPr>
                <w:rFonts w:ascii="Calibri" w:hAnsi="Calibri"/>
                <w:color w:val="2D3748"/>
                <w:sz w:val="19"/>
              </w:rPr>
              <w:t>Recorded during a meeting and finalized immediately after the meeting concludes.</w:t>
            </w:r>
          </w:p>
        </w:tc>
        <w:tc>
          <w:tcPr>
            <w:tcW w:type="dxa" w:w="3312"/>
            <w:shd w:fill="FFFFFF"/>
            <w:tcMar>
              <w:top w:w="80" w:type="dxa"/>
              <w:bottom w:w="80" w:type="dxa"/>
              <w:left w:w="100" w:type="dxa"/>
              <w:right w:w="100" w:type="dxa"/>
            </w:tcMar>
          </w:tcPr>
          <w:p>
            <w:r>
              <w:rPr>
                <w:rFonts w:ascii="Calibri" w:hAnsi="Calibri"/>
                <w:color w:val="2D3748"/>
                <w:sz w:val="19"/>
              </w:rPr>
              <w:t>Issued prior to an event, independently of meetings, or as a follow-up directive.</w:t>
            </w:r>
          </w:p>
        </w:tc>
      </w:tr>
      <w:tr>
        <w:tc>
          <w:tcPr>
            <w:tcW w:type="dxa" w:w="3312"/>
            <w:shd w:fill="F7FAFC"/>
            <w:tcMar>
              <w:top w:w="80" w:type="dxa"/>
              <w:bottom w:w="80" w:type="dxa"/>
              <w:left w:w="100" w:type="dxa"/>
              <w:right w:w="100" w:type="dxa"/>
            </w:tcMar>
          </w:tcPr>
          <w:p>
            <w:r>
              <w:rPr>
                <w:rFonts w:ascii="Calibri" w:hAnsi="Calibri"/>
                <w:b/>
                <w:color w:val="2D3748"/>
                <w:sz w:val="19"/>
              </w:rPr>
              <w:t>Structural Format</w:t>
            </w:r>
          </w:p>
        </w:tc>
        <w:tc>
          <w:tcPr>
            <w:tcW w:type="dxa" w:w="3312"/>
            <w:shd w:fill="F7FAFC"/>
            <w:tcMar>
              <w:top w:w="80" w:type="dxa"/>
              <w:bottom w:w="80" w:type="dxa"/>
              <w:left w:w="100" w:type="dxa"/>
              <w:right w:w="100" w:type="dxa"/>
            </w:tcMar>
          </w:tcPr>
          <w:p>
            <w:r>
              <w:rPr>
                <w:rFonts w:ascii="Calibri" w:hAnsi="Calibri"/>
                <w:color w:val="2D3748"/>
                <w:sz w:val="19"/>
              </w:rPr>
              <w:t>Structured around meeting agenda: Call to Order, Attendees, Agenda Items, Discussions, Resolutions, Action Items, Adjournment.</w:t>
            </w:r>
          </w:p>
        </w:tc>
        <w:tc>
          <w:tcPr>
            <w:tcW w:type="dxa" w:w="3312"/>
            <w:shd w:fill="F7FAFC"/>
            <w:tcMar>
              <w:top w:w="80" w:type="dxa"/>
              <w:bottom w:w="80" w:type="dxa"/>
              <w:left w:w="100" w:type="dxa"/>
              <w:right w:w="100" w:type="dxa"/>
            </w:tcMar>
          </w:tcPr>
          <w:p>
            <w:r>
              <w:rPr>
                <w:rFonts w:ascii="Calibri" w:hAnsi="Calibri"/>
                <w:color w:val="2D3748"/>
                <w:sz w:val="19"/>
              </w:rPr>
              <w:t>Structured around standard Header Block (TO, FROM, DATE, SUBJECT) followed by Introduction, Body Paragraphs, and Action Request.</w:t>
            </w:r>
          </w:p>
        </w:tc>
      </w:tr>
      <w:tr>
        <w:tc>
          <w:tcPr>
            <w:tcW w:type="dxa" w:w="3312"/>
            <w:shd w:fill="FFFFFF"/>
            <w:tcMar>
              <w:top w:w="80" w:type="dxa"/>
              <w:bottom w:w="80" w:type="dxa"/>
              <w:left w:w="100" w:type="dxa"/>
              <w:right w:w="100" w:type="dxa"/>
            </w:tcMar>
          </w:tcPr>
          <w:p>
            <w:r>
              <w:rPr>
                <w:rFonts w:ascii="Calibri" w:hAnsi="Calibri"/>
                <w:b/>
                <w:color w:val="2D3748"/>
                <w:sz w:val="19"/>
              </w:rPr>
              <w:t>Target Audience</w:t>
            </w:r>
          </w:p>
        </w:tc>
        <w:tc>
          <w:tcPr>
            <w:tcW w:type="dxa" w:w="3312"/>
            <w:shd w:fill="FFFFFF"/>
            <w:tcMar>
              <w:top w:w="80" w:type="dxa"/>
              <w:bottom w:w="80" w:type="dxa"/>
              <w:left w:w="100" w:type="dxa"/>
              <w:right w:w="100" w:type="dxa"/>
            </w:tcMar>
          </w:tcPr>
          <w:p>
            <w:r>
              <w:rPr>
                <w:rFonts w:ascii="Calibri" w:hAnsi="Calibri"/>
                <w:color w:val="2D3748"/>
                <w:sz w:val="19"/>
              </w:rPr>
              <w:t>Meeting participants, absent committee members, executives, board members, and auditors.</w:t>
            </w:r>
          </w:p>
        </w:tc>
        <w:tc>
          <w:tcPr>
            <w:tcW w:type="dxa" w:w="3312"/>
            <w:shd w:fill="FFFFFF"/>
            <w:tcMar>
              <w:top w:w="80" w:type="dxa"/>
              <w:bottom w:w="80" w:type="dxa"/>
              <w:left w:w="100" w:type="dxa"/>
              <w:right w:w="100" w:type="dxa"/>
            </w:tcMar>
          </w:tcPr>
          <w:p>
            <w:r>
              <w:rPr>
                <w:rFonts w:ascii="Calibri" w:hAnsi="Calibri"/>
                <w:color w:val="2D3748"/>
                <w:sz w:val="19"/>
              </w:rPr>
              <w:t>Specific employees, departmental faculty/staff, or the entire organizational workforce.</w:t>
            </w:r>
          </w:p>
        </w:tc>
      </w:tr>
      <w:tr>
        <w:tc>
          <w:tcPr>
            <w:tcW w:type="dxa" w:w="3312"/>
            <w:shd w:fill="F7FAFC"/>
            <w:tcMar>
              <w:top w:w="80" w:type="dxa"/>
              <w:bottom w:w="80" w:type="dxa"/>
              <w:left w:w="100" w:type="dxa"/>
              <w:right w:w="100" w:type="dxa"/>
            </w:tcMar>
          </w:tcPr>
          <w:p>
            <w:r>
              <w:rPr>
                <w:rFonts w:ascii="Calibri" w:hAnsi="Calibri"/>
                <w:b/>
                <w:color w:val="2D3748"/>
                <w:sz w:val="19"/>
              </w:rPr>
              <w:t>Tone &amp; Perspective</w:t>
            </w:r>
          </w:p>
        </w:tc>
        <w:tc>
          <w:tcPr>
            <w:tcW w:type="dxa" w:w="3312"/>
            <w:shd w:fill="F7FAFC"/>
            <w:tcMar>
              <w:top w:w="80" w:type="dxa"/>
              <w:bottom w:w="80" w:type="dxa"/>
              <w:left w:w="100" w:type="dxa"/>
              <w:right w:w="100" w:type="dxa"/>
            </w:tcMar>
          </w:tcPr>
          <w:p>
            <w:r>
              <w:rPr>
                <w:rFonts w:ascii="Calibri" w:hAnsi="Calibri"/>
                <w:color w:val="2D3748"/>
                <w:sz w:val="19"/>
              </w:rPr>
              <w:t>Formal, neutral, objective, written in past tense and third-person reporting style.</w:t>
            </w:r>
          </w:p>
        </w:tc>
        <w:tc>
          <w:tcPr>
            <w:tcW w:type="dxa" w:w="3312"/>
            <w:shd w:fill="F7FAFC"/>
            <w:tcMar>
              <w:top w:w="80" w:type="dxa"/>
              <w:bottom w:w="80" w:type="dxa"/>
              <w:left w:w="100" w:type="dxa"/>
              <w:right w:w="100" w:type="dxa"/>
            </w:tcMar>
          </w:tcPr>
          <w:p>
            <w:r>
              <w:rPr>
                <w:rFonts w:ascii="Calibri" w:hAnsi="Calibri"/>
                <w:color w:val="2D3748"/>
                <w:sz w:val="19"/>
              </w:rPr>
              <w:t>Professional, direct, action-oriented; written in first or third person depending on authority.</w:t>
            </w:r>
          </w:p>
        </w:tc>
      </w:tr>
    </w:tbl>
    <w:p>
      <w:pPr>
        <w:spacing w:after="240"/>
      </w:pP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180" w:type="dxa"/>
              <w:right w:w="180" w:type="dxa"/>
            </w:tcMar>
            <w:tcBorders>
              <w:left w:val="single" w:sz="24" w:space="0" w:color="1A365D"/>
              <w:top w:val="none"/>
              <w:right w:val="none"/>
              <w:bottom w:val="none"/>
            </w:tcBorders>
          </w:tcPr>
          <w:p>
            <w:pPr>
              <w:spacing w:after="80"/>
            </w:pPr>
            <w:r>
              <w:rPr>
                <w:rFonts w:ascii="Calibri" w:hAnsi="Calibri"/>
                <w:b/>
                <w:color w:val="1A365D"/>
                <w:sz w:val="22"/>
              </w:rPr>
              <w:t>QUESTION 1 (b) [CO4 | Marks: 8]</w:t>
            </w:r>
          </w:p>
          <w:p>
            <w:pPr>
              <w:spacing w:after="0"/>
            </w:pPr>
            <w:r>
              <w:rPr>
                <w:rFonts w:ascii="Calibri" w:hAnsi="Calibri"/>
                <w:i/>
                <w:color w:val="2D3748"/>
                <w:sz w:val="21"/>
              </w:rPr>
              <w:t>Suppose you are the course advisor of CSE department (B.Sc. program), RUET. Two new classes with the course title CSE 4112 Mobile App Projects and CSE 4110 Python Programming will be added to the ongoing 4th year B.Sc. program from the next series. Write a memo to all the faculties at your department to inform them about the proposed changes to the programs with the explanation of the new syllabus for the proposed courses.</w:t>
            </w:r>
          </w:p>
        </w:tc>
      </w:tr>
    </w:tbl>
    <w:p>
      <w:pPr>
        <w:spacing w:after="160"/>
      </w:pPr>
    </w:p>
    <w:p>
      <w:pPr>
        <w:keepNext/>
        <w:spacing w:before="240" w:after="80"/>
      </w:pPr>
      <w:r>
        <w:rPr>
          <w:rFonts w:ascii="Calibri" w:hAnsi="Calibri"/>
          <w:b/>
          <w:color w:val="2B6CB0"/>
          <w:sz w:val="26"/>
        </w:rPr>
        <w:t>Solution / Answer:</w:t>
      </w:r>
    </w:p>
    <w:tbl>
      <w:tblPr>
        <w:tblW w:type="auto" w:w="0"/>
        <w:jc w:val="center"/>
        <w:tblLayout w:type="fixed"/>
        <w:tblLook w:firstColumn="1" w:firstRow="1" w:lastColumn="0" w:lastRow="0" w:noHBand="0" w:noVBand="1" w:val="04A0"/>
      </w:tblPr>
      <w:tblGrid>
        <w:gridCol w:w="9936"/>
      </w:tblGrid>
      <w:tr>
        <w:tc>
          <w:tcPr>
            <w:tcW w:type="dxa" w:w="9936"/>
            <w:shd w:fill="FFFFFF"/>
            <w:tcMar>
              <w:top w:w="180" w:type="dxa"/>
              <w:bottom w:w="180" w:type="dxa"/>
              <w:left w:w="220" w:type="dxa"/>
              <w:right w:w="220" w:type="dxa"/>
            </w:tcMar>
            <w:tcBorders>
              <w:left w:val="single" w:sz="12" w:space="0" w:color="1A365D"/>
              <w:top w:val="single" w:sz="12" w:space="0" w:color="1A365D"/>
              <w:right w:val="single" w:sz="12" w:space="0" w:color="1A365D"/>
              <w:bottom w:val="single" w:sz="12" w:space="0" w:color="1A365D"/>
            </w:tcBorders>
          </w:tcPr>
          <w:p>
            <w:pPr>
              <w:spacing w:after="200"/>
              <w:jc w:val="center"/>
            </w:pPr>
            <w:r>
              <w:rPr>
                <w:rFonts w:ascii="Calibri" w:hAnsi="Calibri"/>
                <w:b/>
                <w:color w:val="1A365D"/>
                <w:sz w:val="32"/>
              </w:rPr>
              <w:t>MEMORANDUM</w:t>
            </w:r>
          </w:p>
          <w:p>
            <w:pPr>
              <w:spacing w:after="60"/>
            </w:pPr>
            <w:r>
              <w:rPr>
                <w:rFonts w:ascii="Calibri" w:hAnsi="Calibri"/>
                <w:b/>
                <w:color w:val="1A365D"/>
                <w:sz w:val="20"/>
              </w:rPr>
              <w:t xml:space="preserve">TO: </w:t>
            </w:r>
            <w:r>
              <w:rPr>
                <w:rFonts w:ascii="Calibri" w:hAnsi="Calibri"/>
                <w:color w:val="2D3748"/>
                <w:sz w:val="20"/>
              </w:rPr>
              <w:t>All Faculty Members, Department of Computer Science &amp; Engineering, RUET</w:t>
            </w:r>
          </w:p>
          <w:p>
            <w:pPr>
              <w:spacing w:after="60"/>
            </w:pPr>
            <w:r>
              <w:rPr>
                <w:rFonts w:ascii="Calibri" w:hAnsi="Calibri"/>
                <w:b/>
                <w:color w:val="1A365D"/>
                <w:sz w:val="20"/>
              </w:rPr>
              <w:t xml:space="preserve">FROM: </w:t>
            </w:r>
            <w:r>
              <w:rPr>
                <w:rFonts w:ascii="Calibri" w:hAnsi="Calibri"/>
                <w:color w:val="2D3748"/>
                <w:sz w:val="20"/>
              </w:rPr>
              <w:t>Course Advisor, B.Sc. in CSE Program, RUET</w:t>
            </w:r>
          </w:p>
          <w:p>
            <w:pPr>
              <w:spacing w:after="60"/>
            </w:pPr>
            <w:r>
              <w:rPr>
                <w:rFonts w:ascii="Calibri" w:hAnsi="Calibri"/>
                <w:b/>
                <w:color w:val="1A365D"/>
                <w:sz w:val="20"/>
              </w:rPr>
              <w:t xml:space="preserve">DATE: </w:t>
            </w:r>
            <w:r>
              <w:rPr>
                <w:rFonts w:ascii="Calibri" w:hAnsi="Calibri"/>
                <w:color w:val="2D3748"/>
                <w:sz w:val="20"/>
              </w:rPr>
              <w:t>October 15, 2023</w:t>
            </w:r>
          </w:p>
          <w:p>
            <w:pPr>
              <w:spacing w:after="60"/>
            </w:pPr>
            <w:r>
              <w:rPr>
                <w:rFonts w:ascii="Calibri" w:hAnsi="Calibri"/>
                <w:b/>
                <w:color w:val="1A365D"/>
                <w:sz w:val="20"/>
              </w:rPr>
              <w:t xml:space="preserve">SUBJECT: </w:t>
            </w:r>
            <w:r>
              <w:rPr>
                <w:rFonts w:ascii="Calibri" w:hAnsi="Calibri"/>
                <w:color w:val="2D3748"/>
                <w:sz w:val="20"/>
              </w:rPr>
              <w:t>Inclusion of CSE 4110 (Python Programming) and CSE 4112 (Mobile App Projects) in 4th Year B.Sc. Curriculum Starting Next Series</w:t>
            </w:r>
          </w:p>
          <w:p>
            <w:pPr>
              <w:spacing w:after="160"/>
            </w:pPr>
            <w:r>
              <w:rPr>
                <w:color w:val="CBD5E0"/>
              </w:rPr>
              <w:t>――――――――――――――――――――――――――――――――――――――――――――――――――――――――――</w:t>
            </w:r>
          </w:p>
          <w:p>
            <w:pPr>
              <w:spacing w:after="80"/>
            </w:pPr>
            <w:r>
              <w:rPr>
                <w:rFonts w:ascii="Calibri" w:hAnsi="Calibri"/>
                <w:b/>
                <w:color w:val="1A365D"/>
                <w:sz w:val="21"/>
              </w:rPr>
              <w:t>1. Purpose &amp; Overview</w:t>
              <w:br/>
            </w:r>
            <w:r>
              <w:rPr>
                <w:rFonts w:ascii="Calibri" w:hAnsi="Calibri"/>
                <w:color w:val="2D3748"/>
                <w:sz w:val="20"/>
              </w:rPr>
              <w:t>This memorandum serves to formally notify all faculty members that, following the recent resolution of the Academic Curriculum Committee, two new courses—CSE 4110: Python Programming and CSE 4112: Mobile App Projects—will be incorporated into the 4th Year B.Sc. in CSE program starting from the upcoming academic series. These additions aim to align our undergraduate curriculum with evolving software engineering standards and industry demands.</w:t>
            </w:r>
          </w:p>
          <w:p>
            <w:pPr>
              <w:spacing w:after="80"/>
            </w:pPr>
            <w:r>
              <w:rPr>
                <w:rFonts w:ascii="Calibri" w:hAnsi="Calibri"/>
                <w:b/>
                <w:color w:val="1A365D"/>
                <w:sz w:val="21"/>
              </w:rPr>
              <w:t>2. Rationale for Curriculum Update</w:t>
              <w:br/>
            </w:r>
            <w:r>
              <w:rPr>
                <w:rFonts w:ascii="Calibri" w:hAnsi="Calibri"/>
                <w:color w:val="2D3748"/>
                <w:sz w:val="20"/>
              </w:rPr>
              <w:t>Modern IT industries and research domains rely heavily on data science, rapid prototyping, machine learning, and mobile platform engineering. Providing specialized coursework in Python programming and practical mobile application development will significantly enhance our graduates' employability, competitive programming caliber, and thesis research capabilities.</w:t>
            </w:r>
          </w:p>
          <w:p>
            <w:pPr>
              <w:spacing w:after="80"/>
            </w:pPr>
            <w:r>
              <w:rPr>
                <w:rFonts w:ascii="Calibri" w:hAnsi="Calibri"/>
                <w:b/>
                <w:color w:val="1A365D"/>
                <w:sz w:val="21"/>
              </w:rPr>
              <w:t>3. Syllabus Explanation for Proposed Courses</w:t>
            </w:r>
          </w:p>
          <w:p>
            <w:pPr>
              <w:spacing w:after="80"/>
            </w:pPr>
            <w:r>
              <w:rPr>
                <w:rFonts w:ascii="Calibri" w:hAnsi="Calibri"/>
                <w:b/>
                <w:color w:val="1A365D"/>
                <w:sz w:val="21"/>
              </w:rPr>
              <w:t>Course 1: CSE 4110 — Python Programming (Theory)</w:t>
              <w:br/>
            </w:r>
            <w:r>
              <w:rPr>
                <w:rFonts w:ascii="Calibri" w:hAnsi="Calibri"/>
                <w:color w:val="2D3748"/>
                <w:sz w:val="20"/>
              </w:rPr>
              <w:t>• Course Credits: 3.00 | Contact Hours: 3 Hours/Week</w:t>
              <w:br/>
              <w:t>• Course Objectives: To impart comprehensive knowledge of Python syntax, object-oriented paradigms, data analysis libraries, web micro-frameworks, and REST API integration.</w:t>
              <w:br/>
              <w:t>• Syllabus Units:</w:t>
              <w:br/>
              <w:t xml:space="preserve">  - Unit I (Syntax &amp; Data Structures): Python basics, dynamic typing, list comprehensions, dictionaries, sets, tuples, modules, and file handling.</w:t>
              <w:br/>
              <w:t xml:space="preserve">  - Unit II (Object-Oriented &amp; Advanced Concepts): Classes, inheritance, polymorphism, encapsulation, decorators, generators, and exception management.</w:t>
              <w:br/>
              <w:t xml:space="preserve">  - Unit III (Scientific &amp; Data Analytics Computing): NumPy arrays, Pandas DataFrames, and data visualization using Matplotlib and Seaborn.</w:t>
              <w:br/>
              <w:t xml:space="preserve">  - Unit IV (Web Frameworks &amp; API Integration): Basics of Django/Flask frameworks, RESTful web services, and database integration (SQLite/PostgreSQL).</w:t>
            </w:r>
          </w:p>
          <w:p>
            <w:pPr>
              <w:spacing w:after="80"/>
            </w:pPr>
            <w:r>
              <w:rPr>
                <w:rFonts w:ascii="Calibri" w:hAnsi="Calibri"/>
                <w:b/>
                <w:color w:val="1A365D"/>
                <w:sz w:val="21"/>
              </w:rPr>
              <w:t>Course 2: CSE 4112 — Mobile App Projects (Sessional/Lab)</w:t>
              <w:br/>
            </w:r>
            <w:r>
              <w:rPr>
                <w:rFonts w:ascii="Calibri" w:hAnsi="Calibri"/>
                <w:color w:val="2D3748"/>
                <w:sz w:val="20"/>
              </w:rPr>
              <w:t>• Course Credits: 1.50 | Contact Hours: 3 Hours/Week</w:t>
              <w:br/>
              <w:t>• Course Objectives: To provide hands-on experience in designing, architectural structuring, building, and deploying native/cross-platform mobile applications.</w:t>
              <w:br/>
              <w:t>• Syllabus Units:</w:t>
              <w:br/>
              <w:t xml:space="preserve">  - Unit I (UI/UX &amp; Mobile Architecture): Mobile UI principles, Flutter/Dart fundamentals, responsive layout design, and component lifecycles.</w:t>
              <w:br/>
              <w:t xml:space="preserve">  - Unit II (State Management &amp; Local Storage): State management patterns (Provider, BLoC), local persistence using SQLite and Hive.</w:t>
              <w:br/>
              <w:t xml:space="preserve">  - Unit III (Cloud &amp; Backend Integration): Asynchronous networking, HTTP REST APIs parsing, authentication, and Firebase Cloud Messaging.</w:t>
              <w:br/>
              <w:t xml:space="preserve">  - Unit IV (Capstone Group Project): End-to-end team application development, version control (Git), performance profiling, and Google Play Store deployment.</w:t>
            </w:r>
          </w:p>
          <w:p>
            <w:pPr>
              <w:spacing w:after="80"/>
            </w:pPr>
            <w:r>
              <w:rPr>
                <w:rFonts w:ascii="Calibri" w:hAnsi="Calibri"/>
                <w:b/>
                <w:color w:val="1A365D"/>
                <w:sz w:val="21"/>
              </w:rPr>
              <w:t>4. Next Steps &amp; Departmental Meeting</w:t>
              <w:br/>
            </w:r>
            <w:r>
              <w:rPr>
                <w:rFonts w:ascii="Calibri" w:hAnsi="Calibri"/>
                <w:color w:val="2D3748"/>
                <w:sz w:val="20"/>
              </w:rPr>
              <w:t>All faculty members are cordially invited to attend an upcoming Departmental Curriculum Review Meeting on Sunday, October 22, 2023 at 11:00 AM in the CSE Seminar Room. We will discuss course load distributions, laboratory equipment provisioning, and lecture allocation. Your valued suggestions will be highly appreciated.</w:t>
            </w:r>
          </w:p>
        </w:tc>
      </w:tr>
    </w:tbl>
    <w:p>
      <w:pPr>
        <w:spacing w:after="280"/>
      </w:pP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180" w:type="dxa"/>
              <w:right w:w="180" w:type="dxa"/>
            </w:tcMar>
            <w:tcBorders>
              <w:left w:val="single" w:sz="24" w:space="0" w:color="1A365D"/>
              <w:top w:val="none"/>
              <w:right w:val="none"/>
              <w:bottom w:val="none"/>
            </w:tcBorders>
          </w:tcPr>
          <w:p>
            <w:pPr>
              <w:spacing w:after="80"/>
            </w:pPr>
            <w:r>
              <w:rPr>
                <w:rFonts w:ascii="Calibri" w:hAnsi="Calibri"/>
                <w:b/>
                <w:color w:val="1A365D"/>
                <w:sz w:val="22"/>
              </w:rPr>
              <w:t>QUESTION 2 (a) [CO1 | Marks: 5]</w:t>
            </w:r>
          </w:p>
          <w:p>
            <w:pPr>
              <w:spacing w:after="0"/>
            </w:pPr>
            <w:r>
              <w:rPr>
                <w:rFonts w:ascii="Calibri" w:hAnsi="Calibri"/>
                <w:i/>
                <w:color w:val="2D3748"/>
                <w:sz w:val="21"/>
              </w:rPr>
              <w:t>How would you differentiate between a phrase and a clause? Discuss.</w:t>
            </w:r>
          </w:p>
        </w:tc>
      </w:tr>
    </w:tbl>
    <w:p>
      <w:pPr>
        <w:spacing w:after="160"/>
      </w:pPr>
    </w:p>
    <w:p>
      <w:pPr>
        <w:keepNext/>
        <w:spacing w:before="240" w:after="80"/>
      </w:pPr>
      <w:r>
        <w:rPr>
          <w:rFonts w:ascii="Calibri" w:hAnsi="Calibri"/>
          <w:b/>
          <w:color w:val="2B6CB0"/>
          <w:sz w:val="26"/>
        </w:rPr>
        <w:t>Solution / Answer:</w:t>
      </w:r>
    </w:p>
    <w:p>
      <w:pPr>
        <w:spacing w:after="120" w:line="276" w:lineRule="auto"/>
      </w:pPr>
      <w:r>
        <w:rPr>
          <w:rFonts w:ascii="Calibri" w:hAnsi="Calibri"/>
          <w:color w:val="2D3748"/>
          <w:sz w:val="21"/>
        </w:rPr>
        <w:t>In English grammar, phrases and clauses are the fundamental structural building blocks used to construct sentences. While both consist of groups of related words, they differ crucially in their internal grammatical composition and their ability to express complete thoughts.</w:t>
      </w:r>
    </w:p>
    <w:p>
      <w:pPr>
        <w:keepNext/>
        <w:spacing w:before="160" w:after="40"/>
      </w:pPr>
      <w:r>
        <w:rPr>
          <w:rFonts w:ascii="Calibri" w:hAnsi="Calibri"/>
          <w:b/>
          <w:color w:val="2D3748"/>
          <w:sz w:val="22"/>
        </w:rPr>
        <w:t>1. Core Definitions</w:t>
      </w:r>
    </w:p>
    <w:p>
      <w:pPr>
        <w:pStyle w:val="ListBullet"/>
        <w:spacing w:after="80" w:line="276" w:lineRule="auto"/>
      </w:pPr>
      <w:r>
        <w:rPr>
          <w:rFonts w:ascii="Calibri" w:hAnsi="Calibri"/>
          <w:b/>
          <w:color w:val="1A365D"/>
          <w:sz w:val="21"/>
        </w:rPr>
        <w:t xml:space="preserve">Phrase: </w:t>
      </w:r>
      <w:r>
        <w:rPr>
          <w:rFonts w:ascii="Calibri" w:hAnsi="Calibri"/>
          <w:color w:val="2D3748"/>
          <w:sz w:val="21"/>
        </w:rPr>
        <w:t>A group of two or more grammatically linked words that functions as a single part of speech (noun, adjective, adverb, or preposition) within a sentence. A phrase does NOT contain both a subject and a finite verb, and therefore can NEVER express a complete thought on its own.</w:t>
      </w:r>
    </w:p>
    <w:p>
      <w:pPr>
        <w:pStyle w:val="ListBullet"/>
        <w:spacing w:after="80" w:line="276" w:lineRule="auto"/>
      </w:pPr>
      <w:r>
        <w:rPr>
          <w:rFonts w:ascii="Calibri" w:hAnsi="Calibri"/>
          <w:b/>
          <w:color w:val="1A365D"/>
          <w:sz w:val="21"/>
        </w:rPr>
        <w:t xml:space="preserve">Clause: </w:t>
      </w:r>
      <w:r>
        <w:rPr>
          <w:rFonts w:ascii="Calibri" w:hAnsi="Calibri"/>
          <w:color w:val="2D3748"/>
          <w:sz w:val="21"/>
        </w:rPr>
        <w:t>A group of words containing both a grammatical subject and a predicate (a finite verb). A clause may either express a complete thought (Independent/Main Clause) or rely on the rest of the sentence for meaning (Dependent/Subordinate Clause).</w:t>
      </w:r>
    </w:p>
    <w:p>
      <w:pPr>
        <w:keepNext/>
        <w:spacing w:before="160" w:after="40"/>
      </w:pPr>
      <w:r>
        <w:rPr>
          <w:rFonts w:ascii="Calibri" w:hAnsi="Calibri"/>
          <w:b/>
          <w:color w:val="2D3748"/>
          <w:sz w:val="22"/>
        </w:rPr>
        <w:t>2. Comparison Table</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160"/>
        <w:gridCol w:w="3888"/>
        <w:gridCol w:w="3888"/>
      </w:tblGrid>
      <w:tr>
        <w:tc>
          <w:tcPr>
            <w:tcW w:type="dxa" w:w="3312"/>
            <w:shd w:fill="1A365D"/>
            <w:tcMar>
              <w:top w:w="100" w:type="dxa"/>
              <w:bottom w:w="100" w:type="dxa"/>
              <w:left w:w="120" w:type="dxa"/>
              <w:right w:w="120" w:type="dxa"/>
            </w:tcMar>
          </w:tcPr>
          <w:p>
            <w:pPr>
              <w:jc w:val="center"/>
            </w:pPr>
            <w:r>
              <w:rPr>
                <w:rFonts w:ascii="Calibri" w:hAnsi="Calibri"/>
                <w:b/>
                <w:color w:val="FFFFFF"/>
                <w:sz w:val="20"/>
              </w:rPr>
              <w:t>Grammatical Criteria</w:t>
            </w:r>
          </w:p>
        </w:tc>
        <w:tc>
          <w:tcPr>
            <w:tcW w:type="dxa" w:w="3312"/>
            <w:shd w:fill="1A365D"/>
            <w:tcMar>
              <w:top w:w="100" w:type="dxa"/>
              <w:bottom w:w="100" w:type="dxa"/>
              <w:left w:w="120" w:type="dxa"/>
              <w:right w:w="120" w:type="dxa"/>
            </w:tcMar>
          </w:tcPr>
          <w:p>
            <w:pPr>
              <w:jc w:val="center"/>
            </w:pPr>
            <w:r>
              <w:rPr>
                <w:rFonts w:ascii="Calibri" w:hAnsi="Calibri"/>
                <w:b/>
                <w:color w:val="FFFFFF"/>
                <w:sz w:val="20"/>
              </w:rPr>
              <w:t>Phrase</w:t>
            </w:r>
          </w:p>
        </w:tc>
        <w:tc>
          <w:tcPr>
            <w:tcW w:type="dxa" w:w="3312"/>
            <w:shd w:fill="1A365D"/>
            <w:tcMar>
              <w:top w:w="100" w:type="dxa"/>
              <w:bottom w:w="100" w:type="dxa"/>
              <w:left w:w="120" w:type="dxa"/>
              <w:right w:w="120" w:type="dxa"/>
            </w:tcMar>
          </w:tcPr>
          <w:p>
            <w:pPr>
              <w:jc w:val="center"/>
            </w:pPr>
            <w:r>
              <w:rPr>
                <w:rFonts w:ascii="Calibri" w:hAnsi="Calibri"/>
                <w:b/>
                <w:color w:val="FFFFFF"/>
                <w:sz w:val="20"/>
              </w:rPr>
              <w:t>Clause</w:t>
            </w:r>
          </w:p>
        </w:tc>
      </w:tr>
      <w:tr>
        <w:tc>
          <w:tcPr>
            <w:tcW w:type="dxa" w:w="3312"/>
            <w:shd w:fill="F7FAFC"/>
            <w:tcMar>
              <w:top w:w="80" w:type="dxa"/>
              <w:bottom w:w="80" w:type="dxa"/>
              <w:left w:w="100" w:type="dxa"/>
              <w:right w:w="100" w:type="dxa"/>
            </w:tcMar>
          </w:tcPr>
          <w:p>
            <w:r>
              <w:rPr>
                <w:rFonts w:ascii="Calibri" w:hAnsi="Calibri"/>
                <w:b/>
                <w:color w:val="2D3748"/>
                <w:sz w:val="19"/>
              </w:rPr>
              <w:t>Subject-Verb Combination</w:t>
            </w:r>
          </w:p>
        </w:tc>
        <w:tc>
          <w:tcPr>
            <w:tcW w:type="dxa" w:w="3312"/>
            <w:shd w:fill="F7FAFC"/>
            <w:tcMar>
              <w:top w:w="80" w:type="dxa"/>
              <w:bottom w:w="80" w:type="dxa"/>
              <w:left w:w="100" w:type="dxa"/>
              <w:right w:w="100" w:type="dxa"/>
            </w:tcMar>
          </w:tcPr>
          <w:p>
            <w:r>
              <w:rPr>
                <w:rFonts w:ascii="Calibri" w:hAnsi="Calibri"/>
                <w:color w:val="2D3748"/>
                <w:sz w:val="19"/>
              </w:rPr>
              <w:t>Lacks a subject, a finite verb, or both.</w:t>
            </w:r>
          </w:p>
        </w:tc>
        <w:tc>
          <w:tcPr>
            <w:tcW w:type="dxa" w:w="3312"/>
            <w:shd w:fill="F7FAFC"/>
            <w:tcMar>
              <w:top w:w="80" w:type="dxa"/>
              <w:bottom w:w="80" w:type="dxa"/>
              <w:left w:w="100" w:type="dxa"/>
              <w:right w:w="100" w:type="dxa"/>
            </w:tcMar>
          </w:tcPr>
          <w:p>
            <w:r>
              <w:rPr>
                <w:rFonts w:ascii="Calibri" w:hAnsi="Calibri"/>
                <w:color w:val="2D3748"/>
                <w:sz w:val="19"/>
              </w:rPr>
              <w:t>Contains both a subject and a finite verb.</w:t>
            </w:r>
          </w:p>
        </w:tc>
      </w:tr>
      <w:tr>
        <w:tc>
          <w:tcPr>
            <w:tcW w:type="dxa" w:w="3312"/>
            <w:shd w:fill="FFFFFF"/>
            <w:tcMar>
              <w:top w:w="80" w:type="dxa"/>
              <w:bottom w:w="80" w:type="dxa"/>
              <w:left w:w="100" w:type="dxa"/>
              <w:right w:w="100" w:type="dxa"/>
            </w:tcMar>
          </w:tcPr>
          <w:p>
            <w:r>
              <w:rPr>
                <w:rFonts w:ascii="Calibri" w:hAnsi="Calibri"/>
                <w:b/>
                <w:color w:val="2D3748"/>
                <w:sz w:val="19"/>
              </w:rPr>
              <w:t>Complete Thought</w:t>
            </w:r>
          </w:p>
        </w:tc>
        <w:tc>
          <w:tcPr>
            <w:tcW w:type="dxa" w:w="3312"/>
            <w:shd w:fill="FFFFFF"/>
            <w:tcMar>
              <w:top w:w="80" w:type="dxa"/>
              <w:bottom w:w="80" w:type="dxa"/>
              <w:left w:w="100" w:type="dxa"/>
              <w:right w:w="100" w:type="dxa"/>
            </w:tcMar>
          </w:tcPr>
          <w:p>
            <w:r>
              <w:rPr>
                <w:rFonts w:ascii="Calibri" w:hAnsi="Calibri"/>
                <w:color w:val="2D3748"/>
                <w:sz w:val="19"/>
              </w:rPr>
              <w:t>Never expresses a complete standalone thought.</w:t>
            </w:r>
          </w:p>
        </w:tc>
        <w:tc>
          <w:tcPr>
            <w:tcW w:type="dxa" w:w="3312"/>
            <w:shd w:fill="FFFFFF"/>
            <w:tcMar>
              <w:top w:w="80" w:type="dxa"/>
              <w:bottom w:w="80" w:type="dxa"/>
              <w:left w:w="100" w:type="dxa"/>
              <w:right w:w="100" w:type="dxa"/>
            </w:tcMar>
          </w:tcPr>
          <w:p>
            <w:r>
              <w:rPr>
                <w:rFonts w:ascii="Calibri" w:hAnsi="Calibri"/>
                <w:color w:val="2D3748"/>
                <w:sz w:val="19"/>
              </w:rPr>
              <w:t>Independent clauses express complete thoughts; dependent clauses do not.</w:t>
            </w:r>
          </w:p>
        </w:tc>
      </w:tr>
      <w:tr>
        <w:tc>
          <w:tcPr>
            <w:tcW w:type="dxa" w:w="3312"/>
            <w:shd w:fill="F7FAFC"/>
            <w:tcMar>
              <w:top w:w="80" w:type="dxa"/>
              <w:bottom w:w="80" w:type="dxa"/>
              <w:left w:w="100" w:type="dxa"/>
              <w:right w:w="100" w:type="dxa"/>
            </w:tcMar>
          </w:tcPr>
          <w:p>
            <w:r>
              <w:rPr>
                <w:rFonts w:ascii="Calibri" w:hAnsi="Calibri"/>
                <w:b/>
                <w:color w:val="2D3748"/>
                <w:sz w:val="19"/>
              </w:rPr>
              <w:t>Standalone Capability</w:t>
            </w:r>
          </w:p>
        </w:tc>
        <w:tc>
          <w:tcPr>
            <w:tcW w:type="dxa" w:w="3312"/>
            <w:shd w:fill="F7FAFC"/>
            <w:tcMar>
              <w:top w:w="80" w:type="dxa"/>
              <w:bottom w:w="80" w:type="dxa"/>
              <w:left w:w="100" w:type="dxa"/>
              <w:right w:w="100" w:type="dxa"/>
            </w:tcMar>
          </w:tcPr>
          <w:p>
            <w:r>
              <w:rPr>
                <w:rFonts w:ascii="Calibri" w:hAnsi="Calibri"/>
                <w:color w:val="2D3748"/>
                <w:sz w:val="19"/>
              </w:rPr>
              <w:t>Cannot stand alone as a sentence.</w:t>
            </w:r>
          </w:p>
        </w:tc>
        <w:tc>
          <w:tcPr>
            <w:tcW w:type="dxa" w:w="3312"/>
            <w:shd w:fill="F7FAFC"/>
            <w:tcMar>
              <w:top w:w="80" w:type="dxa"/>
              <w:bottom w:w="80" w:type="dxa"/>
              <w:left w:w="100" w:type="dxa"/>
              <w:right w:w="100" w:type="dxa"/>
            </w:tcMar>
          </w:tcPr>
          <w:p>
            <w:r>
              <w:rPr>
                <w:rFonts w:ascii="Calibri" w:hAnsi="Calibri"/>
                <w:color w:val="2D3748"/>
                <w:sz w:val="19"/>
              </w:rPr>
              <w:t>Independent clauses can stand alone as complete sentences.</w:t>
            </w:r>
          </w:p>
        </w:tc>
      </w:tr>
      <w:tr>
        <w:tc>
          <w:tcPr>
            <w:tcW w:type="dxa" w:w="3312"/>
            <w:shd w:fill="FFFFFF"/>
            <w:tcMar>
              <w:top w:w="80" w:type="dxa"/>
              <w:bottom w:w="80" w:type="dxa"/>
              <w:left w:w="100" w:type="dxa"/>
              <w:right w:w="100" w:type="dxa"/>
            </w:tcMar>
          </w:tcPr>
          <w:p>
            <w:r>
              <w:rPr>
                <w:rFonts w:ascii="Calibri" w:hAnsi="Calibri"/>
                <w:b/>
                <w:color w:val="2D3748"/>
                <w:sz w:val="19"/>
              </w:rPr>
              <w:t>Syntactic Role</w:t>
            </w:r>
          </w:p>
        </w:tc>
        <w:tc>
          <w:tcPr>
            <w:tcW w:type="dxa" w:w="3312"/>
            <w:shd w:fill="FFFFFF"/>
            <w:tcMar>
              <w:top w:w="80" w:type="dxa"/>
              <w:bottom w:w="80" w:type="dxa"/>
              <w:left w:w="100" w:type="dxa"/>
              <w:right w:w="100" w:type="dxa"/>
            </w:tcMar>
          </w:tcPr>
          <w:p>
            <w:r>
              <w:rPr>
                <w:rFonts w:ascii="Calibri" w:hAnsi="Calibri"/>
                <w:color w:val="2D3748"/>
                <w:sz w:val="19"/>
              </w:rPr>
              <w:t>Acts as a single part of speech (noun, adjective, adverb, etc.).</w:t>
            </w:r>
          </w:p>
        </w:tc>
        <w:tc>
          <w:tcPr>
            <w:tcW w:type="dxa" w:w="3312"/>
            <w:shd w:fill="FFFFFF"/>
            <w:tcMar>
              <w:top w:w="80" w:type="dxa"/>
              <w:bottom w:w="80" w:type="dxa"/>
              <w:left w:w="100" w:type="dxa"/>
              <w:right w:w="100" w:type="dxa"/>
            </w:tcMar>
          </w:tcPr>
          <w:p>
            <w:r>
              <w:rPr>
                <w:rFonts w:ascii="Calibri" w:hAnsi="Calibri"/>
                <w:color w:val="2D3748"/>
                <w:sz w:val="19"/>
              </w:rPr>
              <w:t>Functions as a main clause or a subordinate clause (noun, relative, adverbial).</w:t>
            </w:r>
          </w:p>
        </w:tc>
      </w:tr>
      <w:tr>
        <w:tc>
          <w:tcPr>
            <w:tcW w:type="dxa" w:w="3312"/>
            <w:shd w:fill="F7FAFC"/>
            <w:tcMar>
              <w:top w:w="80" w:type="dxa"/>
              <w:bottom w:w="80" w:type="dxa"/>
              <w:left w:w="100" w:type="dxa"/>
              <w:right w:w="100" w:type="dxa"/>
            </w:tcMar>
          </w:tcPr>
          <w:p>
            <w:r>
              <w:rPr>
                <w:rFonts w:ascii="Calibri" w:hAnsi="Calibri"/>
                <w:b/>
                <w:color w:val="2D3748"/>
                <w:sz w:val="19"/>
              </w:rPr>
              <w:t>Illustrative Example</w:t>
            </w:r>
          </w:p>
        </w:tc>
        <w:tc>
          <w:tcPr>
            <w:tcW w:type="dxa" w:w="3312"/>
            <w:shd w:fill="F7FAFC"/>
            <w:tcMar>
              <w:top w:w="80" w:type="dxa"/>
              <w:bottom w:w="80" w:type="dxa"/>
              <w:left w:w="100" w:type="dxa"/>
              <w:right w:w="100" w:type="dxa"/>
            </w:tcMar>
          </w:tcPr>
          <w:p>
            <w:r>
              <w:rPr>
                <w:rFonts w:ascii="Calibri" w:hAnsi="Calibri"/>
                <w:color w:val="2D3748"/>
                <w:sz w:val="19"/>
              </w:rPr>
              <w:t>'in the advanced computing lab'</w:t>
            </w:r>
          </w:p>
        </w:tc>
        <w:tc>
          <w:tcPr>
            <w:tcW w:type="dxa" w:w="3312"/>
            <w:shd w:fill="F7FAFC"/>
            <w:tcMar>
              <w:top w:w="80" w:type="dxa"/>
              <w:bottom w:w="80" w:type="dxa"/>
              <w:left w:w="100" w:type="dxa"/>
              <w:right w:w="100" w:type="dxa"/>
            </w:tcMar>
          </w:tcPr>
          <w:p>
            <w:r>
              <w:rPr>
                <w:rFonts w:ascii="Calibri" w:hAnsi="Calibri"/>
                <w:color w:val="2D3748"/>
                <w:sz w:val="19"/>
              </w:rPr>
              <w:t>'Because the algorithm was optimized, it executed quickly.'</w:t>
            </w:r>
          </w:p>
        </w:tc>
      </w:tr>
    </w:tbl>
    <w:p>
      <w:pPr>
        <w:spacing w:after="160"/>
      </w:pPr>
    </w:p>
    <w:p>
      <w:pPr>
        <w:keepNext/>
        <w:spacing w:before="160" w:after="40"/>
      </w:pPr>
      <w:r>
        <w:rPr>
          <w:rFonts w:ascii="Calibri" w:hAnsi="Calibri"/>
          <w:b/>
          <w:color w:val="2D3748"/>
          <w:sz w:val="22"/>
        </w:rPr>
        <w:t>3. Structural Categories of Phrases &amp; Clauses</w:t>
      </w:r>
    </w:p>
    <w:p>
      <w:pPr>
        <w:pStyle w:val="ListBullet"/>
        <w:spacing w:after="80" w:line="276" w:lineRule="auto"/>
      </w:pPr>
      <w:r>
        <w:rPr>
          <w:rFonts w:ascii="Calibri" w:hAnsi="Calibri"/>
          <w:b/>
          <w:color w:val="1A365D"/>
          <w:sz w:val="21"/>
        </w:rPr>
        <w:t xml:space="preserve">Noun Phrase: </w:t>
      </w:r>
      <w:r>
        <w:rPr>
          <w:rFonts w:ascii="Calibri" w:hAnsi="Calibri"/>
          <w:color w:val="2D3748"/>
          <w:sz w:val="21"/>
        </w:rPr>
        <w:t>'The highly talented programmer' (functions as a noun subject).</w:t>
      </w:r>
    </w:p>
    <w:p>
      <w:pPr>
        <w:pStyle w:val="ListBullet"/>
        <w:spacing w:after="80" w:line="276" w:lineRule="auto"/>
      </w:pPr>
      <w:r>
        <w:rPr>
          <w:rFonts w:ascii="Calibri" w:hAnsi="Calibri"/>
          <w:b/>
          <w:color w:val="1A365D"/>
          <w:sz w:val="21"/>
        </w:rPr>
        <w:t xml:space="preserve">Verb Phrase: </w:t>
      </w:r>
      <w:r>
        <w:rPr>
          <w:rFonts w:ascii="Calibri" w:hAnsi="Calibri"/>
          <w:color w:val="2D3748"/>
          <w:sz w:val="21"/>
        </w:rPr>
        <w:t>'has been executing the script' (combines auxiliary and main verb).</w:t>
      </w:r>
    </w:p>
    <w:p>
      <w:pPr>
        <w:pStyle w:val="ListBullet"/>
        <w:spacing w:after="80" w:line="276" w:lineRule="auto"/>
      </w:pPr>
      <w:r>
        <w:rPr>
          <w:rFonts w:ascii="Calibri" w:hAnsi="Calibri"/>
          <w:b/>
          <w:color w:val="1A365D"/>
          <w:sz w:val="21"/>
        </w:rPr>
        <w:t xml:space="preserve">Prepositional Phrase: </w:t>
      </w:r>
      <w:r>
        <w:rPr>
          <w:rFonts w:ascii="Calibri" w:hAnsi="Calibri"/>
          <w:color w:val="2D3748"/>
          <w:sz w:val="21"/>
        </w:rPr>
        <w:t>'under the severe network breakdown' (shows spatial/temporal relation).</w:t>
      </w:r>
    </w:p>
    <w:p>
      <w:pPr>
        <w:pStyle w:val="ListBullet"/>
        <w:spacing w:after="80" w:line="276" w:lineRule="auto"/>
      </w:pPr>
      <w:r>
        <w:rPr>
          <w:rFonts w:ascii="Calibri" w:hAnsi="Calibri"/>
          <w:b/>
          <w:color w:val="1A365D"/>
          <w:sz w:val="21"/>
        </w:rPr>
        <w:t xml:space="preserve">Independent Clause: </w:t>
      </w:r>
      <w:r>
        <w:rPr>
          <w:rFonts w:ascii="Calibri" w:hAnsi="Calibri"/>
          <w:color w:val="2D3748"/>
          <w:sz w:val="21"/>
        </w:rPr>
        <w:t>'The engineer solved the bug.' (Contains Subject + Predicate; complete thought).</w:t>
      </w:r>
    </w:p>
    <w:p>
      <w:pPr>
        <w:pStyle w:val="ListBullet"/>
        <w:spacing w:after="80" w:line="276" w:lineRule="auto"/>
      </w:pPr>
      <w:r>
        <w:rPr>
          <w:rFonts w:ascii="Calibri" w:hAnsi="Calibri"/>
          <w:b/>
          <w:color w:val="1A365D"/>
          <w:sz w:val="21"/>
        </w:rPr>
        <w:t xml:space="preserve">Dependent Clause: </w:t>
      </w:r>
      <w:r>
        <w:rPr>
          <w:rFonts w:ascii="Calibri" w:hAnsi="Calibri"/>
          <w:color w:val="2D3748"/>
          <w:sz w:val="21"/>
        </w:rPr>
        <w:t>'...although the deadline was extremely tight.' (Contains Subject + Predicate; incomplete thought).</w:t>
      </w:r>
    </w:p>
    <w:p>
      <w:pPr>
        <w:spacing w:after="240"/>
      </w:pP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180" w:type="dxa"/>
              <w:right w:w="180" w:type="dxa"/>
            </w:tcMar>
            <w:tcBorders>
              <w:left w:val="single" w:sz="24" w:space="0" w:color="1A365D"/>
              <w:top w:val="none"/>
              <w:right w:val="none"/>
              <w:bottom w:val="none"/>
            </w:tcBorders>
          </w:tcPr>
          <w:p>
            <w:pPr>
              <w:spacing w:after="80"/>
            </w:pPr>
            <w:r>
              <w:rPr>
                <w:rFonts w:ascii="Calibri" w:hAnsi="Calibri"/>
                <w:b/>
                <w:color w:val="1A365D"/>
                <w:sz w:val="22"/>
              </w:rPr>
              <w:t>QUESTION 2 (b) [CO1 | Marks: 5]</w:t>
            </w:r>
          </w:p>
          <w:p>
            <w:pPr>
              <w:spacing w:after="0"/>
            </w:pPr>
            <w:r>
              <w:rPr>
                <w:rFonts w:ascii="Calibri" w:hAnsi="Calibri"/>
                <w:i/>
                <w:color w:val="2D3748"/>
                <w:sz w:val="21"/>
              </w:rPr>
              <w:t>Classify sentence according to structure provide appropriate example with each category.</w:t>
            </w:r>
          </w:p>
        </w:tc>
      </w:tr>
    </w:tbl>
    <w:p>
      <w:pPr>
        <w:spacing w:after="160"/>
      </w:pPr>
    </w:p>
    <w:p>
      <w:pPr>
        <w:keepNext/>
        <w:spacing w:before="240" w:after="80"/>
      </w:pPr>
      <w:r>
        <w:rPr>
          <w:rFonts w:ascii="Calibri" w:hAnsi="Calibri"/>
          <w:b/>
          <w:color w:val="2B6CB0"/>
          <w:sz w:val="26"/>
        </w:rPr>
        <w:t>Solution / Answer:</w:t>
      </w:r>
    </w:p>
    <w:p>
      <w:pPr>
        <w:spacing w:after="120" w:line="276" w:lineRule="auto"/>
      </w:pPr>
      <w:r>
        <w:rPr>
          <w:rFonts w:ascii="Calibri" w:hAnsi="Calibri"/>
          <w:color w:val="2D3748"/>
          <w:sz w:val="21"/>
        </w:rPr>
        <w:t>According to grammatical structure, sentences in English are classified into four primary categories based on the number and type of independent and dependent clauses they contain:</w:t>
      </w:r>
    </w:p>
    <w:p>
      <w:pPr>
        <w:keepNext/>
        <w:spacing w:before="160" w:after="40"/>
      </w:pPr>
      <w:r>
        <w:rPr>
          <w:rFonts w:ascii="Calibri" w:hAnsi="Calibri"/>
          <w:b/>
          <w:color w:val="2D3748"/>
          <w:sz w:val="22"/>
        </w:rPr>
        <w:t>1. Simple Sentence</w:t>
      </w:r>
    </w:p>
    <w:p>
      <w:pPr>
        <w:spacing w:after="120" w:line="276" w:lineRule="auto"/>
      </w:pPr>
      <w:r>
        <w:rPr>
          <w:rFonts w:ascii="Calibri" w:hAnsi="Calibri"/>
          <w:color w:val="2D3748"/>
          <w:sz w:val="21"/>
        </w:rPr>
        <w:t>A simple sentence consists of exactly one independent clause containing a single subject and predicate. It expresses a single complete thought.</w:t>
      </w:r>
    </w:p>
    <w:p>
      <w:pPr>
        <w:pStyle w:val="ListBullet"/>
        <w:spacing w:after="80" w:line="276" w:lineRule="auto"/>
      </w:pPr>
      <w:r>
        <w:rPr>
          <w:rFonts w:ascii="Calibri" w:hAnsi="Calibri"/>
          <w:b/>
          <w:color w:val="1A365D"/>
          <w:sz w:val="21"/>
        </w:rPr>
        <w:t xml:space="preserve">Pattern: </w:t>
      </w:r>
      <w:r>
        <w:rPr>
          <w:rFonts w:ascii="Calibri" w:hAnsi="Calibri"/>
          <w:color w:val="2D3748"/>
          <w:sz w:val="21"/>
        </w:rPr>
        <w:t>Structure: [Independent Clause]</w:t>
      </w:r>
    </w:p>
    <w:p>
      <w:pPr>
        <w:pStyle w:val="ListBullet"/>
        <w:spacing w:after="80" w:line="276" w:lineRule="auto"/>
      </w:pPr>
      <w:r>
        <w:rPr>
          <w:rFonts w:ascii="Calibri" w:hAnsi="Calibri"/>
          <w:b/>
          <w:color w:val="1A365D"/>
          <w:sz w:val="21"/>
        </w:rPr>
        <w:t xml:space="preserve">Example: </w:t>
      </w:r>
      <w:r>
        <w:rPr>
          <w:rFonts w:ascii="Calibri" w:hAnsi="Calibri"/>
          <w:color w:val="2D3748"/>
          <w:sz w:val="21"/>
        </w:rPr>
        <w:t>Example: 'The CSE department organized a national competitive programming hackathon.'</w:t>
      </w:r>
    </w:p>
    <w:p>
      <w:pPr>
        <w:pStyle w:val="ListBullet"/>
        <w:spacing w:after="80" w:line="276" w:lineRule="auto"/>
      </w:pPr>
      <w:r>
        <w:rPr>
          <w:rFonts w:ascii="Calibri" w:hAnsi="Calibri"/>
          <w:b/>
          <w:color w:val="1A365D"/>
          <w:sz w:val="21"/>
        </w:rPr>
        <w:t xml:space="preserve">Grammatical Breakdown: </w:t>
      </w:r>
      <w:r>
        <w:rPr>
          <w:rFonts w:ascii="Calibri" w:hAnsi="Calibri"/>
          <w:color w:val="2D3748"/>
          <w:sz w:val="21"/>
        </w:rPr>
        <w:t>Analysis: Subject = 'The CSE department', Verb/Predicate = 'organized a national competitive programming hackathon'.</w:t>
      </w:r>
    </w:p>
    <w:p>
      <w:pPr>
        <w:keepNext/>
        <w:spacing w:before="160" w:after="40"/>
      </w:pPr>
      <w:r>
        <w:rPr>
          <w:rFonts w:ascii="Calibri" w:hAnsi="Calibri"/>
          <w:b/>
          <w:color w:val="2D3748"/>
          <w:sz w:val="22"/>
        </w:rPr>
        <w:t>2. Compound Sentence</w:t>
      </w:r>
    </w:p>
    <w:p>
      <w:pPr>
        <w:spacing w:after="120" w:line="276" w:lineRule="auto"/>
      </w:pPr>
      <w:r>
        <w:rPr>
          <w:rFonts w:ascii="Calibri" w:hAnsi="Calibri"/>
          <w:color w:val="2D3748"/>
          <w:sz w:val="21"/>
        </w:rPr>
        <w:t>A compound sentence consists of two or more independent clauses joined by a coordinating conjunction (FANBOYS: for, and, nor, but, or, yet, so) or a semicolon.</w:t>
      </w:r>
    </w:p>
    <w:p>
      <w:pPr>
        <w:pStyle w:val="ListBullet"/>
        <w:spacing w:after="80" w:line="276" w:lineRule="auto"/>
      </w:pPr>
      <w:r>
        <w:rPr>
          <w:rFonts w:ascii="Calibri" w:hAnsi="Calibri"/>
          <w:b/>
          <w:color w:val="1A365D"/>
          <w:sz w:val="21"/>
        </w:rPr>
        <w:t xml:space="preserve">Pattern: </w:t>
      </w:r>
      <w:r>
        <w:rPr>
          <w:rFonts w:ascii="Calibri" w:hAnsi="Calibri"/>
          <w:color w:val="2D3748"/>
          <w:sz w:val="21"/>
        </w:rPr>
        <w:t>Structure: [Independent Clause 1] + [Coordinating Conjunction] + [Independent Clause 2]</w:t>
      </w:r>
    </w:p>
    <w:p>
      <w:pPr>
        <w:pStyle w:val="ListBullet"/>
        <w:spacing w:after="80" w:line="276" w:lineRule="auto"/>
      </w:pPr>
      <w:r>
        <w:rPr>
          <w:rFonts w:ascii="Calibri" w:hAnsi="Calibri"/>
          <w:b/>
          <w:color w:val="1A365D"/>
          <w:sz w:val="21"/>
        </w:rPr>
        <w:t xml:space="preserve">Example: </w:t>
      </w:r>
      <w:r>
        <w:rPr>
          <w:rFonts w:ascii="Calibri" w:hAnsi="Calibri"/>
          <w:color w:val="2D3748"/>
          <w:sz w:val="21"/>
        </w:rPr>
        <w:t>Example: 'The software engineers wrote the Python code efficiently, and the cloud server deployed it without errors.'</w:t>
      </w:r>
    </w:p>
    <w:p>
      <w:pPr>
        <w:pStyle w:val="ListBullet"/>
        <w:spacing w:after="80" w:line="276" w:lineRule="auto"/>
      </w:pPr>
      <w:r>
        <w:rPr>
          <w:rFonts w:ascii="Calibri" w:hAnsi="Calibri"/>
          <w:b/>
          <w:color w:val="1A365D"/>
          <w:sz w:val="21"/>
        </w:rPr>
        <w:t xml:space="preserve">Grammatical Breakdown: </w:t>
      </w:r>
      <w:r>
        <w:rPr>
          <w:rFonts w:ascii="Calibri" w:hAnsi="Calibri"/>
          <w:color w:val="2D3748"/>
          <w:sz w:val="21"/>
        </w:rPr>
        <w:t>Analysis: Clause 1 = 'The software engineers wrote the Python code efficiently', Coordinating Conjunction = 'and', Clause 2 = 'the cloud server deployed it without errors'.</w:t>
      </w:r>
    </w:p>
    <w:p>
      <w:pPr>
        <w:keepNext/>
        <w:spacing w:before="160" w:after="40"/>
      </w:pPr>
      <w:r>
        <w:rPr>
          <w:rFonts w:ascii="Calibri" w:hAnsi="Calibri"/>
          <w:b/>
          <w:color w:val="2D3748"/>
          <w:sz w:val="22"/>
        </w:rPr>
        <w:t>3. Complex Sentence</w:t>
      </w:r>
    </w:p>
    <w:p>
      <w:pPr>
        <w:spacing w:after="120" w:line="276" w:lineRule="auto"/>
      </w:pPr>
      <w:r>
        <w:rPr>
          <w:rFonts w:ascii="Calibri" w:hAnsi="Calibri"/>
          <w:color w:val="2D3748"/>
          <w:sz w:val="21"/>
        </w:rPr>
        <w:t>A complex sentence consists of one independent clause and at least one dependent (subordinate) clause introduced by a subordinating conjunction (e.g., because, although, since, while, if, when, after).</w:t>
      </w:r>
    </w:p>
    <w:p>
      <w:pPr>
        <w:pStyle w:val="ListBullet"/>
        <w:spacing w:after="80" w:line="276" w:lineRule="auto"/>
      </w:pPr>
      <w:r>
        <w:rPr>
          <w:rFonts w:ascii="Calibri" w:hAnsi="Calibri"/>
          <w:b/>
          <w:color w:val="1A365D"/>
          <w:sz w:val="21"/>
        </w:rPr>
        <w:t xml:space="preserve">Pattern: </w:t>
      </w:r>
      <w:r>
        <w:rPr>
          <w:rFonts w:ascii="Calibri" w:hAnsi="Calibri"/>
          <w:color w:val="2D3748"/>
          <w:sz w:val="21"/>
        </w:rPr>
        <w:t>Structure: [Subordinate Clause] + [Independent Clause] OR [Independent Clause] + [Subordinate Clause]</w:t>
      </w:r>
    </w:p>
    <w:p>
      <w:pPr>
        <w:pStyle w:val="ListBullet"/>
        <w:spacing w:after="80" w:line="276" w:lineRule="auto"/>
      </w:pPr>
      <w:r>
        <w:rPr>
          <w:rFonts w:ascii="Calibri" w:hAnsi="Calibri"/>
          <w:b/>
          <w:color w:val="1A365D"/>
          <w:sz w:val="21"/>
        </w:rPr>
        <w:t xml:space="preserve">Example: </w:t>
      </w:r>
      <w:r>
        <w:rPr>
          <w:rFonts w:ascii="Calibri" w:hAnsi="Calibri"/>
          <w:color w:val="2D3748"/>
          <w:sz w:val="21"/>
        </w:rPr>
        <w:t>Example: 'Although the graph traversal algorithm had high computational complexity, it produced highly accurate results.'</w:t>
      </w:r>
    </w:p>
    <w:p>
      <w:pPr>
        <w:pStyle w:val="ListBullet"/>
        <w:spacing w:after="80" w:line="276" w:lineRule="auto"/>
      </w:pPr>
      <w:r>
        <w:rPr>
          <w:rFonts w:ascii="Calibri" w:hAnsi="Calibri"/>
          <w:b/>
          <w:color w:val="1A365D"/>
          <w:sz w:val="21"/>
        </w:rPr>
        <w:t xml:space="preserve">Grammatical Breakdown: </w:t>
      </w:r>
      <w:r>
        <w:rPr>
          <w:rFonts w:ascii="Calibri" w:hAnsi="Calibri"/>
          <w:color w:val="2D3748"/>
          <w:sz w:val="21"/>
        </w:rPr>
        <w:t>Analysis: Subordinate Clause = 'Although the graph traversal algorithm had high computational complexity', Independent Main Clause = 'it produced highly accurate results'.</w:t>
      </w:r>
    </w:p>
    <w:p>
      <w:pPr>
        <w:keepNext/>
        <w:spacing w:before="160" w:after="40"/>
      </w:pPr>
      <w:r>
        <w:rPr>
          <w:rFonts w:ascii="Calibri" w:hAnsi="Calibri"/>
          <w:b/>
          <w:color w:val="2D3748"/>
          <w:sz w:val="22"/>
        </w:rPr>
        <w:t>4. Compound-Complex Sentence</w:t>
      </w:r>
    </w:p>
    <w:p>
      <w:pPr>
        <w:spacing w:after="120" w:line="276" w:lineRule="auto"/>
      </w:pPr>
      <w:r>
        <w:rPr>
          <w:rFonts w:ascii="Calibri" w:hAnsi="Calibri"/>
          <w:color w:val="2D3748"/>
          <w:sz w:val="21"/>
        </w:rPr>
        <w:t>A compound-complex sentence consists of at least two independent clauses and at least one dependent clause.</w:t>
      </w:r>
    </w:p>
    <w:p>
      <w:pPr>
        <w:pStyle w:val="ListBullet"/>
        <w:spacing w:after="80" w:line="276" w:lineRule="auto"/>
      </w:pPr>
      <w:r>
        <w:rPr>
          <w:rFonts w:ascii="Calibri" w:hAnsi="Calibri"/>
          <w:b/>
          <w:color w:val="1A365D"/>
          <w:sz w:val="21"/>
        </w:rPr>
        <w:t xml:space="preserve">Pattern: </w:t>
      </w:r>
      <w:r>
        <w:rPr>
          <w:rFonts w:ascii="Calibri" w:hAnsi="Calibri"/>
          <w:color w:val="2D3748"/>
          <w:sz w:val="21"/>
        </w:rPr>
        <w:t>Structure: [Subordinate Clause] + [Independent Clause 1] + [Coordinating Conjunction] + [Independent Clause 2]</w:t>
      </w:r>
    </w:p>
    <w:p>
      <w:pPr>
        <w:pStyle w:val="ListBullet"/>
        <w:spacing w:after="80" w:line="276" w:lineRule="auto"/>
      </w:pPr>
      <w:r>
        <w:rPr>
          <w:rFonts w:ascii="Calibri" w:hAnsi="Calibri"/>
          <w:b/>
          <w:color w:val="1A365D"/>
          <w:sz w:val="21"/>
        </w:rPr>
        <w:t xml:space="preserve">Example: </w:t>
      </w:r>
      <w:r>
        <w:rPr>
          <w:rFonts w:ascii="Calibri" w:hAnsi="Calibri"/>
          <w:color w:val="2D3748"/>
          <w:sz w:val="21"/>
        </w:rPr>
        <w:t>Example: 'When the primary database server failed during testing, the lead engineer restored the backup, but the team spent hours verifying data integrity.'</w:t>
      </w:r>
    </w:p>
    <w:p>
      <w:pPr>
        <w:pStyle w:val="ListBullet"/>
        <w:spacing w:after="80" w:line="276" w:lineRule="auto"/>
      </w:pPr>
      <w:r>
        <w:rPr>
          <w:rFonts w:ascii="Calibri" w:hAnsi="Calibri"/>
          <w:b/>
          <w:color w:val="1A365D"/>
          <w:sz w:val="21"/>
        </w:rPr>
        <w:t xml:space="preserve">Grammatical Breakdown: </w:t>
      </w:r>
      <w:r>
        <w:rPr>
          <w:rFonts w:ascii="Calibri" w:hAnsi="Calibri"/>
          <w:color w:val="2D3748"/>
          <w:sz w:val="21"/>
        </w:rPr>
        <w:t>Analysis: Subordinate Clause = 'When the primary database server failed during testing', Independent Clause 1 = 'the lead engineer restored the backup', Coordinating Conjunction = 'but', Independent Clause 2 = 'the team spent hours verifying data integrity'.</w:t>
      </w:r>
    </w:p>
    <w:p>
      <w:pPr>
        <w:spacing w:after="280"/>
      </w:pP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180" w:type="dxa"/>
              <w:right w:w="180" w:type="dxa"/>
            </w:tcMar>
            <w:tcBorders>
              <w:left w:val="single" w:sz="24" w:space="0" w:color="1A365D"/>
              <w:top w:val="none"/>
              <w:right w:val="none"/>
              <w:bottom w:val="none"/>
            </w:tcBorders>
          </w:tcPr>
          <w:p>
            <w:pPr>
              <w:spacing w:after="80"/>
            </w:pPr>
            <w:r>
              <w:rPr>
                <w:rFonts w:ascii="Calibri" w:hAnsi="Calibri"/>
                <w:b/>
                <w:color w:val="1A365D"/>
                <w:sz w:val="22"/>
              </w:rPr>
              <w:t>QUESTION 3 (a) [CO2 | Marks: 6]</w:t>
            </w:r>
          </w:p>
          <w:p>
            <w:pPr>
              <w:spacing w:after="0"/>
            </w:pPr>
            <w:r>
              <w:rPr>
                <w:rFonts w:ascii="Calibri" w:hAnsi="Calibri"/>
                <w:i/>
                <w:color w:val="2D3748"/>
                <w:sz w:val="21"/>
              </w:rPr>
              <w:t>Complete the following monophthong diagram and state their features elaborately.</w:t>
            </w:r>
          </w:p>
        </w:tc>
      </w:tr>
    </w:tbl>
    <w:p>
      <w:pPr>
        <w:spacing w:after="160"/>
      </w:pPr>
    </w:p>
    <w:p>
      <w:pPr>
        <w:keepNext/>
        <w:spacing w:before="240" w:after="80"/>
      </w:pPr>
      <w:r>
        <w:rPr>
          <w:rFonts w:ascii="Calibri" w:hAnsi="Calibri"/>
          <w:b/>
          <w:color w:val="2B6CB0"/>
          <w:sz w:val="26"/>
        </w:rPr>
        <w:t>Solution / Answer:</w:t>
      </w:r>
    </w:p>
    <w:p>
      <w:pPr>
        <w:spacing w:after="120" w:line="276" w:lineRule="auto"/>
      </w:pPr>
      <w:r>
        <w:rPr>
          <w:rFonts w:ascii="Calibri" w:hAnsi="Calibri"/>
          <w:color w:val="2D3748"/>
          <w:sz w:val="21"/>
        </w:rPr>
        <w:t>Monophthongs are pure vowel sounds whose quality remains constant throughout their articulation without gliding into another vowel sound. Below is the completed Standard English Monophthong Vowel Chart (Received Pronunciation - RP) followed by an elaborate description of their phonetic features.</w:t>
      </w:r>
    </w:p>
    <w:p>
      <w:pPr>
        <w:spacing w:before="160" w:after="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monophthong_chart.png"/>
                    <pic:cNvPicPr/>
                  </pic:nvPicPr>
                  <pic:blipFill>
                    <a:blip r:embed="rId9"/>
                    <a:stretch>
                      <a:fillRect/>
                    </a:stretch>
                  </pic:blipFill>
                  <pic:spPr>
                    <a:xfrm>
                      <a:off x="0" y="0"/>
                      <a:ext cx="5303520" cy="3314700"/>
                    </a:xfrm>
                    <a:prstGeom prst="rect"/>
                  </pic:spPr>
                </pic:pic>
              </a:graphicData>
            </a:graphic>
          </wp:inline>
        </w:drawing>
      </w:r>
    </w:p>
    <w:p>
      <w:pPr>
        <w:spacing w:after="240"/>
        <w:jc w:val="center"/>
      </w:pPr>
      <w:r>
        <w:rPr>
          <w:rFonts w:ascii="Calibri" w:hAnsi="Calibri"/>
          <w:i/>
          <w:color w:val="718096"/>
          <w:sz w:val="19"/>
        </w:rPr>
        <w:t>Figure 3.1: Completed Received Pronunciation (RP) Monophthong Vowel Chart</w:t>
      </w:r>
    </w:p>
    <w:p>
      <w:pPr>
        <w:keepNext/>
        <w:spacing w:before="160" w:after="40"/>
      </w:pPr>
      <w:r>
        <w:rPr>
          <w:rFonts w:ascii="Calibri" w:hAnsi="Calibri"/>
          <w:b/>
          <w:color w:val="2D3748"/>
          <w:sz w:val="22"/>
        </w:rPr>
        <w:t>Phonetic Classification &amp; Features of the 12 Monophthongs</w:t>
      </w:r>
    </w:p>
    <w:p>
      <w:pPr>
        <w:spacing w:after="120" w:line="276" w:lineRule="auto"/>
      </w:pPr>
      <w:r>
        <w:rPr>
          <w:rFonts w:ascii="Calibri" w:hAnsi="Calibri"/>
          <w:color w:val="2D3748"/>
          <w:sz w:val="21"/>
        </w:rPr>
        <w:t>Monophthongs are classified based on four primary articulatory dimensions: (1) Tongue Height (Close, Half-Close, Mid, Half-Open, Open), (2) Tongue Advancement (Front, Central, Back), (3) Lip Position (Unrounded/Spread, Neutral, Rounded), and (4) Vowel Duration (Long /ː/, Short).</w:t>
      </w:r>
    </w:p>
    <w:p>
      <w:pPr>
        <w:pStyle w:val="ListBullet"/>
        <w:spacing w:after="80" w:line="276" w:lineRule="auto"/>
      </w:pPr>
      <w:r>
        <w:rPr>
          <w:rFonts w:ascii="Calibri" w:hAnsi="Calibri"/>
          <w:b/>
          <w:color w:val="1A365D"/>
          <w:sz w:val="21"/>
        </w:rPr>
        <w:t xml:space="preserve">/iː/ (Close Front Unrounded Long Vowel): </w:t>
      </w:r>
      <w:r>
        <w:rPr>
          <w:rFonts w:ascii="Calibri" w:hAnsi="Calibri"/>
          <w:color w:val="2D3748"/>
          <w:sz w:val="21"/>
        </w:rPr>
        <w:t>Found in 'fleece', 'see', 'beat'. Articulated with the front of the tongue raised close to the hard palate. Lips are spread/unrounded.</w:t>
      </w:r>
    </w:p>
    <w:p>
      <w:pPr>
        <w:pStyle w:val="ListBullet"/>
        <w:spacing w:after="80" w:line="276" w:lineRule="auto"/>
      </w:pPr>
      <w:r>
        <w:rPr>
          <w:rFonts w:ascii="Calibri" w:hAnsi="Calibri"/>
          <w:b/>
          <w:color w:val="1A365D"/>
          <w:sz w:val="21"/>
        </w:rPr>
        <w:t xml:space="preserve">/ɪ/ (Near-close Near-front Unrounded Short Vowel): </w:t>
      </w:r>
      <w:r>
        <w:rPr>
          <w:rFonts w:ascii="Calibri" w:hAnsi="Calibri"/>
          <w:color w:val="2D3748"/>
          <w:sz w:val="21"/>
        </w:rPr>
        <w:t>Found in 'kit', 'bit', 'sit'. Articulated slightly lower and more central than /iː/. Lips are relaxed and unrounded.</w:t>
      </w:r>
    </w:p>
    <w:p>
      <w:pPr>
        <w:pStyle w:val="ListBullet"/>
        <w:spacing w:after="80" w:line="276" w:lineRule="auto"/>
      </w:pPr>
      <w:r>
        <w:rPr>
          <w:rFonts w:ascii="Calibri" w:hAnsi="Calibri"/>
          <w:b/>
          <w:color w:val="1A365D"/>
          <w:sz w:val="21"/>
        </w:rPr>
        <w:t xml:space="preserve">/e/ (Half-close/Mid Front Unrounded Short Vowel): </w:t>
      </w:r>
      <w:r>
        <w:rPr>
          <w:rFonts w:ascii="Calibri" w:hAnsi="Calibri"/>
          <w:color w:val="2D3748"/>
          <w:sz w:val="21"/>
        </w:rPr>
        <w:t>Found in 'dress', 'bed', 'head'. Articulated with the front of the tongue at a mid-height position. Medium jaw opening.</w:t>
      </w:r>
    </w:p>
    <w:p>
      <w:pPr>
        <w:pStyle w:val="ListBullet"/>
        <w:spacing w:after="80" w:line="276" w:lineRule="auto"/>
      </w:pPr>
      <w:r>
        <w:rPr>
          <w:rFonts w:ascii="Calibri" w:hAnsi="Calibri"/>
          <w:b/>
          <w:color w:val="1A365D"/>
          <w:sz w:val="21"/>
        </w:rPr>
        <w:t xml:space="preserve">/æ/ (Open-mid/Open Front Unrounded Short Vowel): </w:t>
      </w:r>
      <w:r>
        <w:rPr>
          <w:rFonts w:ascii="Calibri" w:hAnsi="Calibri"/>
          <w:color w:val="2D3748"/>
          <w:sz w:val="21"/>
        </w:rPr>
        <w:t>Found in 'trap', 'cat', 'black'. Articulated with the front of the tongue lowered in the mouth. Open jaw stance.</w:t>
      </w:r>
    </w:p>
    <w:p>
      <w:pPr>
        <w:pStyle w:val="ListBullet"/>
        <w:spacing w:after="80" w:line="276" w:lineRule="auto"/>
      </w:pPr>
      <w:r>
        <w:rPr>
          <w:rFonts w:ascii="Calibri" w:hAnsi="Calibri"/>
          <w:b/>
          <w:color w:val="1A365D"/>
          <w:sz w:val="21"/>
        </w:rPr>
        <w:t xml:space="preserve">/ə/ (Mid Central Neutral Short Vowel - Schwa): </w:t>
      </w:r>
      <w:r>
        <w:rPr>
          <w:rFonts w:ascii="Calibri" w:hAnsi="Calibri"/>
          <w:color w:val="2D3748"/>
          <w:sz w:val="21"/>
        </w:rPr>
        <w:t>Found in 'about', 'teacher', 'doctor'. The most common unstressed central vowel in English. Neutral tongue and lip position.</w:t>
      </w:r>
    </w:p>
    <w:p>
      <w:pPr>
        <w:pStyle w:val="ListBullet"/>
        <w:spacing w:after="80" w:line="276" w:lineRule="auto"/>
      </w:pPr>
      <w:r>
        <w:rPr>
          <w:rFonts w:ascii="Calibri" w:hAnsi="Calibri"/>
          <w:b/>
          <w:color w:val="1A365D"/>
          <w:sz w:val="21"/>
        </w:rPr>
        <w:t xml:space="preserve">/ɜː/ (Mid Central Unrounded Long Vowel): </w:t>
      </w:r>
      <w:r>
        <w:rPr>
          <w:rFonts w:ascii="Calibri" w:hAnsi="Calibri"/>
          <w:color w:val="2D3748"/>
          <w:sz w:val="21"/>
        </w:rPr>
        <w:t>Found in 'nurse', 'bird', 'turn'. Stressed central long vowel. Articulated with neutral tongue height and relaxed lips.</w:t>
      </w:r>
    </w:p>
    <w:p>
      <w:pPr>
        <w:pStyle w:val="ListBullet"/>
        <w:spacing w:after="80" w:line="276" w:lineRule="auto"/>
      </w:pPr>
      <w:r>
        <w:rPr>
          <w:rFonts w:ascii="Calibri" w:hAnsi="Calibri"/>
          <w:b/>
          <w:color w:val="1A365D"/>
          <w:sz w:val="21"/>
        </w:rPr>
        <w:t xml:space="preserve">/ʌ/ (Open-mid Central Unrounded Short Vowel): </w:t>
      </w:r>
      <w:r>
        <w:rPr>
          <w:rFonts w:ascii="Calibri" w:hAnsi="Calibri"/>
          <w:color w:val="2D3748"/>
          <w:sz w:val="21"/>
        </w:rPr>
        <w:t>Found in 'strut', 'cup', 'bus'. Articulated with the tongue in an open-mid central position. Lips are unrounded.</w:t>
      </w:r>
    </w:p>
    <w:p>
      <w:pPr>
        <w:pStyle w:val="ListBullet"/>
        <w:spacing w:after="80" w:line="276" w:lineRule="auto"/>
      </w:pPr>
      <w:r>
        <w:rPr>
          <w:rFonts w:ascii="Calibri" w:hAnsi="Calibri"/>
          <w:b/>
          <w:color w:val="1A365D"/>
          <w:sz w:val="21"/>
        </w:rPr>
        <w:t xml:space="preserve">/uː/ (Close Back Rounded Long Vowel): </w:t>
      </w:r>
      <w:r>
        <w:rPr>
          <w:rFonts w:ascii="Calibri" w:hAnsi="Calibri"/>
          <w:color w:val="2D3748"/>
          <w:sz w:val="21"/>
        </w:rPr>
        <w:t>Found in 'goose', 'two', 'boot'. Articulated with the back of the tongue raised high toward the soft palate (velum). Lips tightly rounded.</w:t>
      </w:r>
    </w:p>
    <w:p>
      <w:pPr>
        <w:pStyle w:val="ListBullet"/>
        <w:spacing w:after="80" w:line="276" w:lineRule="auto"/>
      </w:pPr>
      <w:r>
        <w:rPr>
          <w:rFonts w:ascii="Calibri" w:hAnsi="Calibri"/>
          <w:b/>
          <w:color w:val="1A365D"/>
          <w:sz w:val="21"/>
        </w:rPr>
        <w:t xml:space="preserve">/ʊ/ (Near-close Near-back Rounded Short Vowel): </w:t>
      </w:r>
      <w:r>
        <w:rPr>
          <w:rFonts w:ascii="Calibri" w:hAnsi="Calibri"/>
          <w:color w:val="2D3748"/>
          <w:sz w:val="21"/>
        </w:rPr>
        <w:t>Found in 'foot', 'put', 'book'. Articulated with the back of the tongue slightly lower and more central than /uː/. Moderately rounded lips.</w:t>
      </w:r>
    </w:p>
    <w:p>
      <w:pPr>
        <w:pStyle w:val="ListBullet"/>
        <w:spacing w:after="80" w:line="276" w:lineRule="auto"/>
      </w:pPr>
      <w:r>
        <w:rPr>
          <w:rFonts w:ascii="Calibri" w:hAnsi="Calibri"/>
          <w:b/>
          <w:color w:val="1A365D"/>
          <w:sz w:val="21"/>
        </w:rPr>
        <w:t xml:space="preserve">/ɔː/ (Open-mid Back Rounded Long Vowel): </w:t>
      </w:r>
      <w:r>
        <w:rPr>
          <w:rFonts w:ascii="Calibri" w:hAnsi="Calibri"/>
          <w:color w:val="2D3748"/>
          <w:sz w:val="21"/>
        </w:rPr>
        <w:t>Found in 'thought', 'law', 'door'. Articulated in the open-mid back region with medium lip rounding and a long duration.</w:t>
      </w:r>
    </w:p>
    <w:p>
      <w:pPr>
        <w:pStyle w:val="ListBullet"/>
        <w:spacing w:after="80" w:line="276" w:lineRule="auto"/>
      </w:pPr>
      <w:r>
        <w:rPr>
          <w:rFonts w:ascii="Calibri" w:hAnsi="Calibri"/>
          <w:b/>
          <w:color w:val="1A365D"/>
          <w:sz w:val="21"/>
        </w:rPr>
        <w:t xml:space="preserve">/ɒ/ (Open Back Rounded Short Vowel): </w:t>
      </w:r>
      <w:r>
        <w:rPr>
          <w:rFonts w:ascii="Calibri" w:hAnsi="Calibri"/>
          <w:color w:val="2D3748"/>
          <w:sz w:val="21"/>
        </w:rPr>
        <w:t>Found in 'lot', 'top', 'watch'. Articulated with the tongue in a low open back position and slight lip rounding.</w:t>
      </w:r>
    </w:p>
    <w:p>
      <w:pPr>
        <w:pStyle w:val="ListBullet"/>
        <w:spacing w:after="80" w:line="276" w:lineRule="auto"/>
      </w:pPr>
      <w:r>
        <w:rPr>
          <w:rFonts w:ascii="Calibri" w:hAnsi="Calibri"/>
          <w:b/>
          <w:color w:val="1A365D"/>
          <w:sz w:val="21"/>
        </w:rPr>
        <w:t xml:space="preserve">/ɑː/ (Open Back Unrounded Long Vowel): </w:t>
      </w:r>
      <w:r>
        <w:rPr>
          <w:rFonts w:ascii="Calibri" w:hAnsi="Calibri"/>
          <w:color w:val="2D3748"/>
          <w:sz w:val="21"/>
        </w:rPr>
        <w:t>Found in 'palm', 'father', 'car'. Lowest back vowel in English. Articulated with an open jaw and neutral, unrounded lips.</w:t>
      </w:r>
    </w:p>
    <w:p>
      <w:pPr>
        <w:spacing w:after="240"/>
      </w:pP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180" w:type="dxa"/>
              <w:right w:w="180" w:type="dxa"/>
            </w:tcMar>
            <w:tcBorders>
              <w:left w:val="single" w:sz="24" w:space="0" w:color="1A365D"/>
              <w:top w:val="none"/>
              <w:right w:val="none"/>
              <w:bottom w:val="none"/>
            </w:tcBorders>
          </w:tcPr>
          <w:p>
            <w:pPr>
              <w:spacing w:after="80"/>
            </w:pPr>
            <w:r>
              <w:rPr>
                <w:rFonts w:ascii="Calibri" w:hAnsi="Calibri"/>
                <w:b/>
                <w:color w:val="1A365D"/>
                <w:sz w:val="22"/>
              </w:rPr>
              <w:t>QUESTION 3 (b) [CO2 | Marks: 4]</w:t>
            </w:r>
          </w:p>
          <w:p>
            <w:pPr>
              <w:spacing w:after="0"/>
            </w:pPr>
            <w:r>
              <w:rPr>
                <w:rFonts w:ascii="Calibri" w:hAnsi="Calibri"/>
                <w:i/>
                <w:color w:val="2D3748"/>
                <w:sz w:val="21"/>
              </w:rPr>
              <w:t>Discuss the branches of phonetics and write about the differences between phonetics and phonology.</w:t>
            </w:r>
          </w:p>
        </w:tc>
      </w:tr>
    </w:tbl>
    <w:p>
      <w:pPr>
        <w:spacing w:after="160"/>
      </w:pPr>
    </w:p>
    <w:p>
      <w:pPr>
        <w:keepNext/>
        <w:spacing w:before="240" w:after="80"/>
      </w:pPr>
      <w:r>
        <w:rPr>
          <w:rFonts w:ascii="Calibri" w:hAnsi="Calibri"/>
          <w:b/>
          <w:color w:val="2B6CB0"/>
          <w:sz w:val="26"/>
        </w:rPr>
        <w:t>Solution / Answer:</w:t>
      </w:r>
    </w:p>
    <w:p>
      <w:pPr>
        <w:keepNext/>
        <w:spacing w:before="160" w:after="40"/>
      </w:pPr>
      <w:r>
        <w:rPr>
          <w:rFonts w:ascii="Calibri" w:hAnsi="Calibri"/>
          <w:b/>
          <w:color w:val="2D3748"/>
          <w:sz w:val="22"/>
        </w:rPr>
        <w:t>1. Branches of Phonetics</w:t>
      </w:r>
    </w:p>
    <w:p>
      <w:pPr>
        <w:spacing w:after="120" w:line="276" w:lineRule="auto"/>
      </w:pPr>
      <w:r>
        <w:rPr>
          <w:rFonts w:ascii="Calibri" w:hAnsi="Calibri"/>
          <w:color w:val="2D3748"/>
          <w:sz w:val="21"/>
        </w:rPr>
        <w:t>Phonetics is the scientific study of human speech sounds. It is divided into three primary branches corresponding to the three stages of speech communication:</w:t>
      </w:r>
    </w:p>
    <w:p>
      <w:pPr>
        <w:pStyle w:val="ListBullet"/>
        <w:spacing w:after="80" w:line="276" w:lineRule="auto"/>
      </w:pPr>
      <w:r>
        <w:rPr>
          <w:rFonts w:ascii="Calibri" w:hAnsi="Calibri"/>
          <w:b/>
          <w:color w:val="1A365D"/>
          <w:sz w:val="21"/>
        </w:rPr>
        <w:t xml:space="preserve">Articulatory Phonetics: </w:t>
      </w:r>
      <w:r>
        <w:rPr>
          <w:rFonts w:ascii="Calibri" w:hAnsi="Calibri"/>
          <w:color w:val="2D3748"/>
          <w:sz w:val="21"/>
        </w:rPr>
        <w:t>Focuses on how speech sounds are physically produced by the human vocal tract apparatus (lips, tongue, teeth, alveolar ridge, hard palate, velum, uvula, glottis, and vocal cords). It classifies sounds based on place and manner of articulation.</w:t>
      </w:r>
    </w:p>
    <w:p>
      <w:pPr>
        <w:pStyle w:val="ListBullet"/>
        <w:spacing w:after="80" w:line="276" w:lineRule="auto"/>
      </w:pPr>
      <w:r>
        <w:rPr>
          <w:rFonts w:ascii="Calibri" w:hAnsi="Calibri"/>
          <w:b/>
          <w:color w:val="1A365D"/>
          <w:sz w:val="21"/>
        </w:rPr>
        <w:t xml:space="preserve">Acoustic Phonetics: </w:t>
      </w:r>
      <w:r>
        <w:rPr>
          <w:rFonts w:ascii="Calibri" w:hAnsi="Calibri"/>
          <w:color w:val="2D3748"/>
          <w:sz w:val="21"/>
        </w:rPr>
        <w:t>Focuses on the physical properties of speech sound waves transmitted through the air. It analyzes physical attributes such as sound frequency, amplitude, wave duration, fundamental frequency (F0), and acoustic formants.</w:t>
      </w:r>
    </w:p>
    <w:p>
      <w:pPr>
        <w:pStyle w:val="ListBullet"/>
        <w:spacing w:after="80" w:line="276" w:lineRule="auto"/>
      </w:pPr>
      <w:r>
        <w:rPr>
          <w:rFonts w:ascii="Calibri" w:hAnsi="Calibri"/>
          <w:b/>
          <w:color w:val="1A365D"/>
          <w:sz w:val="21"/>
        </w:rPr>
        <w:t xml:space="preserve">Auditory (Perceptual) Phonetics: </w:t>
      </w:r>
      <w:r>
        <w:rPr>
          <w:rFonts w:ascii="Calibri" w:hAnsi="Calibri"/>
          <w:color w:val="2D3748"/>
          <w:sz w:val="21"/>
        </w:rPr>
        <w:t>Focuses on how speech sound waves are received by the human outer, middle, and inner ear, converted into neural signals via the auditory nerve, and perceptually interpreted by the brain.</w:t>
      </w:r>
    </w:p>
    <w:p>
      <w:pPr>
        <w:keepNext/>
        <w:spacing w:before="160" w:after="40"/>
      </w:pPr>
      <w:r>
        <w:rPr>
          <w:rFonts w:ascii="Calibri" w:hAnsi="Calibri"/>
          <w:b/>
          <w:color w:val="2D3748"/>
          <w:sz w:val="22"/>
        </w:rPr>
        <w:t>2. Differences Between Phonetics and Phonology</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160"/>
        <w:gridCol w:w="3888"/>
        <w:gridCol w:w="3888"/>
      </w:tblGrid>
      <w:tr>
        <w:tc>
          <w:tcPr>
            <w:tcW w:type="dxa" w:w="3312"/>
            <w:shd w:fill="1A365D"/>
            <w:tcMar>
              <w:top w:w="100" w:type="dxa"/>
              <w:bottom w:w="100" w:type="dxa"/>
              <w:left w:w="120" w:type="dxa"/>
              <w:right w:w="120" w:type="dxa"/>
            </w:tcMar>
          </w:tcPr>
          <w:p>
            <w:pPr>
              <w:jc w:val="center"/>
            </w:pPr>
            <w:r>
              <w:rPr>
                <w:rFonts w:ascii="Calibri" w:hAnsi="Calibri"/>
                <w:b/>
                <w:color w:val="FFFFFF"/>
                <w:sz w:val="20"/>
              </w:rPr>
              <w:t>Comparison Feature</w:t>
            </w:r>
          </w:p>
        </w:tc>
        <w:tc>
          <w:tcPr>
            <w:tcW w:type="dxa" w:w="3312"/>
            <w:shd w:fill="1A365D"/>
            <w:tcMar>
              <w:top w:w="100" w:type="dxa"/>
              <w:bottom w:w="100" w:type="dxa"/>
              <w:left w:w="120" w:type="dxa"/>
              <w:right w:w="120" w:type="dxa"/>
            </w:tcMar>
          </w:tcPr>
          <w:p>
            <w:pPr>
              <w:jc w:val="center"/>
            </w:pPr>
            <w:r>
              <w:rPr>
                <w:rFonts w:ascii="Calibri" w:hAnsi="Calibri"/>
                <w:b/>
                <w:color w:val="FFFFFF"/>
                <w:sz w:val="20"/>
              </w:rPr>
              <w:t>Phonetics</w:t>
            </w:r>
          </w:p>
        </w:tc>
        <w:tc>
          <w:tcPr>
            <w:tcW w:type="dxa" w:w="3312"/>
            <w:shd w:fill="1A365D"/>
            <w:tcMar>
              <w:top w:w="100" w:type="dxa"/>
              <w:bottom w:w="100" w:type="dxa"/>
              <w:left w:w="120" w:type="dxa"/>
              <w:right w:w="120" w:type="dxa"/>
            </w:tcMar>
          </w:tcPr>
          <w:p>
            <w:pPr>
              <w:jc w:val="center"/>
            </w:pPr>
            <w:r>
              <w:rPr>
                <w:rFonts w:ascii="Calibri" w:hAnsi="Calibri"/>
                <w:b/>
                <w:color w:val="FFFFFF"/>
                <w:sz w:val="20"/>
              </w:rPr>
              <w:t>Phonology</w:t>
            </w:r>
          </w:p>
        </w:tc>
      </w:tr>
      <w:tr>
        <w:tc>
          <w:tcPr>
            <w:tcW w:type="dxa" w:w="3312"/>
            <w:shd w:fill="F7FAFC"/>
            <w:tcMar>
              <w:top w:w="80" w:type="dxa"/>
              <w:bottom w:w="80" w:type="dxa"/>
              <w:left w:w="100" w:type="dxa"/>
              <w:right w:w="100" w:type="dxa"/>
            </w:tcMar>
          </w:tcPr>
          <w:p>
            <w:r>
              <w:rPr>
                <w:rFonts w:ascii="Calibri" w:hAnsi="Calibri"/>
                <w:b/>
                <w:color w:val="2D3748"/>
                <w:sz w:val="19"/>
              </w:rPr>
              <w:t>Core Focus</w:t>
            </w:r>
          </w:p>
        </w:tc>
        <w:tc>
          <w:tcPr>
            <w:tcW w:type="dxa" w:w="3312"/>
            <w:shd w:fill="F7FAFC"/>
            <w:tcMar>
              <w:top w:w="80" w:type="dxa"/>
              <w:bottom w:w="80" w:type="dxa"/>
              <w:left w:w="100" w:type="dxa"/>
              <w:right w:w="100" w:type="dxa"/>
            </w:tcMar>
          </w:tcPr>
          <w:p>
            <w:r>
              <w:rPr>
                <w:rFonts w:ascii="Calibri" w:hAnsi="Calibri"/>
                <w:color w:val="2D3748"/>
                <w:sz w:val="19"/>
              </w:rPr>
              <w:t>Physical properties of speech sound production, acoustics, and perception across human speech.</w:t>
            </w:r>
          </w:p>
        </w:tc>
        <w:tc>
          <w:tcPr>
            <w:tcW w:type="dxa" w:w="3312"/>
            <w:shd w:fill="F7FAFC"/>
            <w:tcMar>
              <w:top w:w="80" w:type="dxa"/>
              <w:bottom w:w="80" w:type="dxa"/>
              <w:left w:w="100" w:type="dxa"/>
              <w:right w:w="100" w:type="dxa"/>
            </w:tcMar>
          </w:tcPr>
          <w:p>
            <w:r>
              <w:rPr>
                <w:rFonts w:ascii="Calibri" w:hAnsi="Calibri"/>
                <w:color w:val="2D3748"/>
                <w:sz w:val="19"/>
              </w:rPr>
              <w:t>Mental, cognitive, and structural organization of sound systems within a specific language.</w:t>
            </w:r>
          </w:p>
        </w:tc>
      </w:tr>
      <w:tr>
        <w:tc>
          <w:tcPr>
            <w:tcW w:type="dxa" w:w="3312"/>
            <w:shd w:fill="FFFFFF"/>
            <w:tcMar>
              <w:top w:w="80" w:type="dxa"/>
              <w:bottom w:w="80" w:type="dxa"/>
              <w:left w:w="100" w:type="dxa"/>
              <w:right w:w="100" w:type="dxa"/>
            </w:tcMar>
          </w:tcPr>
          <w:p>
            <w:r>
              <w:rPr>
                <w:rFonts w:ascii="Calibri" w:hAnsi="Calibri"/>
                <w:b/>
                <w:color w:val="2D3748"/>
                <w:sz w:val="19"/>
              </w:rPr>
              <w:t>Unit of Analysis</w:t>
            </w:r>
          </w:p>
        </w:tc>
        <w:tc>
          <w:tcPr>
            <w:tcW w:type="dxa" w:w="3312"/>
            <w:shd w:fill="FFFFFF"/>
            <w:tcMar>
              <w:top w:w="80" w:type="dxa"/>
              <w:bottom w:w="80" w:type="dxa"/>
              <w:left w:w="100" w:type="dxa"/>
              <w:right w:w="100" w:type="dxa"/>
            </w:tcMar>
          </w:tcPr>
          <w:p>
            <w:r>
              <w:rPr>
                <w:rFonts w:ascii="Calibri" w:hAnsi="Calibri"/>
                <w:color w:val="2D3748"/>
                <w:sz w:val="19"/>
              </w:rPr>
              <w:t>Phone [ ] (Enclosed in square brackets).</w:t>
            </w:r>
          </w:p>
        </w:tc>
        <w:tc>
          <w:tcPr>
            <w:tcW w:type="dxa" w:w="3312"/>
            <w:shd w:fill="FFFFFF"/>
            <w:tcMar>
              <w:top w:w="80" w:type="dxa"/>
              <w:bottom w:w="80" w:type="dxa"/>
              <w:left w:w="100" w:type="dxa"/>
              <w:right w:w="100" w:type="dxa"/>
            </w:tcMar>
          </w:tcPr>
          <w:p>
            <w:r>
              <w:rPr>
                <w:rFonts w:ascii="Calibri" w:hAnsi="Calibri"/>
                <w:color w:val="2D3748"/>
                <w:sz w:val="19"/>
              </w:rPr>
              <w:t>Phoneme / / (Enclosed in forward slashes).</w:t>
            </w:r>
          </w:p>
        </w:tc>
      </w:tr>
      <w:tr>
        <w:tc>
          <w:tcPr>
            <w:tcW w:type="dxa" w:w="3312"/>
            <w:shd w:fill="F7FAFC"/>
            <w:tcMar>
              <w:top w:w="80" w:type="dxa"/>
              <w:bottom w:w="80" w:type="dxa"/>
              <w:left w:w="100" w:type="dxa"/>
              <w:right w:w="100" w:type="dxa"/>
            </w:tcMar>
          </w:tcPr>
          <w:p>
            <w:r>
              <w:rPr>
                <w:rFonts w:ascii="Calibri" w:hAnsi="Calibri"/>
                <w:b/>
                <w:color w:val="2D3748"/>
                <w:sz w:val="19"/>
              </w:rPr>
              <w:t>Nature of Study</w:t>
            </w:r>
          </w:p>
        </w:tc>
        <w:tc>
          <w:tcPr>
            <w:tcW w:type="dxa" w:w="3312"/>
            <w:shd w:fill="F7FAFC"/>
            <w:tcMar>
              <w:top w:w="80" w:type="dxa"/>
              <w:bottom w:w="80" w:type="dxa"/>
              <w:left w:w="100" w:type="dxa"/>
              <w:right w:w="100" w:type="dxa"/>
            </w:tcMar>
          </w:tcPr>
          <w:p>
            <w:r>
              <w:rPr>
                <w:rFonts w:ascii="Calibri" w:hAnsi="Calibri"/>
                <w:color w:val="2D3748"/>
                <w:sz w:val="19"/>
              </w:rPr>
              <w:t>Concrete, empirical, physical, and universal across human languages.</w:t>
            </w:r>
          </w:p>
        </w:tc>
        <w:tc>
          <w:tcPr>
            <w:tcW w:type="dxa" w:w="3312"/>
            <w:shd w:fill="F7FAFC"/>
            <w:tcMar>
              <w:top w:w="80" w:type="dxa"/>
              <w:bottom w:w="80" w:type="dxa"/>
              <w:left w:w="100" w:type="dxa"/>
              <w:right w:w="100" w:type="dxa"/>
            </w:tcMar>
          </w:tcPr>
          <w:p>
            <w:r>
              <w:rPr>
                <w:rFonts w:ascii="Calibri" w:hAnsi="Calibri"/>
                <w:color w:val="2D3748"/>
                <w:sz w:val="19"/>
              </w:rPr>
              <w:t>Abstract, functional, rule-based, and language-specific.</w:t>
            </w:r>
          </w:p>
        </w:tc>
      </w:tr>
      <w:tr>
        <w:tc>
          <w:tcPr>
            <w:tcW w:type="dxa" w:w="3312"/>
            <w:shd w:fill="FFFFFF"/>
            <w:tcMar>
              <w:top w:w="80" w:type="dxa"/>
              <w:bottom w:w="80" w:type="dxa"/>
              <w:left w:w="100" w:type="dxa"/>
              <w:right w:w="100" w:type="dxa"/>
            </w:tcMar>
          </w:tcPr>
          <w:p>
            <w:r>
              <w:rPr>
                <w:rFonts w:ascii="Calibri" w:hAnsi="Calibri"/>
                <w:b/>
                <w:color w:val="2D3748"/>
                <w:sz w:val="19"/>
              </w:rPr>
              <w:t>Relationship to Meaning</w:t>
            </w:r>
          </w:p>
        </w:tc>
        <w:tc>
          <w:tcPr>
            <w:tcW w:type="dxa" w:w="3312"/>
            <w:shd w:fill="FFFFFF"/>
            <w:tcMar>
              <w:top w:w="80" w:type="dxa"/>
              <w:bottom w:w="80" w:type="dxa"/>
              <w:left w:w="100" w:type="dxa"/>
              <w:right w:w="100" w:type="dxa"/>
            </w:tcMar>
          </w:tcPr>
          <w:p>
            <w:r>
              <w:rPr>
                <w:rFonts w:ascii="Calibri" w:hAnsi="Calibri"/>
                <w:color w:val="2D3748"/>
                <w:sz w:val="19"/>
              </w:rPr>
              <w:t>Non-functional; studies sounds regardless of their ability to differentiate meaning.</w:t>
            </w:r>
          </w:p>
        </w:tc>
        <w:tc>
          <w:tcPr>
            <w:tcW w:type="dxa" w:w="3312"/>
            <w:shd w:fill="FFFFFF"/>
            <w:tcMar>
              <w:top w:w="80" w:type="dxa"/>
              <w:bottom w:w="80" w:type="dxa"/>
              <w:left w:w="100" w:type="dxa"/>
              <w:right w:w="100" w:type="dxa"/>
            </w:tcMar>
          </w:tcPr>
          <w:p>
            <w:r>
              <w:rPr>
                <w:rFonts w:ascii="Calibri" w:hAnsi="Calibri"/>
                <w:color w:val="2D3748"/>
                <w:sz w:val="19"/>
              </w:rPr>
              <w:t>Functional; studies sound contrasts (minimal pairs) that alter word meanings.</w:t>
            </w:r>
          </w:p>
        </w:tc>
      </w:tr>
      <w:tr>
        <w:tc>
          <w:tcPr>
            <w:tcW w:type="dxa" w:w="3312"/>
            <w:shd w:fill="F7FAFC"/>
            <w:tcMar>
              <w:top w:w="80" w:type="dxa"/>
              <w:bottom w:w="80" w:type="dxa"/>
              <w:left w:w="100" w:type="dxa"/>
              <w:right w:w="100" w:type="dxa"/>
            </w:tcMar>
          </w:tcPr>
          <w:p>
            <w:r>
              <w:rPr>
                <w:rFonts w:ascii="Calibri" w:hAnsi="Calibri"/>
                <w:b/>
                <w:color w:val="2D3748"/>
                <w:sz w:val="19"/>
              </w:rPr>
              <w:t>Key Topics</w:t>
            </w:r>
          </w:p>
        </w:tc>
        <w:tc>
          <w:tcPr>
            <w:tcW w:type="dxa" w:w="3312"/>
            <w:shd w:fill="F7FAFC"/>
            <w:tcMar>
              <w:top w:w="80" w:type="dxa"/>
              <w:bottom w:w="80" w:type="dxa"/>
              <w:left w:w="100" w:type="dxa"/>
              <w:right w:w="100" w:type="dxa"/>
            </w:tcMar>
          </w:tcPr>
          <w:p>
            <w:r>
              <w:rPr>
                <w:rFonts w:ascii="Calibri" w:hAnsi="Calibri"/>
                <w:color w:val="2D3748"/>
                <w:sz w:val="19"/>
              </w:rPr>
              <w:t>Manner/Place of articulation, spectrograms, sound wave frequencies.</w:t>
            </w:r>
          </w:p>
        </w:tc>
        <w:tc>
          <w:tcPr>
            <w:tcW w:type="dxa" w:w="3312"/>
            <w:shd w:fill="F7FAFC"/>
            <w:tcMar>
              <w:top w:w="80" w:type="dxa"/>
              <w:bottom w:w="80" w:type="dxa"/>
              <w:left w:w="100" w:type="dxa"/>
              <w:right w:w="100" w:type="dxa"/>
            </w:tcMar>
          </w:tcPr>
          <w:p>
            <w:r>
              <w:rPr>
                <w:rFonts w:ascii="Calibri" w:hAnsi="Calibri"/>
                <w:color w:val="2D3748"/>
                <w:sz w:val="19"/>
              </w:rPr>
              <w:t>Phonemes, allophones, phonotactics, assimilation, stress, and intonation.</w:t>
            </w:r>
          </w:p>
        </w:tc>
      </w:tr>
    </w:tbl>
    <w:p>
      <w:pPr>
        <w:spacing w:after="280"/>
      </w:pP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180" w:type="dxa"/>
              <w:right w:w="180" w:type="dxa"/>
            </w:tcMar>
            <w:tcBorders>
              <w:left w:val="single" w:sz="24" w:space="0" w:color="1A365D"/>
              <w:top w:val="none"/>
              <w:right w:val="none"/>
              <w:bottom w:val="none"/>
            </w:tcBorders>
          </w:tcPr>
          <w:p>
            <w:pPr>
              <w:spacing w:after="80"/>
            </w:pPr>
            <w:r>
              <w:rPr>
                <w:rFonts w:ascii="Calibri" w:hAnsi="Calibri"/>
                <w:b/>
                <w:color w:val="1A365D"/>
                <w:sz w:val="22"/>
              </w:rPr>
              <w:t>QUESTION 4 (a) [CO3 | Marks: 2]</w:t>
            </w:r>
          </w:p>
          <w:p>
            <w:pPr>
              <w:spacing w:after="0"/>
            </w:pPr>
            <w:r>
              <w:rPr>
                <w:rFonts w:ascii="Calibri" w:hAnsi="Calibri"/>
                <w:i/>
                <w:color w:val="2D3748"/>
                <w:sz w:val="21"/>
              </w:rPr>
              <w:t>Classify different reading techniques.</w:t>
            </w:r>
          </w:p>
        </w:tc>
      </w:tr>
    </w:tbl>
    <w:p>
      <w:pPr>
        <w:spacing w:after="160"/>
      </w:pPr>
    </w:p>
    <w:p>
      <w:pPr>
        <w:keepNext/>
        <w:spacing w:before="240" w:after="80"/>
      </w:pPr>
      <w:r>
        <w:rPr>
          <w:rFonts w:ascii="Calibri" w:hAnsi="Calibri"/>
          <w:b/>
          <w:color w:val="2B6CB0"/>
          <w:sz w:val="26"/>
        </w:rPr>
        <w:t>Solution / Answer:</w:t>
      </w:r>
    </w:p>
    <w:p>
      <w:pPr>
        <w:spacing w:after="120" w:line="276" w:lineRule="auto"/>
      </w:pPr>
      <w:r>
        <w:rPr>
          <w:rFonts w:ascii="Calibri" w:hAnsi="Calibri"/>
          <w:color w:val="2D3748"/>
          <w:sz w:val="21"/>
        </w:rPr>
        <w:t>Reading techniques are strategies employed by readers to comprehend written text efficiently depending on their specific reading purpose and time constraints. The four main reading techniques are:</w:t>
      </w:r>
    </w:p>
    <w:p>
      <w:pPr>
        <w:pStyle w:val="ListBullet"/>
        <w:spacing w:after="80" w:line="276" w:lineRule="auto"/>
      </w:pPr>
      <w:r>
        <w:rPr>
          <w:rFonts w:ascii="Calibri" w:hAnsi="Calibri"/>
          <w:b/>
          <w:color w:val="1A365D"/>
          <w:sz w:val="21"/>
        </w:rPr>
        <w:t xml:space="preserve">1. Skimming: </w:t>
      </w:r>
      <w:r>
        <w:rPr>
          <w:rFonts w:ascii="Calibri" w:hAnsi="Calibri"/>
          <w:color w:val="2D3748"/>
          <w:sz w:val="21"/>
        </w:rPr>
        <w:t>A high-speed reading technique used to gain a general overview, main ideas, or overall gist of a passage without reading every word (e.g., skimming newspaper headlines, chapter titles, or summaries).</w:t>
      </w:r>
    </w:p>
    <w:p>
      <w:pPr>
        <w:pStyle w:val="ListBullet"/>
        <w:spacing w:after="80" w:line="276" w:lineRule="auto"/>
      </w:pPr>
      <w:r>
        <w:rPr>
          <w:rFonts w:ascii="Calibri" w:hAnsi="Calibri"/>
          <w:b/>
          <w:color w:val="1A365D"/>
          <w:sz w:val="21"/>
        </w:rPr>
        <w:t xml:space="preserve">2. Scanning: </w:t>
      </w:r>
      <w:r>
        <w:rPr>
          <w:rFonts w:ascii="Calibri" w:hAnsi="Calibri"/>
          <w:color w:val="2D3748"/>
          <w:sz w:val="21"/>
        </w:rPr>
        <w:t>A targeted search technique used to locate specific details, figures, dates, names, or keywords quickly within a large text (e.g., scanning a phone directory, flight schedule, or index).</w:t>
      </w:r>
    </w:p>
    <w:p>
      <w:pPr>
        <w:pStyle w:val="ListBullet"/>
        <w:spacing w:after="80" w:line="276" w:lineRule="auto"/>
      </w:pPr>
      <w:r>
        <w:rPr>
          <w:rFonts w:ascii="Calibri" w:hAnsi="Calibri"/>
          <w:b/>
          <w:color w:val="1A365D"/>
          <w:sz w:val="21"/>
        </w:rPr>
        <w:t xml:space="preserve">3. Intensive Reading: </w:t>
      </w:r>
      <w:r>
        <w:rPr>
          <w:rFonts w:ascii="Calibri" w:hAnsi="Calibri"/>
          <w:color w:val="2D3748"/>
          <w:sz w:val="21"/>
        </w:rPr>
        <w:t>A close, slow, and detailed reading technique focused on thorough comprehension, syntactic analysis, vocabulary building, and logical breakdown of short, complex texts (e.g., studying academic papers, legal contracts, or technical documentation).</w:t>
      </w:r>
    </w:p>
    <w:p>
      <w:pPr>
        <w:pStyle w:val="ListBullet"/>
        <w:spacing w:after="80" w:line="276" w:lineRule="auto"/>
      </w:pPr>
      <w:r>
        <w:rPr>
          <w:rFonts w:ascii="Calibri" w:hAnsi="Calibri"/>
          <w:b/>
          <w:color w:val="1A365D"/>
          <w:sz w:val="21"/>
        </w:rPr>
        <w:t xml:space="preserve">4. Extensive Reading: </w:t>
      </w:r>
      <w:r>
        <w:rPr>
          <w:rFonts w:ascii="Calibri" w:hAnsi="Calibri"/>
          <w:color w:val="2D3748"/>
          <w:sz w:val="21"/>
        </w:rPr>
        <w:t>A fluent, broad reading technique involving reading longer texts for general pleasure, overall conceptual understanding, and language acquisition without analyzing minor details (e.g., reading novels, biographies, or magazines).</w:t>
      </w:r>
    </w:p>
    <w:p>
      <w:pPr>
        <w:spacing w:after="240"/>
      </w:pP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180" w:type="dxa"/>
              <w:right w:w="180" w:type="dxa"/>
            </w:tcMar>
            <w:tcBorders>
              <w:left w:val="single" w:sz="24" w:space="0" w:color="1A365D"/>
              <w:top w:val="none"/>
              <w:right w:val="none"/>
              <w:bottom w:val="none"/>
            </w:tcBorders>
          </w:tcPr>
          <w:p>
            <w:pPr>
              <w:spacing w:after="80"/>
            </w:pPr>
            <w:r>
              <w:rPr>
                <w:rFonts w:ascii="Calibri" w:hAnsi="Calibri"/>
                <w:b/>
                <w:color w:val="1A365D"/>
                <w:sz w:val="22"/>
              </w:rPr>
              <w:t>QUESTION 4 (b) [CO3 | Marks: 8]</w:t>
            </w:r>
          </w:p>
          <w:p>
            <w:pPr>
              <w:spacing w:after="0"/>
            </w:pPr>
            <w:r>
              <w:rPr>
                <w:rFonts w:ascii="Calibri" w:hAnsi="Calibri"/>
                <w:i/>
                <w:color w:val="2D3748"/>
                <w:sz w:val="21"/>
              </w:rPr>
              <w:t>Read the passage below. Paraphrase it by your own words using at least 150 words and explain the techniques you have used to prepare your paraphrase.</w:t>
              <w:br/>
              <w:br/>
              <w:t>[Passage: As we live a digital age, most industries rely on data and software programs. Computer science &amp; IT impacts everything, from scientific research to health development, transport, banking, communications, you name it. Even objects like microwave ovens, fridges, or door locks are now connected to our Wi-Fi networks and personal assistants...</w:t>
              <w:br/>
              <w:t>... develop the next generation of gadgets or software prgrammes which will improve the lives of millions of people.]</w:t>
            </w:r>
          </w:p>
        </w:tc>
      </w:tr>
    </w:tbl>
    <w:p>
      <w:pPr>
        <w:spacing w:after="160"/>
      </w:pPr>
    </w:p>
    <w:p>
      <w:pPr>
        <w:keepNext/>
        <w:spacing w:before="240" w:after="80"/>
      </w:pPr>
      <w:r>
        <w:rPr>
          <w:rFonts w:ascii="Calibri" w:hAnsi="Calibri"/>
          <w:b/>
          <w:color w:val="2B6CB0"/>
          <w:sz w:val="26"/>
        </w:rPr>
        <w:t>Solution / Answer:</w:t>
      </w:r>
    </w:p>
    <w:p>
      <w:pPr>
        <w:keepNext/>
        <w:spacing w:before="160" w:after="40"/>
      </w:pPr>
      <w:r>
        <w:rPr>
          <w:rFonts w:ascii="Calibri" w:hAnsi="Calibri"/>
          <w:b/>
          <w:color w:val="2D3748"/>
          <w:sz w:val="22"/>
        </w:rPr>
        <w:t>1. Paraphrased Text (Word Count: 188 Words)</w:t>
      </w:r>
    </w:p>
    <w:tbl>
      <w:tblPr>
        <w:tblW w:type="auto" w:w="0"/>
        <w:jc w:val="center"/>
        <w:tblLayout w:type="fixed"/>
        <w:tblLook w:firstColumn="1" w:firstRow="1" w:lastColumn="0" w:lastRow="0" w:noHBand="0" w:noVBand="1" w:val="04A0"/>
      </w:tblPr>
      <w:tblGrid>
        <w:gridCol w:w="9936"/>
      </w:tblGrid>
      <w:tr>
        <w:tc>
          <w:tcPr>
            <w:tcW w:type="dxa" w:w="9936"/>
            <w:shd w:fill="F7FAFC"/>
            <w:tcMar>
              <w:top w:w="140" w:type="dxa"/>
              <w:bottom w:w="140" w:type="dxa"/>
              <w:left w:w="180" w:type="dxa"/>
              <w:right w:w="180" w:type="dxa"/>
            </w:tcMar>
            <w:tcBorders>
              <w:left w:val="single" w:sz="18" w:space="0" w:color="2B6CB0"/>
              <w:top w:val="none"/>
              <w:right w:val="none"/>
              <w:bottom w:val="none"/>
            </w:tcBorders>
          </w:tcPr>
          <w:p>
            <w:pPr>
              <w:spacing w:line="276" w:lineRule="auto" w:after="0"/>
            </w:pPr>
            <w:r>
              <w:rPr>
                <w:rFonts w:ascii="Calibri" w:hAnsi="Calibri"/>
                <w:color w:val="2D3748"/>
                <w:sz w:val="20"/>
              </w:rPr>
              <w:t>In contemporary society, technology and software applications serve as the operational foundation for virtually every modern sector, ranging from healthcare advancements and scientific discovery to global communications, banking networks, and transportation systems. Furthermore, everyday domestic devices—such as internet-enabled microwave ovens, smart refrigerators, and security door locks—now interface directly with wireless networks and virtual assistants. This high level of global connectivity did not emerge spontaneously; rather, it is the direct achievement of dedicated computer science and information technology professionals who channeled their passion to engineer hardware gadgets and software solutions that streamline daily human life. Pursuing a degree in Computer Science equips students with the foundational principles and technical competencies necessary to solve complex real-world challenges. Because digital systems will continuously define future progress, emerging technologists hold the responsibility to dictate how innovation shapes human society. Achieving meaningful impact does not require aspiring professionals to emulate legendary figures like Bill Gates or Steve Jobs—especially since commercial operating systems and consumer hardware frequently display technical flaws. Instead, new graduates can drive profound societal advancement by developing next-generation applications and electronic tools that directly enrich the lives of millions worldwide.</w:t>
            </w:r>
          </w:p>
        </w:tc>
      </w:tr>
    </w:tbl>
    <w:p>
      <w:pPr>
        <w:spacing w:after="200"/>
      </w:pPr>
    </w:p>
    <w:p>
      <w:pPr>
        <w:keepNext/>
        <w:spacing w:before="160" w:after="40"/>
      </w:pPr>
      <w:r>
        <w:rPr>
          <w:rFonts w:ascii="Calibri" w:hAnsi="Calibri"/>
          <w:b/>
          <w:color w:val="2D3748"/>
          <w:sz w:val="22"/>
        </w:rPr>
        <w:t>2. Paraphrasing Techniques Employed</w:t>
      </w:r>
    </w:p>
    <w:p>
      <w:pPr>
        <w:pStyle w:val="ListBullet"/>
        <w:spacing w:after="80" w:line="276" w:lineRule="auto"/>
      </w:pPr>
      <w:r>
        <w:rPr>
          <w:rFonts w:ascii="Calibri" w:hAnsi="Calibri"/>
          <w:b/>
          <w:color w:val="1A365D"/>
          <w:sz w:val="21"/>
        </w:rPr>
        <w:t xml:space="preserve">Synonym Substitution: </w:t>
      </w:r>
      <w:r>
        <w:rPr>
          <w:rFonts w:ascii="Calibri" w:hAnsi="Calibri"/>
          <w:color w:val="2D3748"/>
          <w:sz w:val="21"/>
        </w:rPr>
        <w:t>Key vocabulary terms were replaced with accurate, high-level contextual synonyms (e.g., 'digital age' -&gt; 'contemporary society', 'brilliant minds' -&gt; 'dedicated computer science professionals', 'buggy' -&gt; 'display technical flaws', 'take humanity forward' -&gt; 'drive profound societal advancement').</w:t>
      </w:r>
    </w:p>
    <w:p>
      <w:pPr>
        <w:pStyle w:val="ListBullet"/>
        <w:spacing w:after="80" w:line="276" w:lineRule="auto"/>
      </w:pPr>
      <w:r>
        <w:rPr>
          <w:rFonts w:ascii="Calibri" w:hAnsi="Calibri"/>
          <w:b/>
          <w:color w:val="1A365D"/>
          <w:sz w:val="21"/>
        </w:rPr>
        <w:t xml:space="preserve">Syntactic Reorganization: </w:t>
      </w:r>
      <w:r>
        <w:rPr>
          <w:rFonts w:ascii="Calibri" w:hAnsi="Calibri"/>
          <w:color w:val="2D3748"/>
          <w:sz w:val="21"/>
        </w:rPr>
        <w:t>Complex sentences were restructured by changing sentence order, converting active structures to passive constructions, and combining related ideas into streamlined compound sentences (e.g., merging the list of household IoT devices into a unified clause).</w:t>
      </w:r>
    </w:p>
    <w:p>
      <w:pPr>
        <w:pStyle w:val="ListBullet"/>
        <w:spacing w:after="80" w:line="276" w:lineRule="auto"/>
      </w:pPr>
      <w:r>
        <w:rPr>
          <w:rFonts w:ascii="Calibri" w:hAnsi="Calibri"/>
          <w:b/>
          <w:color w:val="1A365D"/>
          <w:sz w:val="21"/>
        </w:rPr>
        <w:t xml:space="preserve">Grammatical Class Shifting: </w:t>
      </w:r>
      <w:r>
        <w:rPr>
          <w:rFonts w:ascii="Calibri" w:hAnsi="Calibri"/>
          <w:color w:val="2D3748"/>
          <w:sz w:val="21"/>
        </w:rPr>
        <w:t>Parts of speech were transformed (e.g., changing verbs into nouns and adjectives into adverbs, such as converting 'innovations that will take humanity forward' into 'drive profound societal advancement').</w:t>
      </w:r>
    </w:p>
    <w:p>
      <w:pPr>
        <w:pStyle w:val="ListBullet"/>
        <w:spacing w:after="80" w:line="276" w:lineRule="auto"/>
      </w:pPr>
      <w:r>
        <w:rPr>
          <w:rFonts w:ascii="Calibri" w:hAnsi="Calibri"/>
          <w:b/>
          <w:color w:val="1A365D"/>
          <w:sz w:val="21"/>
        </w:rPr>
        <w:t xml:space="preserve">Meaning Preservation: </w:t>
      </w:r>
      <w:r>
        <w:rPr>
          <w:rFonts w:ascii="Calibri" w:hAnsi="Calibri"/>
          <w:color w:val="2D3748"/>
          <w:sz w:val="21"/>
        </w:rPr>
        <w:t>The core logical narrative—that computing drives modern infrastructure and CSE graduates have the agency to improve human lives despite existing tech flaws—was strictly preserved without adding outside opinions.</w:t>
      </w:r>
    </w:p>
    <w:p>
      <w:pPr>
        <w:spacing w:after="320"/>
      </w:pPr>
    </w:p>
    <w:p>
      <w:pPr>
        <w:keepNext/>
        <w:spacing w:before="360" w:after="160"/>
      </w:pPr>
      <w:r>
        <w:rPr>
          <w:rFonts w:ascii="Calibri" w:hAnsi="Calibri"/>
          <w:b/>
          <w:color w:val="1A365D"/>
          <w:sz w:val="32"/>
        </w:rPr>
        <w:t>SECTION B</w:t>
      </w:r>
    </w:p>
    <w:p>
      <w:pPr>
        <w:spacing w:after="240"/>
      </w:pPr>
      <w:r>
        <w:rPr>
          <w:b/>
          <w:color w:val="2B6CB0"/>
        </w:rPr>
        <w:t>―――――――――――――――――――――――――――――――――――――――――――――――――――――――</w:t>
      </w: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180" w:type="dxa"/>
              <w:right w:w="180" w:type="dxa"/>
            </w:tcMar>
            <w:tcBorders>
              <w:left w:val="single" w:sz="24" w:space="0" w:color="1A365D"/>
              <w:top w:val="none"/>
              <w:right w:val="none"/>
              <w:bottom w:val="none"/>
            </w:tcBorders>
          </w:tcPr>
          <w:p>
            <w:pPr>
              <w:spacing w:after="80"/>
            </w:pPr>
            <w:r>
              <w:rPr>
                <w:rFonts w:ascii="Calibri" w:hAnsi="Calibri"/>
                <w:b/>
                <w:color w:val="1A365D"/>
                <w:sz w:val="22"/>
              </w:rPr>
              <w:t>QUESTION 5 (a) [CO4 | Marks: 6]</w:t>
            </w:r>
          </w:p>
          <w:p>
            <w:pPr>
              <w:spacing w:after="0"/>
            </w:pPr>
            <w:r>
              <w:rPr>
                <w:rFonts w:ascii="Calibri" w:hAnsi="Calibri"/>
                <w:i/>
                <w:color w:val="2D3748"/>
                <w:sz w:val="21"/>
              </w:rPr>
              <w:t>The first table below shows the boys cultural and leisure activities at CSE department, RUET, whereas the second table shows the activities in which the girls participate in.</w:t>
              <w:br/>
              <w:t>Table 1 (Boys): Reading 10%, Computer Games 20%, Listening to Music 20%, Facebooking 50%</w:t>
              <w:br/>
              <w:t>Table 2 (Girls): Reading 15%, Computer Games 10%, Listening to Music 25%, Facebooking 50%</w:t>
              <w:br/>
              <w:t>Now, make a report describing the information shown in the two tables and making comparisons where relevant.</w:t>
            </w:r>
          </w:p>
        </w:tc>
      </w:tr>
    </w:tbl>
    <w:p>
      <w:pPr>
        <w:spacing w:after="160"/>
      </w:pPr>
    </w:p>
    <w:p>
      <w:pPr>
        <w:keepNext/>
        <w:spacing w:before="240" w:after="80"/>
      </w:pPr>
      <w:r>
        <w:rPr>
          <w:rFonts w:ascii="Calibri" w:hAnsi="Calibri"/>
          <w:b/>
          <w:color w:val="2B6CB0"/>
          <w:sz w:val="26"/>
        </w:rPr>
        <w:t>Solution / Answer:</w:t>
      </w:r>
    </w:p>
    <w:p>
      <w:pPr>
        <w:spacing w:before="160" w:after="8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leisure_activities_chart.png"/>
                    <pic:cNvPicPr/>
                  </pic:nvPicPr>
                  <pic:blipFill>
                    <a:blip r:embed="rId10"/>
                    <a:stretch>
                      <a:fillRect/>
                    </a:stretch>
                  </pic:blipFill>
                  <pic:spPr>
                    <a:xfrm>
                      <a:off x="0" y="0"/>
                      <a:ext cx="5303520" cy="2983230"/>
                    </a:xfrm>
                    <a:prstGeom prst="rect"/>
                  </pic:spPr>
                </pic:pic>
              </a:graphicData>
            </a:graphic>
          </wp:inline>
        </w:drawing>
      </w:r>
    </w:p>
    <w:p>
      <w:pPr>
        <w:spacing w:after="240"/>
        <w:jc w:val="center"/>
      </w:pPr>
      <w:r>
        <w:rPr>
          <w:rFonts w:ascii="Calibri" w:hAnsi="Calibri"/>
          <w:i/>
          <w:color w:val="718096"/>
          <w:sz w:val="19"/>
        </w:rPr>
        <w:t>Figure 5.1: Gender-Wise Cultural and Leisure Activity Distribution (CSE Dept, RUET)</w:t>
      </w:r>
    </w:p>
    <w:p>
      <w:pPr>
        <w:keepNext/>
        <w:spacing w:before="160" w:after="40"/>
      </w:pPr>
      <w:r>
        <w:rPr>
          <w:rFonts w:ascii="Calibri" w:hAnsi="Calibri"/>
          <w:b/>
          <w:color w:val="2D3748"/>
          <w:sz w:val="22"/>
        </w:rPr>
        <w:t>Analytical Report: Comparative Study of Cultural and Leisure Activities</w:t>
      </w:r>
    </w:p>
    <w:p>
      <w:pPr>
        <w:spacing w:after="120" w:line="276" w:lineRule="auto"/>
      </w:pPr>
      <w:r>
        <w:rPr>
          <w:rFonts w:ascii="Calibri" w:hAnsi="Calibri"/>
          <w:color w:val="2D3748"/>
          <w:sz w:val="21"/>
        </w:rPr>
        <w:t>This report analyzes empirical survey data representing the participation of undergraduate male (boys) and female (girls) students of the Department of Computer Science &amp; Engineering (CSE), RUET, in various cultural and leisure activities.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68"/>
        <w:gridCol w:w="2160"/>
        <w:gridCol w:w="2160"/>
        <w:gridCol w:w="2448"/>
      </w:tblGrid>
      <w:tr>
        <w:tc>
          <w:tcPr>
            <w:tcW w:type="dxa" w:w="2484"/>
            <w:shd w:fill="1A365D"/>
            <w:tcMar>
              <w:top w:w="100" w:type="dxa"/>
              <w:bottom w:w="100" w:type="dxa"/>
              <w:left w:w="100" w:type="dxa"/>
              <w:right w:w="100" w:type="dxa"/>
            </w:tcMar>
          </w:tcPr>
          <w:p>
            <w:pPr>
              <w:jc w:val="center"/>
            </w:pPr>
            <w:r>
              <w:rPr>
                <w:rFonts w:ascii="Calibri" w:hAnsi="Calibri"/>
                <w:b/>
                <w:color w:val="FFFFFF"/>
                <w:sz w:val="19"/>
              </w:rPr>
              <w:t>Leisure Activity Category</w:t>
            </w:r>
          </w:p>
        </w:tc>
        <w:tc>
          <w:tcPr>
            <w:tcW w:type="dxa" w:w="2484"/>
            <w:shd w:fill="1A365D"/>
            <w:tcMar>
              <w:top w:w="100" w:type="dxa"/>
              <w:bottom w:w="100" w:type="dxa"/>
              <w:left w:w="100" w:type="dxa"/>
              <w:right w:w="100" w:type="dxa"/>
            </w:tcMar>
          </w:tcPr>
          <w:p>
            <w:pPr>
              <w:jc w:val="center"/>
            </w:pPr>
            <w:r>
              <w:rPr>
                <w:rFonts w:ascii="Calibri" w:hAnsi="Calibri"/>
                <w:b/>
                <w:color w:val="FFFFFF"/>
                <w:sz w:val="19"/>
              </w:rPr>
              <w:t>Boys Participation (%)</w:t>
            </w:r>
          </w:p>
        </w:tc>
        <w:tc>
          <w:tcPr>
            <w:tcW w:type="dxa" w:w="2484"/>
            <w:shd w:fill="1A365D"/>
            <w:tcMar>
              <w:top w:w="100" w:type="dxa"/>
              <w:bottom w:w="100" w:type="dxa"/>
              <w:left w:w="100" w:type="dxa"/>
              <w:right w:w="100" w:type="dxa"/>
            </w:tcMar>
          </w:tcPr>
          <w:p>
            <w:pPr>
              <w:jc w:val="center"/>
            </w:pPr>
            <w:r>
              <w:rPr>
                <w:rFonts w:ascii="Calibri" w:hAnsi="Calibri"/>
                <w:b/>
                <w:color w:val="FFFFFF"/>
                <w:sz w:val="19"/>
              </w:rPr>
              <w:t>Girls Participation (%)</w:t>
            </w:r>
          </w:p>
        </w:tc>
        <w:tc>
          <w:tcPr>
            <w:tcW w:type="dxa" w:w="2484"/>
            <w:shd w:fill="1A365D"/>
            <w:tcMar>
              <w:top w:w="100" w:type="dxa"/>
              <w:bottom w:w="100" w:type="dxa"/>
              <w:left w:w="100" w:type="dxa"/>
              <w:right w:w="100" w:type="dxa"/>
            </w:tcMar>
          </w:tcPr>
          <w:p>
            <w:pPr>
              <w:jc w:val="center"/>
            </w:pPr>
            <w:r>
              <w:rPr>
                <w:rFonts w:ascii="Calibri" w:hAnsi="Calibri"/>
                <w:b/>
                <w:color w:val="FFFFFF"/>
                <w:sz w:val="19"/>
              </w:rPr>
              <w:t>Gender Difference</w:t>
            </w:r>
          </w:p>
        </w:tc>
      </w:tr>
      <w:tr>
        <w:tc>
          <w:tcPr>
            <w:tcW w:type="dxa" w:w="2484"/>
            <w:shd w:fill="F7FAFC"/>
            <w:tcMar>
              <w:top w:w="80" w:type="dxa"/>
              <w:bottom w:w="80" w:type="dxa"/>
              <w:left w:w="100" w:type="dxa"/>
              <w:right w:w="100" w:type="dxa"/>
            </w:tcMar>
          </w:tcPr>
          <w:p>
            <w:r>
              <w:rPr>
                <w:rFonts w:ascii="Calibri" w:hAnsi="Calibri"/>
                <w:b/>
                <w:color w:val="2D3748"/>
                <w:sz w:val="19"/>
              </w:rPr>
              <w:t>Reading</w:t>
            </w:r>
          </w:p>
        </w:tc>
        <w:tc>
          <w:tcPr>
            <w:tcW w:type="dxa" w:w="2484"/>
            <w:shd w:fill="F7FAFC"/>
            <w:tcMar>
              <w:top w:w="80" w:type="dxa"/>
              <w:bottom w:w="80" w:type="dxa"/>
              <w:left w:w="100" w:type="dxa"/>
              <w:right w:w="100" w:type="dxa"/>
            </w:tcMar>
          </w:tcPr>
          <w:p>
            <w:pPr>
              <w:jc w:val="center"/>
            </w:pPr>
            <w:r>
              <w:rPr>
                <w:rFonts w:ascii="Calibri" w:hAnsi="Calibri"/>
                <w:color w:val="2D3748"/>
                <w:sz w:val="19"/>
              </w:rPr>
              <w:t>10%</w:t>
            </w:r>
          </w:p>
        </w:tc>
        <w:tc>
          <w:tcPr>
            <w:tcW w:type="dxa" w:w="2484"/>
            <w:shd w:fill="F7FAFC"/>
            <w:tcMar>
              <w:top w:w="80" w:type="dxa"/>
              <w:bottom w:w="80" w:type="dxa"/>
              <w:left w:w="100" w:type="dxa"/>
              <w:right w:w="100" w:type="dxa"/>
            </w:tcMar>
          </w:tcPr>
          <w:p>
            <w:pPr>
              <w:jc w:val="center"/>
            </w:pPr>
            <w:r>
              <w:rPr>
                <w:rFonts w:ascii="Calibri" w:hAnsi="Calibri"/>
                <w:color w:val="2D3748"/>
                <w:sz w:val="19"/>
              </w:rPr>
              <w:t>15%</w:t>
            </w:r>
          </w:p>
        </w:tc>
        <w:tc>
          <w:tcPr>
            <w:tcW w:type="dxa" w:w="2484"/>
            <w:shd w:fill="F7FAFC"/>
            <w:tcMar>
              <w:top w:w="80" w:type="dxa"/>
              <w:bottom w:w="80" w:type="dxa"/>
              <w:left w:w="100" w:type="dxa"/>
              <w:right w:w="100" w:type="dxa"/>
            </w:tcMar>
          </w:tcPr>
          <w:p>
            <w:pPr>
              <w:jc w:val="center"/>
            </w:pPr>
            <w:r>
              <w:rPr>
                <w:rFonts w:ascii="Calibri" w:hAnsi="Calibri"/>
                <w:color w:val="2D3748"/>
                <w:sz w:val="19"/>
              </w:rPr>
              <w:t>+5% (Girls higher)</w:t>
            </w:r>
          </w:p>
        </w:tc>
      </w:tr>
      <w:tr>
        <w:tc>
          <w:tcPr>
            <w:tcW w:type="dxa" w:w="2484"/>
            <w:shd w:fill="FFFFFF"/>
            <w:tcMar>
              <w:top w:w="80" w:type="dxa"/>
              <w:bottom w:w="80" w:type="dxa"/>
              <w:left w:w="100" w:type="dxa"/>
              <w:right w:w="100" w:type="dxa"/>
            </w:tcMar>
          </w:tcPr>
          <w:p>
            <w:r>
              <w:rPr>
                <w:rFonts w:ascii="Calibri" w:hAnsi="Calibri"/>
                <w:b/>
                <w:color w:val="2D3748"/>
                <w:sz w:val="19"/>
              </w:rPr>
              <w:t>Computer Games</w:t>
            </w:r>
          </w:p>
        </w:tc>
        <w:tc>
          <w:tcPr>
            <w:tcW w:type="dxa" w:w="2484"/>
            <w:shd w:fill="FFFFFF"/>
            <w:tcMar>
              <w:top w:w="80" w:type="dxa"/>
              <w:bottom w:w="80" w:type="dxa"/>
              <w:left w:w="100" w:type="dxa"/>
              <w:right w:w="100" w:type="dxa"/>
            </w:tcMar>
          </w:tcPr>
          <w:p>
            <w:pPr>
              <w:jc w:val="center"/>
            </w:pPr>
            <w:r>
              <w:rPr>
                <w:rFonts w:ascii="Calibri" w:hAnsi="Calibri"/>
                <w:color w:val="2D3748"/>
                <w:sz w:val="19"/>
              </w:rPr>
              <w:t>20%</w:t>
            </w:r>
          </w:p>
        </w:tc>
        <w:tc>
          <w:tcPr>
            <w:tcW w:type="dxa" w:w="2484"/>
            <w:shd w:fill="FFFFFF"/>
            <w:tcMar>
              <w:top w:w="80" w:type="dxa"/>
              <w:bottom w:w="80" w:type="dxa"/>
              <w:left w:w="100" w:type="dxa"/>
              <w:right w:w="100" w:type="dxa"/>
            </w:tcMar>
          </w:tcPr>
          <w:p>
            <w:pPr>
              <w:jc w:val="center"/>
            </w:pPr>
            <w:r>
              <w:rPr>
                <w:rFonts w:ascii="Calibri" w:hAnsi="Calibri"/>
                <w:color w:val="2D3748"/>
                <w:sz w:val="19"/>
              </w:rPr>
              <w:t>10%</w:t>
            </w:r>
          </w:p>
        </w:tc>
        <w:tc>
          <w:tcPr>
            <w:tcW w:type="dxa" w:w="2484"/>
            <w:shd w:fill="FFFFFF"/>
            <w:tcMar>
              <w:top w:w="80" w:type="dxa"/>
              <w:bottom w:w="80" w:type="dxa"/>
              <w:left w:w="100" w:type="dxa"/>
              <w:right w:w="100" w:type="dxa"/>
            </w:tcMar>
          </w:tcPr>
          <w:p>
            <w:pPr>
              <w:jc w:val="center"/>
            </w:pPr>
            <w:r>
              <w:rPr>
                <w:rFonts w:ascii="Calibri" w:hAnsi="Calibri"/>
                <w:color w:val="2D3748"/>
                <w:sz w:val="19"/>
              </w:rPr>
              <w:t>-10% (Boys higher)</w:t>
            </w:r>
          </w:p>
        </w:tc>
      </w:tr>
      <w:tr>
        <w:tc>
          <w:tcPr>
            <w:tcW w:type="dxa" w:w="2484"/>
            <w:shd w:fill="F7FAFC"/>
            <w:tcMar>
              <w:top w:w="80" w:type="dxa"/>
              <w:bottom w:w="80" w:type="dxa"/>
              <w:left w:w="100" w:type="dxa"/>
              <w:right w:w="100" w:type="dxa"/>
            </w:tcMar>
          </w:tcPr>
          <w:p>
            <w:r>
              <w:rPr>
                <w:rFonts w:ascii="Calibri" w:hAnsi="Calibri"/>
                <w:b/>
                <w:color w:val="2D3748"/>
                <w:sz w:val="19"/>
              </w:rPr>
              <w:t>Listening to Music</w:t>
            </w:r>
          </w:p>
        </w:tc>
        <w:tc>
          <w:tcPr>
            <w:tcW w:type="dxa" w:w="2484"/>
            <w:shd w:fill="F7FAFC"/>
            <w:tcMar>
              <w:top w:w="80" w:type="dxa"/>
              <w:bottom w:w="80" w:type="dxa"/>
              <w:left w:w="100" w:type="dxa"/>
              <w:right w:w="100" w:type="dxa"/>
            </w:tcMar>
          </w:tcPr>
          <w:p>
            <w:pPr>
              <w:jc w:val="center"/>
            </w:pPr>
            <w:r>
              <w:rPr>
                <w:rFonts w:ascii="Calibri" w:hAnsi="Calibri"/>
                <w:color w:val="2D3748"/>
                <w:sz w:val="19"/>
              </w:rPr>
              <w:t>20%</w:t>
            </w:r>
          </w:p>
        </w:tc>
        <w:tc>
          <w:tcPr>
            <w:tcW w:type="dxa" w:w="2484"/>
            <w:shd w:fill="F7FAFC"/>
            <w:tcMar>
              <w:top w:w="80" w:type="dxa"/>
              <w:bottom w:w="80" w:type="dxa"/>
              <w:left w:w="100" w:type="dxa"/>
              <w:right w:w="100" w:type="dxa"/>
            </w:tcMar>
          </w:tcPr>
          <w:p>
            <w:pPr>
              <w:jc w:val="center"/>
            </w:pPr>
            <w:r>
              <w:rPr>
                <w:rFonts w:ascii="Calibri" w:hAnsi="Calibri"/>
                <w:color w:val="2D3748"/>
                <w:sz w:val="19"/>
              </w:rPr>
              <w:t>25%</w:t>
            </w:r>
          </w:p>
        </w:tc>
        <w:tc>
          <w:tcPr>
            <w:tcW w:type="dxa" w:w="2484"/>
            <w:shd w:fill="F7FAFC"/>
            <w:tcMar>
              <w:top w:w="80" w:type="dxa"/>
              <w:bottom w:w="80" w:type="dxa"/>
              <w:left w:w="100" w:type="dxa"/>
              <w:right w:w="100" w:type="dxa"/>
            </w:tcMar>
          </w:tcPr>
          <w:p>
            <w:pPr>
              <w:jc w:val="center"/>
            </w:pPr>
            <w:r>
              <w:rPr>
                <w:rFonts w:ascii="Calibri" w:hAnsi="Calibri"/>
                <w:color w:val="2D3748"/>
                <w:sz w:val="19"/>
              </w:rPr>
              <w:t>+5% (Girls higher)</w:t>
            </w:r>
          </w:p>
        </w:tc>
      </w:tr>
      <w:tr>
        <w:tc>
          <w:tcPr>
            <w:tcW w:type="dxa" w:w="2484"/>
            <w:shd w:fill="FFFFFF"/>
            <w:tcMar>
              <w:top w:w="80" w:type="dxa"/>
              <w:bottom w:w="80" w:type="dxa"/>
              <w:left w:w="100" w:type="dxa"/>
              <w:right w:w="100" w:type="dxa"/>
            </w:tcMar>
          </w:tcPr>
          <w:p>
            <w:r>
              <w:rPr>
                <w:rFonts w:ascii="Calibri" w:hAnsi="Calibri"/>
                <w:b/>
                <w:color w:val="2D3748"/>
                <w:sz w:val="19"/>
              </w:rPr>
              <w:t>Facebooking (Social Media)</w:t>
            </w:r>
          </w:p>
        </w:tc>
        <w:tc>
          <w:tcPr>
            <w:tcW w:type="dxa" w:w="2484"/>
            <w:shd w:fill="FFFFFF"/>
            <w:tcMar>
              <w:top w:w="80" w:type="dxa"/>
              <w:bottom w:w="80" w:type="dxa"/>
              <w:left w:w="100" w:type="dxa"/>
              <w:right w:w="100" w:type="dxa"/>
            </w:tcMar>
          </w:tcPr>
          <w:p>
            <w:pPr>
              <w:jc w:val="center"/>
            </w:pPr>
            <w:r>
              <w:rPr>
                <w:rFonts w:ascii="Calibri" w:hAnsi="Calibri"/>
                <w:color w:val="2D3748"/>
                <w:sz w:val="19"/>
              </w:rPr>
              <w:t>50%</w:t>
            </w:r>
          </w:p>
        </w:tc>
        <w:tc>
          <w:tcPr>
            <w:tcW w:type="dxa" w:w="2484"/>
            <w:shd w:fill="FFFFFF"/>
            <w:tcMar>
              <w:top w:w="80" w:type="dxa"/>
              <w:bottom w:w="80" w:type="dxa"/>
              <w:left w:w="100" w:type="dxa"/>
              <w:right w:w="100" w:type="dxa"/>
            </w:tcMar>
          </w:tcPr>
          <w:p>
            <w:pPr>
              <w:jc w:val="center"/>
            </w:pPr>
            <w:r>
              <w:rPr>
                <w:rFonts w:ascii="Calibri" w:hAnsi="Calibri"/>
                <w:color w:val="2D3748"/>
                <w:sz w:val="19"/>
              </w:rPr>
              <w:t>50%</w:t>
            </w:r>
          </w:p>
        </w:tc>
        <w:tc>
          <w:tcPr>
            <w:tcW w:type="dxa" w:w="2484"/>
            <w:shd w:fill="FFFFFF"/>
            <w:tcMar>
              <w:top w:w="80" w:type="dxa"/>
              <w:bottom w:w="80" w:type="dxa"/>
              <w:left w:w="100" w:type="dxa"/>
              <w:right w:w="100" w:type="dxa"/>
            </w:tcMar>
          </w:tcPr>
          <w:p>
            <w:pPr>
              <w:jc w:val="center"/>
            </w:pPr>
            <w:r>
              <w:rPr>
                <w:rFonts w:ascii="Calibri" w:hAnsi="Calibri"/>
                <w:color w:val="2D3748"/>
                <w:sz w:val="19"/>
              </w:rPr>
              <w:t>0% (Equal preference)</w:t>
            </w:r>
          </w:p>
        </w:tc>
      </w:tr>
      <w:tr>
        <w:tc>
          <w:tcPr>
            <w:tcW w:type="dxa" w:w="2484"/>
            <w:shd w:fill="EDF2F7"/>
            <w:tcMar>
              <w:top w:w="80" w:type="dxa"/>
              <w:bottom w:w="80" w:type="dxa"/>
              <w:left w:w="100" w:type="dxa"/>
              <w:right w:w="100" w:type="dxa"/>
            </w:tcMar>
          </w:tcPr>
          <w:p>
            <w:r>
              <w:rPr>
                <w:rFonts w:ascii="Calibri" w:hAnsi="Calibri"/>
                <w:b/>
                <w:color w:val="2D3748"/>
                <w:sz w:val="19"/>
              </w:rPr>
              <w:t>TOTAL</w:t>
            </w:r>
          </w:p>
        </w:tc>
        <w:tc>
          <w:tcPr>
            <w:tcW w:type="dxa" w:w="2484"/>
            <w:shd w:fill="EDF2F7"/>
            <w:tcMar>
              <w:top w:w="80" w:type="dxa"/>
              <w:bottom w:w="80" w:type="dxa"/>
              <w:left w:w="100" w:type="dxa"/>
              <w:right w:w="100" w:type="dxa"/>
            </w:tcMar>
          </w:tcPr>
          <w:p>
            <w:pPr>
              <w:jc w:val="center"/>
            </w:pPr>
            <w:r>
              <w:rPr>
                <w:rFonts w:ascii="Calibri" w:hAnsi="Calibri"/>
                <w:b/>
                <w:color w:val="2D3748"/>
                <w:sz w:val="19"/>
              </w:rPr>
              <w:t>100%</w:t>
            </w:r>
          </w:p>
        </w:tc>
        <w:tc>
          <w:tcPr>
            <w:tcW w:type="dxa" w:w="2484"/>
            <w:shd w:fill="EDF2F7"/>
            <w:tcMar>
              <w:top w:w="80" w:type="dxa"/>
              <w:bottom w:w="80" w:type="dxa"/>
              <w:left w:w="100" w:type="dxa"/>
              <w:right w:w="100" w:type="dxa"/>
            </w:tcMar>
          </w:tcPr>
          <w:p>
            <w:pPr>
              <w:jc w:val="center"/>
            </w:pPr>
            <w:r>
              <w:rPr>
                <w:rFonts w:ascii="Calibri" w:hAnsi="Calibri"/>
                <w:b/>
                <w:color w:val="2D3748"/>
                <w:sz w:val="19"/>
              </w:rPr>
              <w:t>100%</w:t>
            </w:r>
          </w:p>
        </w:tc>
        <w:tc>
          <w:tcPr>
            <w:tcW w:type="dxa" w:w="2484"/>
            <w:shd w:fill="EDF2F7"/>
            <w:tcMar>
              <w:top w:w="80" w:type="dxa"/>
              <w:bottom w:w="80" w:type="dxa"/>
              <w:left w:w="100" w:type="dxa"/>
              <w:right w:w="100" w:type="dxa"/>
            </w:tcMar>
          </w:tcPr>
          <w:p>
            <w:pPr>
              <w:jc w:val="center"/>
            </w:pPr>
            <w:r>
              <w:rPr>
                <w:rFonts w:ascii="Calibri" w:hAnsi="Calibri"/>
                <w:b/>
                <w:color w:val="2D3748"/>
                <w:sz w:val="19"/>
              </w:rPr>
              <w:t>--</w:t>
            </w:r>
          </w:p>
        </w:tc>
      </w:tr>
    </w:tbl>
    <w:p>
      <w:pPr>
        <w:spacing w:after="200"/>
      </w:pPr>
    </w:p>
    <w:p>
      <w:pPr>
        <w:keepNext/>
        <w:spacing w:before="160" w:after="40"/>
      </w:pPr>
      <w:r>
        <w:rPr>
          <w:rFonts w:ascii="Calibri" w:hAnsi="Calibri"/>
          <w:b/>
          <w:color w:val="2D3748"/>
          <w:sz w:val="22"/>
        </w:rPr>
        <w:t>Key Findings &amp; Detailed Observations</w:t>
      </w:r>
    </w:p>
    <w:p>
      <w:pPr>
        <w:pStyle w:val="ListBullet"/>
        <w:spacing w:after="80" w:line="276" w:lineRule="auto"/>
      </w:pPr>
      <w:r>
        <w:rPr>
          <w:rFonts w:ascii="Calibri" w:hAnsi="Calibri"/>
          <w:b/>
          <w:color w:val="1A365D"/>
          <w:sz w:val="21"/>
        </w:rPr>
        <w:t xml:space="preserve">1. Overwhelming Dominance of Social Media: </w:t>
      </w:r>
      <w:r>
        <w:rPr>
          <w:rFonts w:ascii="Calibri" w:hAnsi="Calibri"/>
          <w:color w:val="2D3748"/>
          <w:sz w:val="21"/>
        </w:rPr>
        <w:t>Facebooking is by far the most dominant leisure activity for both genders, accounting for exactly 50% of total leisure time among both male and female students. This highlights that half of all leisure engagement in the department is dedicated to social media networking.</w:t>
      </w:r>
    </w:p>
    <w:p>
      <w:pPr>
        <w:pStyle w:val="ListBullet"/>
        <w:spacing w:after="80" w:line="276" w:lineRule="auto"/>
      </w:pPr>
      <w:r>
        <w:rPr>
          <w:rFonts w:ascii="Calibri" w:hAnsi="Calibri"/>
          <w:b/>
          <w:color w:val="1A365D"/>
          <w:sz w:val="21"/>
        </w:rPr>
        <w:t xml:space="preserve">2. Computer Gaming Disparity: </w:t>
      </w:r>
      <w:r>
        <w:rPr>
          <w:rFonts w:ascii="Calibri" w:hAnsi="Calibri"/>
          <w:color w:val="2D3748"/>
          <w:sz w:val="21"/>
        </w:rPr>
        <w:t>Computer gaming exhibits a significant gender disparity. Male students (20%) participate in computer gaming at double the rate of female students (10%), indicating a stronger male inclination toward interactive digital gaming.</w:t>
      </w:r>
    </w:p>
    <w:p>
      <w:pPr>
        <w:pStyle w:val="ListBullet"/>
        <w:spacing w:after="80" w:line="276" w:lineRule="auto"/>
      </w:pPr>
      <w:r>
        <w:rPr>
          <w:rFonts w:ascii="Calibri" w:hAnsi="Calibri"/>
          <w:b/>
          <w:color w:val="1A365D"/>
          <w:sz w:val="21"/>
        </w:rPr>
        <w:t xml:space="preserve">3. Music Listening Preferences: </w:t>
      </w:r>
      <w:r>
        <w:rPr>
          <w:rFonts w:ascii="Calibri" w:hAnsi="Calibri"/>
          <w:color w:val="2D3748"/>
          <w:sz w:val="21"/>
        </w:rPr>
        <w:t>Female students show a greater preference for auditory entertainment compared to males, with 25% of girls engaging in music listening compared to 20% of boys.</w:t>
      </w:r>
    </w:p>
    <w:p>
      <w:pPr>
        <w:pStyle w:val="ListBullet"/>
        <w:spacing w:after="80" w:line="276" w:lineRule="auto"/>
      </w:pPr>
      <w:r>
        <w:rPr>
          <w:rFonts w:ascii="Calibri" w:hAnsi="Calibri"/>
          <w:b/>
          <w:color w:val="1A365D"/>
          <w:sz w:val="21"/>
        </w:rPr>
        <w:t xml:space="preserve">4. Literary Engagement: </w:t>
      </w:r>
      <w:r>
        <w:rPr>
          <w:rFonts w:ascii="Calibri" w:hAnsi="Calibri"/>
          <w:color w:val="2D3748"/>
          <w:sz w:val="21"/>
        </w:rPr>
        <w:t>Reading habit participation is higher among female students (15%) than male students (10%), representing a 5% higher inclination toward literary/academic reading among girls.</w:t>
      </w:r>
    </w:p>
    <w:p>
      <w:pPr>
        <w:keepNext/>
        <w:spacing w:before="160" w:after="40"/>
      </w:pPr>
      <w:r>
        <w:rPr>
          <w:rFonts w:ascii="Calibri" w:hAnsi="Calibri"/>
          <w:b/>
          <w:color w:val="2D3748"/>
          <w:sz w:val="22"/>
        </w:rPr>
        <w:t>Summary Conclusion</w:t>
      </w:r>
    </w:p>
    <w:p>
      <w:pPr>
        <w:spacing w:after="120" w:line="276" w:lineRule="auto"/>
      </w:pPr>
      <w:r>
        <w:rPr>
          <w:rFonts w:ascii="Calibri" w:hAnsi="Calibri"/>
          <w:color w:val="2D3748"/>
          <w:sz w:val="21"/>
        </w:rPr>
        <w:t>In summary, social media (Facebooking) represents the non-negotiable primary pastime across both genders in the CSE department. Beyond social media, male students favor gaming twice as much as female students, whereas female students show noticeably higher participation in music (25%) and reading (15%).</w:t>
      </w:r>
    </w:p>
    <w:p>
      <w:pPr>
        <w:spacing w:after="280"/>
      </w:pP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180" w:type="dxa"/>
              <w:right w:w="180" w:type="dxa"/>
            </w:tcMar>
            <w:tcBorders>
              <w:left w:val="single" w:sz="24" w:space="0" w:color="1A365D"/>
              <w:top w:val="none"/>
              <w:right w:val="none"/>
              <w:bottom w:val="none"/>
            </w:tcBorders>
          </w:tcPr>
          <w:p>
            <w:pPr>
              <w:spacing w:after="80"/>
            </w:pPr>
            <w:r>
              <w:rPr>
                <w:rFonts w:ascii="Calibri" w:hAnsi="Calibri"/>
                <w:b/>
                <w:color w:val="1A365D"/>
                <w:sz w:val="22"/>
              </w:rPr>
              <w:t>QUESTION 5 (b) [CO4 | Marks: 4]</w:t>
            </w:r>
          </w:p>
          <w:p>
            <w:pPr>
              <w:spacing w:after="0"/>
            </w:pPr>
            <w:r>
              <w:rPr>
                <w:rFonts w:ascii="Calibri" w:hAnsi="Calibri"/>
                <w:i/>
                <w:color w:val="2D3748"/>
                <w:sz w:val="21"/>
              </w:rPr>
              <w:t>Suppose Department of Computer Science and Engineering is going to recruit a lecturer. Prepare your curriculum vitae with a cover letter for the post. N.B. Use (a), (b), (c), or (x), (y), (z) instead of using names and addresses.</w:t>
            </w:r>
          </w:p>
        </w:tc>
      </w:tr>
    </w:tbl>
    <w:p>
      <w:pPr>
        <w:spacing w:after="160"/>
      </w:pPr>
    </w:p>
    <w:p>
      <w:pPr>
        <w:keepNext/>
        <w:spacing w:before="240" w:after="80"/>
      </w:pPr>
      <w:r>
        <w:rPr>
          <w:rFonts w:ascii="Calibri" w:hAnsi="Calibri"/>
          <w:b/>
          <w:color w:val="2B6CB0"/>
          <w:sz w:val="26"/>
        </w:rPr>
        <w:t>Solution / Answer:</w:t>
      </w:r>
    </w:p>
    <w:tbl>
      <w:tblPr>
        <w:tblW w:type="auto" w:w="0"/>
        <w:jc w:val="center"/>
        <w:tblLayout w:type="fixed"/>
        <w:tblLook w:firstColumn="1" w:firstRow="1" w:lastColumn="0" w:lastRow="0" w:noHBand="0" w:noVBand="1" w:val="04A0"/>
      </w:tblPr>
      <w:tblGrid>
        <w:gridCol w:w="9936"/>
      </w:tblGrid>
      <w:tr>
        <w:tc>
          <w:tcPr>
            <w:tcW w:type="dxa" w:w="9936"/>
            <w:shd w:fill="FFFFFF"/>
            <w:tcMar>
              <w:top w:w="180" w:type="dxa"/>
              <w:bottom w:w="180" w:type="dxa"/>
              <w:left w:w="220" w:type="dxa"/>
              <w:right w:w="220" w:type="dxa"/>
            </w:tcMar>
            <w:tcBorders>
              <w:left w:val="single" w:sz="12" w:space="0" w:color="1A365D"/>
              <w:top w:val="single" w:sz="12" w:space="0" w:color="1A365D"/>
              <w:right w:val="single" w:sz="12" w:space="0" w:color="1A365D"/>
              <w:bottom w:val="single" w:sz="12" w:space="0" w:color="1A365D"/>
            </w:tcBorders>
          </w:tcPr>
          <w:p>
            <w:pPr>
              <w:spacing w:after="160"/>
              <w:jc w:val="center"/>
            </w:pPr>
            <w:r>
              <w:rPr>
                <w:rFonts w:ascii="Calibri" w:hAnsi="Calibri"/>
                <w:b/>
                <w:color w:val="1A365D"/>
                <w:sz w:val="28"/>
              </w:rPr>
              <w:t>COVER LETTER</w:t>
            </w:r>
          </w:p>
          <w:p>
            <w:pPr>
              <w:spacing w:after="80" w:line="276" w:lineRule="auto"/>
            </w:pPr>
            <w:r>
              <w:rPr>
                <w:rFonts w:ascii="Calibri" w:hAnsi="Calibri"/>
                <w:color w:val="2D3748"/>
                <w:sz w:val="19"/>
              </w:rPr>
              <w:t>Date: October 15, 2023</w:t>
              <w:br/>
              <w:t>From: (a) (b) (c)</w:t>
              <w:br/>
              <w:t>Address: (x), (y), (z)</w:t>
              <w:br/>
              <w:t>Email: applicant.x@email.com | Contact: +8801700000000</w:t>
            </w:r>
          </w:p>
          <w:p>
            <w:pPr>
              <w:spacing w:after="80" w:line="276" w:lineRule="auto"/>
            </w:pPr>
            <w:r>
              <w:rPr>
                <w:rFonts w:ascii="Calibri" w:hAnsi="Calibri"/>
                <w:color w:val="2D3748"/>
                <w:sz w:val="19"/>
              </w:rPr>
              <w:t>To</w:t>
              <w:br/>
              <w:t>The Head of the Department</w:t>
              <w:br/>
              <w:t>Department of Computer Science &amp; Engineering (CSE)</w:t>
              <w:br/>
              <w:t>Rajshahi University of Engineering &amp; Technology (RUET)</w:t>
              <w:br/>
              <w:t>Rajshahi-6204, Bangladesh</w:t>
            </w:r>
          </w:p>
          <w:p>
            <w:pPr>
              <w:spacing w:after="80" w:line="276" w:lineRule="auto"/>
            </w:pPr>
            <w:r>
              <w:rPr>
                <w:rFonts w:ascii="Calibri" w:hAnsi="Calibri"/>
                <w:b/>
                <w:color w:val="1A365D"/>
                <w:sz w:val="19"/>
              </w:rPr>
              <w:t>Subject: Application for the Position of Lecturer in Computer Science &amp; Engineering</w:t>
            </w:r>
          </w:p>
          <w:p>
            <w:pPr>
              <w:spacing w:after="80" w:line="276" w:lineRule="auto"/>
            </w:pPr>
            <w:r>
              <w:rPr>
                <w:rFonts w:ascii="Calibri" w:hAnsi="Calibri"/>
                <w:color w:val="2D3748"/>
                <w:sz w:val="19"/>
              </w:rPr>
              <w:t>Dear Sir,</w:t>
            </w:r>
          </w:p>
          <w:p>
            <w:pPr>
              <w:spacing w:after="80" w:line="276" w:lineRule="auto"/>
            </w:pPr>
            <w:r>
              <w:rPr>
                <w:rFonts w:ascii="Calibri" w:hAnsi="Calibri"/>
                <w:color w:val="2D3748"/>
                <w:sz w:val="19"/>
              </w:rPr>
              <w:t>I am writing to formally express my enthusiastic interest in the position of Lecturer in the Department of Computer Science &amp; Engineering at RUET, as advertised recently. Having completed my B.Sc. in Computer Science &amp; Engineering from RUET with an outstanding academic record (CGPA 3.85 out of 4.00, securing 1st Position), I am eager to contribute to the academic and research excellence of this prestigious institution.</w:t>
            </w:r>
          </w:p>
          <w:p>
            <w:pPr>
              <w:spacing w:after="80" w:line="276" w:lineRule="auto"/>
            </w:pPr>
            <w:r>
              <w:rPr>
                <w:rFonts w:ascii="Calibri" w:hAnsi="Calibri"/>
                <w:color w:val="2D3748"/>
                <w:sz w:val="19"/>
              </w:rPr>
              <w:t>During my undergraduate studies, I developed a solid foundation in core computer science disciplines, including Data Structures, Algorithms, Machine Learning, and Software Engineering. My undergraduate thesis focused on deep learning optimizations, resulting in a research paper presented at an international IEEE conference. Additionally, serving as an undergraduate Student Teaching Assistant allowed me to develop effective communication, curriculum delivery, and student mentoring skills.</w:t>
            </w:r>
          </w:p>
          <w:p>
            <w:pPr>
              <w:spacing w:after="80" w:line="276" w:lineRule="auto"/>
            </w:pPr>
            <w:r>
              <w:rPr>
                <w:rFonts w:ascii="Calibri" w:hAnsi="Calibri"/>
                <w:color w:val="2D3748"/>
                <w:sz w:val="19"/>
              </w:rPr>
              <w:t>I am confident that my strong academic credentials, research aptitude, and dedication to education align perfectly with the vision of the CSE department at RUET. I have enclosed my detailed Curriculum Vitae and academic transcripts for your consideration.</w:t>
            </w:r>
          </w:p>
          <w:p>
            <w:pPr>
              <w:spacing w:after="80" w:line="276" w:lineRule="auto"/>
            </w:pPr>
            <w:r>
              <w:rPr>
                <w:rFonts w:ascii="Calibri" w:hAnsi="Calibri"/>
                <w:color w:val="2D3748"/>
                <w:sz w:val="19"/>
              </w:rPr>
              <w:t>Thank you for your time and consideration. I welcome the opportunity to discuss my application in an interview.</w:t>
            </w:r>
          </w:p>
          <w:p>
            <w:pPr>
              <w:spacing w:after="80" w:line="276" w:lineRule="auto"/>
            </w:pPr>
            <w:r>
              <w:rPr>
                <w:rFonts w:ascii="Calibri" w:hAnsi="Calibri"/>
                <w:color w:val="2D3748"/>
                <w:sz w:val="19"/>
              </w:rPr>
              <w:t>Yours faithfully,</w:t>
            </w:r>
          </w:p>
          <w:p>
            <w:pPr>
              <w:spacing w:after="80" w:line="276" w:lineRule="auto"/>
            </w:pPr>
            <w:r>
              <w:rPr>
                <w:rFonts w:ascii="Calibri" w:hAnsi="Calibri"/>
                <w:color w:val="2D3748"/>
                <w:sz w:val="19"/>
              </w:rPr>
              <w:t>(a) (b) (c)</w:t>
            </w:r>
          </w:p>
          <w:p>
            <w:pPr>
              <w:spacing w:after="160"/>
            </w:pPr>
            <w:r>
              <w:rPr>
                <w:color w:val="CBD5E0"/>
              </w:rPr>
              <w:t>――――――――――――――――――――――――――――――――――――――――――――――――――――――――――</w:t>
            </w:r>
          </w:p>
          <w:p>
            <w:pPr>
              <w:spacing w:after="160"/>
              <w:jc w:val="center"/>
            </w:pPr>
            <w:r>
              <w:rPr>
                <w:rFonts w:ascii="Calibri" w:hAnsi="Calibri"/>
                <w:b/>
                <w:color w:val="1A365D"/>
                <w:sz w:val="28"/>
              </w:rPr>
              <w:t>CURRICULUM VITAE OF (a) (b) (c)</w:t>
            </w:r>
          </w:p>
          <w:p>
            <w:pPr>
              <w:spacing w:after="40"/>
            </w:pPr>
            <w:r>
              <w:rPr>
                <w:rFonts w:ascii="Calibri" w:hAnsi="Calibri"/>
                <w:b/>
                <w:color w:val="1A365D"/>
                <w:sz w:val="21"/>
              </w:rPr>
              <w:t>Personal Information</w:t>
              <w:br/>
            </w:r>
            <w:r>
              <w:rPr>
                <w:rFonts w:ascii="Calibri" w:hAnsi="Calibri"/>
                <w:color w:val="2D3748"/>
                <w:sz w:val="19"/>
              </w:rPr>
              <w:t>• Full Name: (a) (b) (c)</w:t>
              <w:br/>
              <w:t>• Permanent Address: (x), (y), (z)</w:t>
              <w:br/>
              <w:t>• Nationality: Bangladeshi | Religion: (x)</w:t>
              <w:br/>
              <w:t>• Contact: +8801700000000 | Email: applicant.x@email.com</w:t>
            </w:r>
          </w:p>
          <w:p>
            <w:pPr>
              <w:spacing w:after="40"/>
            </w:pPr>
            <w:r>
              <w:rPr>
                <w:rFonts w:ascii="Calibri" w:hAnsi="Calibri"/>
                <w:b/>
                <w:color w:val="1A365D"/>
                <w:sz w:val="21"/>
              </w:rPr>
              <w:t>Career Objective</w:t>
              <w:br/>
            </w:r>
            <w:r>
              <w:rPr>
                <w:rFonts w:ascii="Calibri" w:hAnsi="Calibri"/>
                <w:color w:val="2D3748"/>
                <w:sz w:val="19"/>
              </w:rPr>
              <w:t>To secure a Lecturer position in the Department of CSE at RUET, utilizing strong technical expertise, academic rigor, and research capabilities to educate future engineers and conduct high-impact technological research.</w:t>
            </w:r>
          </w:p>
          <w:p>
            <w:pPr>
              <w:spacing w:after="40"/>
            </w:pPr>
            <w:r>
              <w:rPr>
                <w:rFonts w:ascii="Calibri" w:hAnsi="Calibri"/>
                <w:b/>
                <w:color w:val="1A365D"/>
                <w:sz w:val="21"/>
              </w:rPr>
              <w:t>Academic Qualifications</w:t>
              <w:br/>
            </w:r>
            <w:r>
              <w:rPr>
                <w:rFonts w:ascii="Calibri" w:hAnsi="Calibri"/>
                <w:color w:val="2D3748"/>
                <w:sz w:val="19"/>
              </w:rPr>
              <w:t>1. B.Sc. in Computer Science &amp; Engineering (CSE)</w:t>
              <w:br/>
              <w:t xml:space="preserve">   - Institution: Rajshahi University of Engineering &amp; Technology (RUET)</w:t>
              <w:br/>
              <w:t xml:space="preserve">   - Graduation Year: 2022 | CGPA: 3.85 / 4.00 (1st Merit Position)</w:t>
              <w:br/>
              <w:t>2. Higher Secondary Certificate (HSC)</w:t>
              <w:br/>
              <w:t xml:space="preserve">   - College: (y) College | Passing Year: 2017 | GPA: 5.00 / 5.00</w:t>
              <w:br/>
              <w:t>3. Secondary School Certificate (SSC)</w:t>
              <w:br/>
              <w:t xml:space="preserve">   - School: (z) School | Passing Year: 2015 | GPA: 5.00 / 5.00</w:t>
            </w:r>
          </w:p>
          <w:p>
            <w:pPr>
              <w:spacing w:after="40"/>
            </w:pPr>
            <w:r>
              <w:rPr>
                <w:rFonts w:ascii="Calibri" w:hAnsi="Calibri"/>
                <w:b/>
                <w:color w:val="1A365D"/>
                <w:sz w:val="21"/>
              </w:rPr>
              <w:t>Research &amp; Publications</w:t>
              <w:br/>
            </w:r>
            <w:r>
              <w:rPr>
                <w:rFonts w:ascii="Calibri" w:hAnsi="Calibri"/>
                <w:color w:val="2D3748"/>
                <w:sz w:val="19"/>
              </w:rPr>
              <w:t>• Undergraduate Thesis: 'Deep Neural Network Optimization for Medical Image Analysis'.</w:t>
              <w:br/>
              <w:t>• Conference Publication: (a), (b), (c), 'Optimized Convolutional Networks for Healthcare', Proceedings of IEEE ICCIT 2022.</w:t>
            </w:r>
          </w:p>
          <w:p>
            <w:pPr>
              <w:spacing w:after="40"/>
            </w:pPr>
            <w:r>
              <w:rPr>
                <w:rFonts w:ascii="Calibri" w:hAnsi="Calibri"/>
                <w:b/>
                <w:color w:val="1A365D"/>
                <w:sz w:val="21"/>
              </w:rPr>
              <w:t>Technical &amp; Programming Skills</w:t>
              <w:br/>
            </w:r>
            <w:r>
              <w:rPr>
                <w:rFonts w:ascii="Calibri" w:hAnsi="Calibri"/>
                <w:color w:val="2D3748"/>
                <w:sz w:val="19"/>
              </w:rPr>
              <w:t>• Programming Languages: C, C++, Python, Java, SQL, Dart.</w:t>
              <w:br/>
              <w:t>• Frameworks &amp; Tools: PyTorch, TensorFlow, Django, Flutter, Git, Linux, LaTeX.</w:t>
            </w:r>
          </w:p>
          <w:p>
            <w:pPr>
              <w:spacing w:after="40"/>
            </w:pPr>
            <w:r>
              <w:rPr>
                <w:rFonts w:ascii="Calibri" w:hAnsi="Calibri"/>
                <w:b/>
                <w:color w:val="1A365D"/>
                <w:sz w:val="21"/>
              </w:rPr>
              <w:t>Academic Honors &amp; Awards</w:t>
              <w:br/>
            </w:r>
            <w:r>
              <w:rPr>
                <w:rFonts w:ascii="Calibri" w:hAnsi="Calibri"/>
                <w:color w:val="2D3748"/>
                <w:sz w:val="19"/>
              </w:rPr>
              <w:t>• University Gold Medalist for Highest CGPA in B.Sc. Engineering Class of 2022.</w:t>
              <w:br/>
              <w:t>• Dean's Honor Award in all four academic years at RUET.</w:t>
            </w:r>
          </w:p>
          <w:p>
            <w:pPr>
              <w:spacing w:after="40"/>
            </w:pPr>
            <w:r>
              <w:rPr>
                <w:rFonts w:ascii="Calibri" w:hAnsi="Calibri"/>
                <w:b/>
                <w:color w:val="1A365D"/>
                <w:sz w:val="21"/>
              </w:rPr>
              <w:t>References</w:t>
              <w:br/>
            </w:r>
            <w:r>
              <w:rPr>
                <w:rFonts w:ascii="Calibri" w:hAnsi="Calibri"/>
                <w:color w:val="2D3748"/>
                <w:sz w:val="19"/>
              </w:rPr>
              <w:t>1. Prof. Dr. (x), Head of Department, CSE, RUET.</w:t>
              <w:br/>
              <w:t>2. Prof. Dr. (y), Department of CSE, RUET.</w:t>
            </w:r>
          </w:p>
        </w:tc>
      </w:tr>
    </w:tbl>
    <w:p>
      <w:pPr>
        <w:spacing w:after="280"/>
      </w:pP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180" w:type="dxa"/>
              <w:right w:w="180" w:type="dxa"/>
            </w:tcMar>
            <w:tcBorders>
              <w:left w:val="single" w:sz="24" w:space="0" w:color="1A365D"/>
              <w:top w:val="none"/>
              <w:right w:val="none"/>
              <w:bottom w:val="none"/>
            </w:tcBorders>
          </w:tcPr>
          <w:p>
            <w:pPr>
              <w:spacing w:after="80"/>
            </w:pPr>
            <w:r>
              <w:rPr>
                <w:rFonts w:ascii="Calibri" w:hAnsi="Calibri"/>
                <w:b/>
                <w:color w:val="1A365D"/>
                <w:sz w:val="22"/>
              </w:rPr>
              <w:t>QUESTION 6 (a) [CO4 | Marks: 5]</w:t>
            </w:r>
          </w:p>
          <w:p>
            <w:pPr>
              <w:spacing w:after="0"/>
            </w:pPr>
            <w:r>
              <w:rPr>
                <w:rFonts w:ascii="Calibri" w:hAnsi="Calibri"/>
                <w:i/>
                <w:color w:val="2D3748"/>
                <w:sz w:val="21"/>
              </w:rPr>
              <w:t>You recently purchased an HP Deskjet 200 printer from Rayans Computer, the Sole Hewlett-Packard dealers in Rajshahi, to use with your newly purchased personal computer. The print quality is now poor, and the ink nozzles of the print cartridge are frequently clogged. The printer comes with a one year warranty against any technical problems. Now write a letter to the dealer complaining about the problem and replaced it.</w:t>
            </w:r>
          </w:p>
        </w:tc>
      </w:tr>
    </w:tbl>
    <w:p>
      <w:pPr>
        <w:spacing w:after="160"/>
      </w:pPr>
    </w:p>
    <w:p>
      <w:pPr>
        <w:keepNext/>
        <w:spacing w:before="240" w:after="80"/>
      </w:pPr>
      <w:r>
        <w:rPr>
          <w:rFonts w:ascii="Calibri" w:hAnsi="Calibri"/>
          <w:b/>
          <w:color w:val="2B6CB0"/>
          <w:sz w:val="26"/>
        </w:rPr>
        <w:t>Solution / Answer:</w:t>
      </w:r>
    </w:p>
    <w:tbl>
      <w:tblPr>
        <w:tblW w:type="auto" w:w="0"/>
        <w:jc w:val="center"/>
        <w:tblLayout w:type="fixed"/>
        <w:tblLook w:firstColumn="1" w:firstRow="1" w:lastColumn="0" w:lastRow="0" w:noHBand="0" w:noVBand="1" w:val="04A0"/>
      </w:tblPr>
      <w:tblGrid>
        <w:gridCol w:w="9936"/>
      </w:tblGrid>
      <w:tr>
        <w:tc>
          <w:tcPr>
            <w:tcW w:type="dxa" w:w="9936"/>
            <w:shd w:fill="FFFFFF"/>
            <w:tcMar>
              <w:top w:w="180" w:type="dxa"/>
              <w:bottom w:w="180" w:type="dxa"/>
              <w:left w:w="220" w:type="dxa"/>
              <w:right w:w="220" w:type="dxa"/>
            </w:tcMar>
            <w:tcBorders>
              <w:left w:val="single" w:sz="12" w:space="0" w:color="1A365D"/>
              <w:top w:val="single" w:sz="12" w:space="0" w:color="1A365D"/>
              <w:right w:val="single" w:sz="12" w:space="0" w:color="1A365D"/>
              <w:bottom w:val="single" w:sz="12" w:space="0" w:color="1A365D"/>
            </w:tcBorders>
          </w:tcPr>
          <w:p/>
          <w:p>
            <w:pPr>
              <w:spacing w:after="80" w:line="276" w:lineRule="auto"/>
            </w:pPr>
            <w:r>
              <w:rPr>
                <w:rFonts w:ascii="Calibri" w:hAnsi="Calibri"/>
                <w:color w:val="2D3748"/>
                <w:sz w:val="19"/>
              </w:rPr>
              <w:t>Date: October 15, 2023</w:t>
            </w:r>
          </w:p>
          <w:p>
            <w:pPr>
              <w:spacing w:after="80" w:line="276" w:lineRule="auto"/>
            </w:pPr>
            <w:r>
              <w:rPr>
                <w:rFonts w:ascii="Calibri" w:hAnsi="Calibri"/>
                <w:color w:val="2D3748"/>
                <w:sz w:val="19"/>
              </w:rPr>
              <w:t>To</w:t>
              <w:br/>
              <w:t>The Branch Manager</w:t>
              <w:br/>
              <w:t>Rayans Computer (Sole HP Dealer)</w:t>
              <w:br/>
              <w:t>Rajshahi Branch, Rajshahi, Bangladesh</w:t>
            </w:r>
          </w:p>
          <w:p>
            <w:pPr>
              <w:spacing w:after="80" w:line="276" w:lineRule="auto"/>
            </w:pPr>
            <w:r>
              <w:rPr>
                <w:rFonts w:ascii="Calibri" w:hAnsi="Calibri"/>
                <w:b/>
                <w:color w:val="1A365D"/>
                <w:sz w:val="19"/>
              </w:rPr>
              <w:t>Subject: Complaint Regarding Defective HP Deskjet 200 Printer (Invoice No: RC-2023-8941) and Request for Replacement under Warranty</w:t>
            </w:r>
          </w:p>
          <w:p>
            <w:pPr>
              <w:spacing w:after="80" w:line="276" w:lineRule="auto"/>
            </w:pPr>
            <w:r>
              <w:rPr>
                <w:rFonts w:ascii="Calibri" w:hAnsi="Calibri"/>
                <w:color w:val="2D3748"/>
                <w:sz w:val="19"/>
              </w:rPr>
              <w:t>Dear Sir/Madam,</w:t>
            </w:r>
          </w:p>
          <w:p>
            <w:pPr>
              <w:spacing w:after="80" w:line="276" w:lineRule="auto"/>
            </w:pPr>
            <w:r>
              <w:rPr>
                <w:rFonts w:ascii="Calibri" w:hAnsi="Calibri"/>
                <w:color w:val="2D3748"/>
                <w:sz w:val="19"/>
              </w:rPr>
              <w:t>I am writing to express my extreme dissatisfaction regarding an HP Deskjet 200 printer that I purchased from your Rajshahi showroom on August 10, 2023, under Invoice No. RC-2023-8941, intended for use with my personal computer. The printer was sold with a one-year comprehensive manufacturer warranty against technical and hardware defects.</w:t>
            </w:r>
          </w:p>
          <w:p>
            <w:pPr>
              <w:spacing w:after="80" w:line="276" w:lineRule="auto"/>
            </w:pPr>
            <w:r>
              <w:rPr>
                <w:rFonts w:ascii="Calibri" w:hAnsi="Calibri"/>
                <w:color w:val="2D3748"/>
                <w:sz w:val="19"/>
              </w:rPr>
              <w:t>Regrettably, the printer has developed severe operational defects over the past two weeks. The overall print output quality has degraded significantly, producing streaked, faint, and unreadable documents. Furthermore, the ink nozzles of the print cartridge suffer from frequent, severe clogging. Despite running automated head-cleaning cycles and following all standard maintenance protocols recommended in the HP manual, the nozzle clogging persists, rendering the device completely unusable.</w:t>
            </w:r>
          </w:p>
          <w:p>
            <w:pPr>
              <w:spacing w:after="80" w:line="276" w:lineRule="auto"/>
            </w:pPr>
            <w:r>
              <w:rPr>
                <w:rFonts w:ascii="Calibri" w:hAnsi="Calibri"/>
                <w:color w:val="2D3748"/>
                <w:sz w:val="19"/>
              </w:rPr>
              <w:t>As the printer is well within its one-year warranty period, I request you to kindly arrange for an immediate replacement of this defective printer with a brand-new, fully functional HP Deskjet 200 unit.</w:t>
            </w:r>
          </w:p>
          <w:p>
            <w:pPr>
              <w:spacing w:after="80" w:line="276" w:lineRule="auto"/>
            </w:pPr>
            <w:r>
              <w:rPr>
                <w:rFonts w:ascii="Calibri" w:hAnsi="Calibri"/>
                <w:color w:val="2D3748"/>
                <w:sz w:val="19"/>
              </w:rPr>
              <w:t>I have attached copies of the original cash memo, invoice, and official warranty card for your immediate verification. I appreciate your prompt attention to this matter and look forward to your quick confirmation of replacement.</w:t>
            </w:r>
          </w:p>
          <w:p>
            <w:pPr>
              <w:spacing w:after="80" w:line="276" w:lineRule="auto"/>
            </w:pPr>
            <w:r>
              <w:rPr>
                <w:rFonts w:ascii="Calibri" w:hAnsi="Calibri"/>
                <w:color w:val="2D3748"/>
                <w:sz w:val="19"/>
              </w:rPr>
              <w:t>Yours faithfully,</w:t>
            </w:r>
          </w:p>
          <w:p>
            <w:pPr>
              <w:spacing w:after="80" w:line="276" w:lineRule="auto"/>
            </w:pPr>
            <w:r>
              <w:rPr>
                <w:rFonts w:ascii="Calibri" w:hAnsi="Calibri"/>
                <w:color w:val="2D3748"/>
                <w:sz w:val="19"/>
              </w:rPr>
              <w:t>Md. Al-Amin Khan</w:t>
              <w:br/>
              <w:t>Kazihata, Rajshahi</w:t>
              <w:br/>
              <w:t>Contact: +8801711122233</w:t>
            </w:r>
          </w:p>
        </w:tc>
      </w:tr>
    </w:tbl>
    <w:p>
      <w:pPr>
        <w:spacing w:after="280"/>
      </w:pP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180" w:type="dxa"/>
              <w:right w:w="180" w:type="dxa"/>
            </w:tcMar>
            <w:tcBorders>
              <w:left w:val="single" w:sz="24" w:space="0" w:color="1A365D"/>
              <w:top w:val="none"/>
              <w:right w:val="none"/>
              <w:bottom w:val="none"/>
            </w:tcBorders>
          </w:tcPr>
          <w:p>
            <w:pPr>
              <w:spacing w:after="80"/>
            </w:pPr>
            <w:r>
              <w:rPr>
                <w:rFonts w:ascii="Calibri" w:hAnsi="Calibri"/>
                <w:b/>
                <w:color w:val="1A365D"/>
                <w:sz w:val="22"/>
              </w:rPr>
              <w:t>QUESTION 6 (b) [CO4 | Marks: 5]</w:t>
            </w:r>
          </w:p>
          <w:p>
            <w:pPr>
              <w:spacing w:after="0"/>
            </w:pPr>
            <w:r>
              <w:rPr>
                <w:rFonts w:ascii="Calibri" w:hAnsi="Calibri"/>
                <w:i/>
                <w:color w:val="2D3748"/>
                <w:sz w:val="21"/>
              </w:rPr>
              <w:t>Email plays an essential role when it comes to approaching a professor for funding and research supervision. The context of your email is the first impression you will give the professor...</w:t>
              <w:br/>
              <w:t>Write an email to your potential professor that can increase your chances of selection for the specific position in the professor's lab or research group. Your email should have: i) Subject line, ii) Greetings, iii) First paragraph, iv) Second paragraph, v) Third paragraph, vi) End email with a formal acknowledgement.</w:t>
            </w:r>
          </w:p>
        </w:tc>
      </w:tr>
    </w:tbl>
    <w:p>
      <w:pPr>
        <w:spacing w:after="160"/>
      </w:pPr>
    </w:p>
    <w:p>
      <w:pPr>
        <w:keepNext/>
        <w:spacing w:before="240" w:after="80"/>
      </w:pPr>
      <w:r>
        <w:rPr>
          <w:rFonts w:ascii="Calibri" w:hAnsi="Calibri"/>
          <w:b/>
          <w:color w:val="2B6CB0"/>
          <w:sz w:val="26"/>
        </w:rPr>
        <w:t>Solution / Answer:</w:t>
      </w:r>
    </w:p>
    <w:tbl>
      <w:tblPr>
        <w:tblW w:type="auto" w:w="0"/>
        <w:jc w:val="center"/>
        <w:tblLayout w:type="fixed"/>
        <w:tblLook w:firstColumn="1" w:firstRow="1" w:lastColumn="0" w:lastRow="0" w:noHBand="0" w:noVBand="1" w:val="04A0"/>
      </w:tblPr>
      <w:tblGrid>
        <w:gridCol w:w="9936"/>
      </w:tblGrid>
      <w:tr>
        <w:tc>
          <w:tcPr>
            <w:tcW w:type="dxa" w:w="9936"/>
            <w:shd w:fill="F7FAFC"/>
            <w:tcMar>
              <w:top w:w="160" w:type="dxa"/>
              <w:bottom w:w="160" w:type="dxa"/>
              <w:left w:w="200" w:type="dxa"/>
              <w:right w:w="200" w:type="dxa"/>
            </w:tcMar>
            <w:tcBorders>
              <w:left w:val="single" w:sz="18" w:space="0" w:color="1A365D"/>
              <w:top w:val="none"/>
              <w:right w:val="none"/>
              <w:bottom w:val="none"/>
            </w:tcBorders>
          </w:tcPr>
          <w:p/>
          <w:p>
            <w:pPr>
              <w:spacing w:after="80" w:line="276" w:lineRule="auto"/>
            </w:pPr>
            <w:r>
              <w:rPr>
                <w:rFonts w:ascii="Calibri" w:hAnsi="Calibri"/>
                <w:b/>
                <w:color w:val="1A365D"/>
                <w:sz w:val="20"/>
              </w:rPr>
              <w:t>i) Subject Line:</w:t>
              <w:br/>
            </w:r>
            <w:r>
              <w:rPr>
                <w:rFonts w:ascii="Calibri" w:hAnsi="Calibri"/>
                <w:color w:val="2D3748"/>
                <w:sz w:val="19"/>
              </w:rPr>
              <w:t>Prospective M.Sc. Student / Research Assistantship Inquiry – Fall 2024</w:t>
            </w:r>
          </w:p>
          <w:p>
            <w:pPr>
              <w:spacing w:after="80" w:line="276" w:lineRule="auto"/>
            </w:pPr>
            <w:r>
              <w:rPr>
                <w:rFonts w:ascii="Calibri" w:hAnsi="Calibri"/>
                <w:b/>
                <w:color w:val="1A365D"/>
                <w:sz w:val="20"/>
              </w:rPr>
              <w:t>ii) Greetings:</w:t>
              <w:br/>
            </w:r>
            <w:r>
              <w:rPr>
                <w:rFonts w:ascii="Calibri" w:hAnsi="Calibri"/>
                <w:color w:val="2D3748"/>
                <w:sz w:val="19"/>
              </w:rPr>
              <w:t>Dear Professor Dr. Andrew Zhang,</w:t>
            </w:r>
          </w:p>
          <w:p>
            <w:pPr>
              <w:spacing w:after="80" w:line="276" w:lineRule="auto"/>
            </w:pPr>
            <w:r>
              <w:rPr>
                <w:rFonts w:ascii="Calibri" w:hAnsi="Calibri"/>
                <w:b/>
                <w:color w:val="1A365D"/>
                <w:sz w:val="20"/>
              </w:rPr>
              <w:t>iii) First Paragraph (Introduction &amp; Purpose):</w:t>
              <w:br/>
            </w:r>
            <w:r>
              <w:rPr>
                <w:rFonts w:ascii="Calibri" w:hAnsi="Calibri"/>
                <w:color w:val="2D3748"/>
                <w:sz w:val="19"/>
              </w:rPr>
              <w:t>I hope this email finds you well. My name is Md. Al-Amin, and I recently graduated with a B.Sc. in Computer Science &amp; Engineering from Rajshahi University of Engineering &amp; Technology (RUET), Bangladesh, achieving a CGPA of 3.85 out of 4.00 (ranking 1st in my class). I am writing to express my strong interest in pursuing an M.Sc. degree under your supervision and to inquire about open Graduate Research Assistantship (GRA) positions in your Intelligent Systems Laboratory for Fall 2024.</w:t>
            </w:r>
          </w:p>
          <w:p>
            <w:pPr>
              <w:spacing w:after="80" w:line="276" w:lineRule="auto"/>
            </w:pPr>
            <w:r>
              <w:rPr>
                <w:rFonts w:ascii="Calibri" w:hAnsi="Calibri"/>
                <w:b/>
                <w:color w:val="1A365D"/>
                <w:sz w:val="20"/>
              </w:rPr>
              <w:t>iv) Second Paragraph (Academic Background &amp; Relevant Skills):</w:t>
              <w:br/>
            </w:r>
            <w:r>
              <w:rPr>
                <w:rFonts w:ascii="Calibri" w:hAnsi="Calibri"/>
                <w:color w:val="2D3748"/>
                <w:sz w:val="19"/>
              </w:rPr>
              <w:t>Throughout my undergraduate program, I developed robust technical expertise in Machine Learning, Computer Vision, and Deep Neural Networks. My senior capstone thesis focused on developing lightweight convolutional networks for automated medical image segmentation, which resulted in a first-authored paper published in the proceedings of IEEE ICCIT 2022. Additionally, I possess strong programming proficiency in Python, PyTorch, C++, and OpenCV, along with experience in managing cloud-based GPU clusters.</w:t>
            </w:r>
          </w:p>
          <w:p>
            <w:pPr>
              <w:spacing w:after="80" w:line="276" w:lineRule="auto"/>
            </w:pPr>
            <w:r>
              <w:rPr>
                <w:rFonts w:ascii="Calibri" w:hAnsi="Calibri"/>
                <w:b/>
                <w:color w:val="1A365D"/>
                <w:sz w:val="20"/>
              </w:rPr>
              <w:t>v) Third Paragraph (Alignment with Research Group &amp; Proposed Contribution):</w:t>
              <w:br/>
            </w:r>
            <w:r>
              <w:rPr>
                <w:rFonts w:ascii="Calibri" w:hAnsi="Calibri"/>
                <w:color w:val="2D3748"/>
                <w:sz w:val="19"/>
              </w:rPr>
              <w:t>I have followed your lab's recent publications with great enthusiasm, particularly your work on transformer-based architectures for biomedical signal analysis published in IEEE TPAMI. My background in optimization algorithms and medical imaging directly aligns with your current project goals. I am confident that my strong mathematical foundation and research dedication would enable me to make immediate, meaningful contributions to your research team.</w:t>
            </w:r>
          </w:p>
          <w:p>
            <w:pPr>
              <w:spacing w:after="80" w:line="276" w:lineRule="auto"/>
            </w:pPr>
            <w:r>
              <w:rPr>
                <w:rFonts w:ascii="Calibri" w:hAnsi="Calibri"/>
                <w:b/>
                <w:color w:val="1A365D"/>
                <w:sz w:val="20"/>
              </w:rPr>
              <w:t>vi) Formal Acknowledgement &amp; Closing Sign-off:</w:t>
              <w:br/>
            </w:r>
            <w:r>
              <w:rPr>
                <w:rFonts w:ascii="Calibri" w:hAnsi="Calibri"/>
                <w:color w:val="2D3748"/>
                <w:sz w:val="19"/>
              </w:rPr>
              <w:t>I have attached my Curriculum Vitae, academic transcripts, and a copy of my IEEE publication to this email for your review. I would welcome the opportunity to discuss my qualifications and potential research projects with you in a brief Zoom interview. Thank you very much for your time, consideration, and guidance.</w:t>
              <w:br/>
              <w:br/>
              <w:t>Sincerely,</w:t>
              <w:br/>
              <w:t>Md. Al-Amin</w:t>
              <w:br/>
              <w:t>B.Sc. in Computer Science &amp; Engineering</w:t>
              <w:br/>
              <w:t>Rajshahi University of Engineering &amp; Technology (RUET)</w:t>
              <w:br/>
              <w:t>Email: alamin.cse@ruet.ac.bd | Mobile: +8801700000000</w:t>
            </w:r>
          </w:p>
        </w:tc>
      </w:tr>
    </w:tbl>
    <w:p>
      <w:pPr>
        <w:spacing w:after="280"/>
      </w:pP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180" w:type="dxa"/>
              <w:right w:w="180" w:type="dxa"/>
            </w:tcMar>
            <w:tcBorders>
              <w:left w:val="single" w:sz="24" w:space="0" w:color="1A365D"/>
              <w:top w:val="none"/>
              <w:right w:val="none"/>
              <w:bottom w:val="none"/>
            </w:tcBorders>
          </w:tcPr>
          <w:p>
            <w:pPr>
              <w:spacing w:after="80"/>
            </w:pPr>
            <w:r>
              <w:rPr>
                <w:rFonts w:ascii="Calibri" w:hAnsi="Calibri"/>
                <w:b/>
                <w:color w:val="1A365D"/>
                <w:sz w:val="22"/>
              </w:rPr>
              <w:t>QUESTION 7 (a) [CO4 | Marks: 3]</w:t>
            </w:r>
          </w:p>
          <w:p>
            <w:pPr>
              <w:spacing w:after="0"/>
            </w:pPr>
            <w:r>
              <w:rPr>
                <w:rFonts w:ascii="Calibri" w:hAnsi="Calibri"/>
                <w:i/>
                <w:color w:val="2D3748"/>
                <w:sz w:val="21"/>
              </w:rPr>
              <w:t>Discuss verbal communication in detail.</w:t>
            </w:r>
          </w:p>
        </w:tc>
      </w:tr>
    </w:tbl>
    <w:p>
      <w:pPr>
        <w:spacing w:after="160"/>
      </w:pPr>
    </w:p>
    <w:p>
      <w:pPr>
        <w:keepNext/>
        <w:spacing w:before="240" w:after="80"/>
      </w:pPr>
      <w:r>
        <w:rPr>
          <w:rFonts w:ascii="Calibri" w:hAnsi="Calibri"/>
          <w:b/>
          <w:color w:val="2B6CB0"/>
          <w:sz w:val="26"/>
        </w:rPr>
        <w:t>Solution / Answer:</w:t>
      </w:r>
    </w:p>
    <w:p>
      <w:pPr>
        <w:spacing w:after="120" w:line="276" w:lineRule="auto"/>
      </w:pPr>
      <w:r>
        <w:rPr>
          <w:rFonts w:ascii="Calibri" w:hAnsi="Calibri"/>
          <w:color w:val="2D3748"/>
          <w:sz w:val="21"/>
        </w:rPr>
        <w:t>Verbal communication refers to the sharing of information, ideas, thoughts, and feelings between individuals using spoken or written words and linguistic symbols. It forms the backbone of human social and professional interactions.</w:t>
      </w:r>
    </w:p>
    <w:p>
      <w:pPr>
        <w:keepNext/>
        <w:spacing w:before="160" w:after="40"/>
      </w:pPr>
      <w:r>
        <w:rPr>
          <w:rFonts w:ascii="Calibri" w:hAnsi="Calibri"/>
          <w:b/>
          <w:color w:val="2D3748"/>
          <w:sz w:val="22"/>
        </w:rPr>
        <w:t>1. Primary Channels of Verbal Communication</w:t>
      </w:r>
    </w:p>
    <w:p>
      <w:pPr>
        <w:pStyle w:val="ListBullet"/>
        <w:spacing w:after="80" w:line="276" w:lineRule="auto"/>
      </w:pPr>
      <w:r>
        <w:rPr>
          <w:rFonts w:ascii="Calibri" w:hAnsi="Calibri"/>
          <w:b/>
          <w:color w:val="1A365D"/>
          <w:sz w:val="21"/>
        </w:rPr>
        <w:t xml:space="preserve">Oral Communication: </w:t>
      </w:r>
      <w:r>
        <w:rPr>
          <w:rFonts w:ascii="Calibri" w:hAnsi="Calibri"/>
          <w:color w:val="2D3748"/>
          <w:sz w:val="21"/>
        </w:rPr>
        <w:t>Communication carried out through spoken words during face-to-face interactions, telephone calls, lectures, viva voce, group discussions, and video conferences.</w:t>
        <w:br/>
        <w:t xml:space="preserve">  - Key Advantages: Provides immediate feedback, allows vocal modulation (pitch, tone, volume), and incorporates immediate non-verbal cues.</w:t>
        <w:br/>
        <w:t xml:space="preserve">  - Limitations: Ephemeral nature (transient) unless explicitly recorded.</w:t>
      </w:r>
    </w:p>
    <w:p>
      <w:pPr>
        <w:pStyle w:val="ListBullet"/>
        <w:spacing w:after="80" w:line="276" w:lineRule="auto"/>
      </w:pPr>
      <w:r>
        <w:rPr>
          <w:rFonts w:ascii="Calibri" w:hAnsi="Calibri"/>
          <w:b/>
          <w:color w:val="1A365D"/>
          <w:sz w:val="21"/>
        </w:rPr>
        <w:t xml:space="preserve">Written Communication: </w:t>
      </w:r>
      <w:r>
        <w:rPr>
          <w:rFonts w:ascii="Calibri" w:hAnsi="Calibri"/>
          <w:color w:val="2D3748"/>
          <w:sz w:val="21"/>
        </w:rPr>
        <w:t>Communication transmitted through printed or digital textual symbols, such as technical reports, research papers, emails, memorandum, and formal letters.</w:t>
        <w:br/>
        <w:t xml:space="preserve">  - Key Advantages: Creates a permanent, legally binding record and allows precise structural organization.</w:t>
        <w:br/>
        <w:t xml:space="preserve">  - Limitations: Lack of immediate feedback and absence of vocal inflection cues.</w:t>
      </w:r>
    </w:p>
    <w:p>
      <w:pPr>
        <w:keepNext/>
        <w:spacing w:before="160" w:after="40"/>
      </w:pPr>
      <w:r>
        <w:rPr>
          <w:rFonts w:ascii="Calibri" w:hAnsi="Calibri"/>
          <w:b/>
          <w:color w:val="2D3748"/>
          <w:sz w:val="22"/>
        </w:rPr>
        <w:t>2. Essential Components of Effective Verbal Communication</w:t>
      </w:r>
    </w:p>
    <w:p>
      <w:pPr>
        <w:pStyle w:val="ListBullet"/>
        <w:spacing w:after="80" w:line="276" w:lineRule="auto"/>
      </w:pPr>
      <w:r>
        <w:rPr>
          <w:rFonts w:ascii="Calibri" w:hAnsi="Calibri"/>
          <w:b/>
          <w:color w:val="1A365D"/>
          <w:sz w:val="21"/>
        </w:rPr>
        <w:t xml:space="preserve">• Clarity: </w:t>
      </w:r>
      <w:r>
        <w:rPr>
          <w:rFonts w:ascii="Calibri" w:hAnsi="Calibri"/>
          <w:color w:val="2D3748"/>
          <w:sz w:val="21"/>
        </w:rPr>
        <w:t>Using precise, simple, and unambiguous vocabulary.</w:t>
      </w:r>
    </w:p>
    <w:p>
      <w:pPr>
        <w:pStyle w:val="ListBullet"/>
        <w:spacing w:after="80" w:line="276" w:lineRule="auto"/>
      </w:pPr>
      <w:r>
        <w:rPr>
          <w:rFonts w:ascii="Calibri" w:hAnsi="Calibri"/>
          <w:b/>
          <w:color w:val="1A365D"/>
          <w:sz w:val="21"/>
        </w:rPr>
        <w:t xml:space="preserve">• Conciseness: </w:t>
      </w:r>
      <w:r>
        <w:rPr>
          <w:rFonts w:ascii="Calibri" w:hAnsi="Calibri"/>
          <w:color w:val="2D3748"/>
          <w:sz w:val="21"/>
        </w:rPr>
        <w:t>Delivering the core message directly without unnecessary wordiness.</w:t>
      </w:r>
    </w:p>
    <w:p>
      <w:pPr>
        <w:pStyle w:val="ListBullet"/>
        <w:spacing w:after="80" w:line="276" w:lineRule="auto"/>
      </w:pPr>
      <w:r>
        <w:rPr>
          <w:rFonts w:ascii="Calibri" w:hAnsi="Calibri"/>
          <w:b/>
          <w:color w:val="1A365D"/>
          <w:sz w:val="21"/>
        </w:rPr>
        <w:t xml:space="preserve">• Vocal Pitch &amp; Tone: </w:t>
      </w:r>
      <w:r>
        <w:rPr>
          <w:rFonts w:ascii="Calibri" w:hAnsi="Calibri"/>
          <w:color w:val="2D3748"/>
          <w:sz w:val="21"/>
        </w:rPr>
        <w:t>Modulating vocal pitch, speed, and volume to maintain listener engagement.</w:t>
      </w:r>
    </w:p>
    <w:p>
      <w:pPr>
        <w:pStyle w:val="ListBullet"/>
        <w:spacing w:after="80" w:line="276" w:lineRule="auto"/>
      </w:pPr>
      <w:r>
        <w:rPr>
          <w:rFonts w:ascii="Calibri" w:hAnsi="Calibri"/>
          <w:b/>
          <w:color w:val="1A365D"/>
          <w:sz w:val="21"/>
        </w:rPr>
        <w:t xml:space="preserve">• Audience Adaptability: </w:t>
      </w:r>
      <w:r>
        <w:rPr>
          <w:rFonts w:ascii="Calibri" w:hAnsi="Calibri"/>
          <w:color w:val="2D3748"/>
          <w:sz w:val="21"/>
        </w:rPr>
        <w:t>Tailoring linguistic complexity and technical jargon to match listener background.</w:t>
      </w:r>
    </w:p>
    <w:p>
      <w:pPr>
        <w:spacing w:after="240"/>
      </w:pP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180" w:type="dxa"/>
              <w:right w:w="180" w:type="dxa"/>
            </w:tcMar>
            <w:tcBorders>
              <w:left w:val="single" w:sz="24" w:space="0" w:color="1A365D"/>
              <w:top w:val="none"/>
              <w:right w:val="none"/>
              <w:bottom w:val="none"/>
            </w:tcBorders>
          </w:tcPr>
          <w:p>
            <w:pPr>
              <w:spacing w:after="80"/>
            </w:pPr>
            <w:r>
              <w:rPr>
                <w:rFonts w:ascii="Calibri" w:hAnsi="Calibri"/>
                <w:b/>
                <w:color w:val="1A365D"/>
                <w:sz w:val="22"/>
              </w:rPr>
              <w:t>QUESTION 7 (b) [CO4 | Marks: 3]</w:t>
            </w:r>
          </w:p>
          <w:p>
            <w:pPr>
              <w:spacing w:after="0"/>
            </w:pPr>
            <w:r>
              <w:rPr>
                <w:rFonts w:ascii="Calibri" w:hAnsi="Calibri"/>
                <w:i/>
                <w:color w:val="2D3748"/>
                <w:sz w:val="21"/>
              </w:rPr>
              <w:t>Imagine you are taking the first year sessional viva voce. Describe your: i) Posture, ii) Eye contact, iii) Proximity, iv) Gesture, v) Paralanguage, vi) Humor. In each case, explain briefly your choice.</w:t>
            </w:r>
          </w:p>
        </w:tc>
      </w:tr>
    </w:tbl>
    <w:p>
      <w:pPr>
        <w:spacing w:after="160"/>
      </w:pPr>
    </w:p>
    <w:p>
      <w:pPr>
        <w:keepNext/>
        <w:spacing w:before="240" w:after="80"/>
      </w:pPr>
      <w:r>
        <w:rPr>
          <w:rFonts w:ascii="Calibri" w:hAnsi="Calibri"/>
          <w:b/>
          <w:color w:val="2B6CB0"/>
          <w:sz w:val="26"/>
        </w:rPr>
        <w:t>Solution / Answer:</w:t>
      </w:r>
    </w:p>
    <w:p>
      <w:pPr>
        <w:keepNext/>
        <w:spacing w:before="160" w:after="40"/>
      </w:pPr>
      <w:r>
        <w:rPr>
          <w:rFonts w:ascii="Calibri" w:hAnsi="Calibri"/>
          <w:b/>
          <w:color w:val="2D3748"/>
          <w:sz w:val="22"/>
        </w:rPr>
        <w:t>i) Posture</w:t>
      </w:r>
    </w:p>
    <w:p>
      <w:pPr>
        <w:pStyle w:val="ListBullet"/>
        <w:spacing w:after="80" w:line="276" w:lineRule="auto"/>
      </w:pPr>
      <w:r>
        <w:rPr>
          <w:rFonts w:ascii="Calibri" w:hAnsi="Calibri"/>
          <w:b/>
          <w:color w:val="1A365D"/>
          <w:sz w:val="21"/>
        </w:rPr>
        <w:t xml:space="preserve">Selected Behavior: </w:t>
      </w:r>
      <w:r>
        <w:rPr>
          <w:rFonts w:ascii="Calibri" w:hAnsi="Calibri"/>
          <w:color w:val="2D3748"/>
          <w:sz w:val="21"/>
        </w:rPr>
        <w:t>Seated upright, leaning slightly forward toward the board.</w:t>
      </w:r>
    </w:p>
    <w:p>
      <w:pPr>
        <w:pStyle w:val="ListBullet"/>
        <w:spacing w:after="80" w:line="276" w:lineRule="auto"/>
      </w:pPr>
      <w:r>
        <w:rPr>
          <w:rFonts w:ascii="Calibri" w:hAnsi="Calibri"/>
          <w:b/>
          <w:color w:val="1A365D"/>
          <w:sz w:val="21"/>
        </w:rPr>
        <w:t xml:space="preserve">Justification / Choice Explanation: </w:t>
      </w:r>
      <w:r>
        <w:rPr>
          <w:rFonts w:ascii="Calibri" w:hAnsi="Calibri"/>
          <w:color w:val="2D3748"/>
          <w:sz w:val="21"/>
        </w:rPr>
        <w:t>Conveys high attentiveness, interest, and respect for the academic examiners without appearing slouched or overly tense.</w:t>
      </w:r>
    </w:p>
    <w:p>
      <w:pPr>
        <w:keepNext/>
        <w:spacing w:before="160" w:after="40"/>
      </w:pPr>
      <w:r>
        <w:rPr>
          <w:rFonts w:ascii="Calibri" w:hAnsi="Calibri"/>
          <w:b/>
          <w:color w:val="2D3748"/>
          <w:sz w:val="22"/>
        </w:rPr>
        <w:t>ii) Eye Contact</w:t>
      </w:r>
    </w:p>
    <w:p>
      <w:pPr>
        <w:pStyle w:val="ListBullet"/>
        <w:spacing w:after="80" w:line="276" w:lineRule="auto"/>
      </w:pPr>
      <w:r>
        <w:rPr>
          <w:rFonts w:ascii="Calibri" w:hAnsi="Calibri"/>
          <w:b/>
          <w:color w:val="1A365D"/>
          <w:sz w:val="21"/>
        </w:rPr>
        <w:t xml:space="preserve">Selected Behavior: </w:t>
      </w:r>
      <w:r>
        <w:rPr>
          <w:rFonts w:ascii="Calibri" w:hAnsi="Calibri"/>
          <w:color w:val="2D3748"/>
          <w:sz w:val="21"/>
        </w:rPr>
        <w:t>Steady, natural eye contact distributed across all panel members.</w:t>
      </w:r>
    </w:p>
    <w:p>
      <w:pPr>
        <w:pStyle w:val="ListBullet"/>
        <w:spacing w:after="80" w:line="276" w:lineRule="auto"/>
      </w:pPr>
      <w:r>
        <w:rPr>
          <w:rFonts w:ascii="Calibri" w:hAnsi="Calibri"/>
          <w:b/>
          <w:color w:val="1A365D"/>
          <w:sz w:val="21"/>
        </w:rPr>
        <w:t xml:space="preserve">Justification / Choice Explanation: </w:t>
      </w:r>
      <w:r>
        <w:rPr>
          <w:rFonts w:ascii="Calibri" w:hAnsi="Calibri"/>
          <w:color w:val="2D3748"/>
          <w:sz w:val="21"/>
        </w:rPr>
        <w:t>Demonstrates honesty, confidence, and active engagement, while avoiding looking down nervously or staring aggressively at one person.</w:t>
      </w:r>
    </w:p>
    <w:p>
      <w:pPr>
        <w:keepNext/>
        <w:spacing w:before="160" w:after="40"/>
      </w:pPr>
      <w:r>
        <w:rPr>
          <w:rFonts w:ascii="Calibri" w:hAnsi="Calibri"/>
          <w:b/>
          <w:color w:val="2D3748"/>
          <w:sz w:val="22"/>
        </w:rPr>
        <w:t>iii) Proximity</w:t>
      </w:r>
    </w:p>
    <w:p>
      <w:pPr>
        <w:pStyle w:val="ListBullet"/>
        <w:spacing w:after="80" w:line="276" w:lineRule="auto"/>
      </w:pPr>
      <w:r>
        <w:rPr>
          <w:rFonts w:ascii="Calibri" w:hAnsi="Calibri"/>
          <w:b/>
          <w:color w:val="1A365D"/>
          <w:sz w:val="21"/>
        </w:rPr>
        <w:t xml:space="preserve">Selected Behavior: </w:t>
      </w:r>
      <w:r>
        <w:rPr>
          <w:rFonts w:ascii="Calibri" w:hAnsi="Calibri"/>
          <w:color w:val="2D3748"/>
          <w:sz w:val="21"/>
        </w:rPr>
        <w:t>Maintaining standard formal social distance (~4–5 feet) across the viva table.</w:t>
      </w:r>
    </w:p>
    <w:p>
      <w:pPr>
        <w:pStyle w:val="ListBullet"/>
        <w:spacing w:after="80" w:line="276" w:lineRule="auto"/>
      </w:pPr>
      <w:r>
        <w:rPr>
          <w:rFonts w:ascii="Calibri" w:hAnsi="Calibri"/>
          <w:b/>
          <w:color w:val="1A365D"/>
          <w:sz w:val="21"/>
        </w:rPr>
        <w:t xml:space="preserve">Justification / Choice Explanation: </w:t>
      </w:r>
      <w:r>
        <w:rPr>
          <w:rFonts w:ascii="Calibri" w:hAnsi="Calibri"/>
          <w:color w:val="2D3748"/>
          <w:sz w:val="21"/>
        </w:rPr>
        <w:t>Preserves professional academic boundaries while maintaining clear vocal and visual communication.</w:t>
      </w:r>
    </w:p>
    <w:p>
      <w:pPr>
        <w:keepNext/>
        <w:spacing w:before="160" w:after="40"/>
      </w:pPr>
      <w:r>
        <w:rPr>
          <w:rFonts w:ascii="Calibri" w:hAnsi="Calibri"/>
          <w:b/>
          <w:color w:val="2D3748"/>
          <w:sz w:val="22"/>
        </w:rPr>
        <w:t>iv) Gesture</w:t>
      </w:r>
    </w:p>
    <w:p>
      <w:pPr>
        <w:pStyle w:val="ListBullet"/>
        <w:spacing w:after="80" w:line="276" w:lineRule="auto"/>
      </w:pPr>
      <w:r>
        <w:rPr>
          <w:rFonts w:ascii="Calibri" w:hAnsi="Calibri"/>
          <w:b/>
          <w:color w:val="1A365D"/>
          <w:sz w:val="21"/>
        </w:rPr>
        <w:t xml:space="preserve">Selected Behavior: </w:t>
      </w:r>
      <w:r>
        <w:rPr>
          <w:rFonts w:ascii="Calibri" w:hAnsi="Calibri"/>
          <w:color w:val="2D3748"/>
          <w:sz w:val="21"/>
        </w:rPr>
        <w:t>Controlled open-hand movements when explaining concepts, accompanied by gentle nodding.</w:t>
      </w:r>
    </w:p>
    <w:p>
      <w:pPr>
        <w:pStyle w:val="ListBullet"/>
        <w:spacing w:after="80" w:line="276" w:lineRule="auto"/>
      </w:pPr>
      <w:r>
        <w:rPr>
          <w:rFonts w:ascii="Calibri" w:hAnsi="Calibri"/>
          <w:b/>
          <w:color w:val="1A365D"/>
          <w:sz w:val="21"/>
        </w:rPr>
        <w:t xml:space="preserve">Justification / Choice Explanation: </w:t>
      </w:r>
      <w:r>
        <w:rPr>
          <w:rFonts w:ascii="Calibri" w:hAnsi="Calibri"/>
          <w:color w:val="2D3748"/>
          <w:sz w:val="21"/>
        </w:rPr>
        <w:t>Reinforces technical explanations naturally, while avoiding defensive postures (crossed arms) or nervous habits (tapping pens).</w:t>
      </w:r>
    </w:p>
    <w:p>
      <w:pPr>
        <w:keepNext/>
        <w:spacing w:before="160" w:after="40"/>
      </w:pPr>
      <w:r>
        <w:rPr>
          <w:rFonts w:ascii="Calibri" w:hAnsi="Calibri"/>
          <w:b/>
          <w:color w:val="2D3748"/>
          <w:sz w:val="22"/>
        </w:rPr>
        <w:t>v) Paralanguage</w:t>
      </w:r>
    </w:p>
    <w:p>
      <w:pPr>
        <w:pStyle w:val="ListBullet"/>
        <w:spacing w:after="80" w:line="276" w:lineRule="auto"/>
      </w:pPr>
      <w:r>
        <w:rPr>
          <w:rFonts w:ascii="Calibri" w:hAnsi="Calibri"/>
          <w:b/>
          <w:color w:val="1A365D"/>
          <w:sz w:val="21"/>
        </w:rPr>
        <w:t xml:space="preserve">Selected Behavior: </w:t>
      </w:r>
      <w:r>
        <w:rPr>
          <w:rFonts w:ascii="Calibri" w:hAnsi="Calibri"/>
          <w:color w:val="2D3748"/>
          <w:sz w:val="21"/>
        </w:rPr>
        <w:t>Calm, well-articulated vocal tone, moderate pace, and controlled volume.</w:t>
      </w:r>
    </w:p>
    <w:p>
      <w:pPr>
        <w:pStyle w:val="ListBullet"/>
        <w:spacing w:after="80" w:line="276" w:lineRule="auto"/>
      </w:pPr>
      <w:r>
        <w:rPr>
          <w:rFonts w:ascii="Calibri" w:hAnsi="Calibri"/>
          <w:b/>
          <w:color w:val="1A365D"/>
          <w:sz w:val="21"/>
        </w:rPr>
        <w:t xml:space="preserve">Justification / Choice Explanation: </w:t>
      </w:r>
      <w:r>
        <w:rPr>
          <w:rFonts w:ascii="Calibri" w:hAnsi="Calibri"/>
          <w:color w:val="2D3748"/>
          <w:sz w:val="21"/>
        </w:rPr>
        <w:t>Projects emotional composure under technical questioning and ensures precise acoustic clarity of computer science terminology.</w:t>
      </w:r>
    </w:p>
    <w:p>
      <w:pPr>
        <w:keepNext/>
        <w:spacing w:before="160" w:after="40"/>
      </w:pPr>
      <w:r>
        <w:rPr>
          <w:rFonts w:ascii="Calibri" w:hAnsi="Calibri"/>
          <w:b/>
          <w:color w:val="2D3748"/>
          <w:sz w:val="22"/>
        </w:rPr>
        <w:t>vi) Humor</w:t>
      </w:r>
    </w:p>
    <w:p>
      <w:pPr>
        <w:pStyle w:val="ListBullet"/>
        <w:spacing w:after="80" w:line="276" w:lineRule="auto"/>
      </w:pPr>
      <w:r>
        <w:rPr>
          <w:rFonts w:ascii="Calibri" w:hAnsi="Calibri"/>
          <w:b/>
          <w:color w:val="1A365D"/>
          <w:sz w:val="21"/>
        </w:rPr>
        <w:t xml:space="preserve">Selected Behavior: </w:t>
      </w:r>
      <w:r>
        <w:rPr>
          <w:rFonts w:ascii="Calibri" w:hAnsi="Calibri"/>
          <w:color w:val="2D3748"/>
          <w:sz w:val="21"/>
        </w:rPr>
        <w:t>Subtle, polite smile or light self-deprecating acknowledgment when correcting a minor error.</w:t>
      </w:r>
    </w:p>
    <w:p>
      <w:pPr>
        <w:pStyle w:val="ListBullet"/>
        <w:spacing w:after="80" w:line="276" w:lineRule="auto"/>
      </w:pPr>
      <w:r>
        <w:rPr>
          <w:rFonts w:ascii="Calibri" w:hAnsi="Calibri"/>
          <w:b/>
          <w:color w:val="1A365D"/>
          <w:sz w:val="21"/>
        </w:rPr>
        <w:t xml:space="preserve">Justification / Choice Explanation: </w:t>
      </w:r>
      <w:r>
        <w:rPr>
          <w:rFonts w:ascii="Calibri" w:hAnsi="Calibri"/>
          <w:color w:val="2D3748"/>
          <w:sz w:val="21"/>
        </w:rPr>
        <w:t>Relieves personal tension and maintains rapport with examiners without compromising academic seriousness.</w:t>
      </w:r>
    </w:p>
    <w:p>
      <w:pPr>
        <w:spacing w:after="240"/>
      </w:pP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180" w:type="dxa"/>
              <w:right w:w="180" w:type="dxa"/>
            </w:tcMar>
            <w:tcBorders>
              <w:left w:val="single" w:sz="24" w:space="0" w:color="1A365D"/>
              <w:top w:val="none"/>
              <w:right w:val="none"/>
              <w:bottom w:val="none"/>
            </w:tcBorders>
          </w:tcPr>
          <w:p>
            <w:pPr>
              <w:spacing w:after="80"/>
            </w:pPr>
            <w:r>
              <w:rPr>
                <w:rFonts w:ascii="Calibri" w:hAnsi="Calibri"/>
                <w:b/>
                <w:color w:val="1A365D"/>
                <w:sz w:val="22"/>
              </w:rPr>
              <w:t>QUESTION 7 (c) [CO4 | Marks: 4]</w:t>
            </w:r>
          </w:p>
          <w:p>
            <w:pPr>
              <w:spacing w:after="0"/>
            </w:pPr>
            <w:r>
              <w:rPr>
                <w:rFonts w:ascii="Calibri" w:hAnsi="Calibri"/>
                <w:i/>
                <w:color w:val="2D3748"/>
                <w:sz w:val="21"/>
              </w:rPr>
              <w:t>Compose a paragraph on 'ICT for national development' satisfying the qualities of a good paragraph.</w:t>
            </w:r>
          </w:p>
        </w:tc>
      </w:tr>
    </w:tbl>
    <w:p>
      <w:pPr>
        <w:spacing w:after="160"/>
      </w:pPr>
    </w:p>
    <w:p>
      <w:pPr>
        <w:keepNext/>
        <w:spacing w:before="240" w:after="80"/>
      </w:pPr>
      <w:r>
        <w:rPr>
          <w:rFonts w:ascii="Calibri" w:hAnsi="Calibri"/>
          <w:b/>
          <w:color w:val="2B6CB0"/>
          <w:sz w:val="26"/>
        </w:rPr>
        <w:t>Solution / Answer:</w:t>
      </w:r>
    </w:p>
    <w:p>
      <w:pPr>
        <w:keepNext/>
        <w:spacing w:before="160" w:after="40"/>
      </w:pPr>
      <w:r>
        <w:rPr>
          <w:rFonts w:ascii="Calibri" w:hAnsi="Calibri"/>
          <w:b/>
          <w:color w:val="2D3748"/>
          <w:sz w:val="22"/>
        </w:rPr>
        <w:t>Paragraph: ICT for National Development (Word Count: ~220 Words)</w:t>
      </w:r>
    </w:p>
    <w:tbl>
      <w:tblPr>
        <w:tblW w:type="auto" w:w="0"/>
        <w:jc w:val="center"/>
        <w:tblLayout w:type="fixed"/>
        <w:tblLook w:firstColumn="1" w:firstRow="1" w:lastColumn="0" w:lastRow="0" w:noHBand="0" w:noVBand="1" w:val="04A0"/>
      </w:tblPr>
      <w:tblGrid>
        <w:gridCol w:w="9936"/>
      </w:tblGrid>
      <w:tr>
        <w:tc>
          <w:tcPr>
            <w:tcW w:type="dxa" w:w="9936"/>
            <w:shd w:fill="F7FAFC"/>
            <w:tcMar>
              <w:top w:w="140" w:type="dxa"/>
              <w:bottom w:w="140" w:type="dxa"/>
              <w:left w:w="180" w:type="dxa"/>
              <w:right w:w="180" w:type="dxa"/>
            </w:tcMar>
            <w:tcBorders>
              <w:left w:val="single" w:sz="18" w:space="0" w:color="2B6CB0"/>
              <w:top w:val="none"/>
              <w:right w:val="none"/>
              <w:bottom w:val="none"/>
            </w:tcBorders>
          </w:tcPr>
          <w:p>
            <w:pPr>
              <w:spacing w:line="276" w:lineRule="auto" w:after="0"/>
            </w:pPr>
            <w:r>
              <w:rPr>
                <w:rFonts w:ascii="Calibri" w:hAnsi="Calibri"/>
                <w:color w:val="2D3748"/>
                <w:sz w:val="20"/>
              </w:rPr>
              <w:t>Information and Communication Technology (ICT) serves as an indispensable catalyst for national development, driving economic growth, administrative efficiency, and social transformation across modern nations. By digitizing key sectors such as education, healthcare, governance, and commerce, ICT bridges geographical divides and democratizes access to essential public services. In national administration, e-governance portals reduce bureaucratic delays, minimize corruption, and enhance civic transparency. Furthermore, ICT strengthens national infrastructure through smart power distribution, automated transport management, and digital financial inclusion—enabling mobile banking to bring previously unbanked rural populations into the mainstream economy. For developing economies, investing in IT education and digital infrastructure stimulates software export industries, creates high-value technology jobs, and fosters youth entrepreneurship. Ultimately, ICT is not merely a modern convenience, but an essential strategic pillar that empowers a nation to construct a resilient, knowledge-based economy capable of thriving in the global technological era.</w:t>
            </w:r>
          </w:p>
        </w:tc>
      </w:tr>
    </w:tbl>
    <w:p>
      <w:pPr>
        <w:spacing w:after="160"/>
      </w:pPr>
    </w:p>
    <w:p>
      <w:pPr>
        <w:keepNext/>
        <w:spacing w:before="160" w:after="40"/>
      </w:pPr>
      <w:r>
        <w:rPr>
          <w:rFonts w:ascii="Calibri" w:hAnsi="Calibri"/>
          <w:b/>
          <w:color w:val="2D3748"/>
          <w:sz w:val="22"/>
        </w:rPr>
        <w:t>Qualities of a Good Paragraph Demonstrated:</w:t>
      </w:r>
    </w:p>
    <w:p>
      <w:pPr>
        <w:pStyle w:val="ListBullet"/>
        <w:spacing w:after="80" w:line="276" w:lineRule="auto"/>
      </w:pPr>
      <w:r>
        <w:rPr>
          <w:rFonts w:ascii="Calibri" w:hAnsi="Calibri"/>
          <w:b/>
          <w:color w:val="1A365D"/>
          <w:sz w:val="21"/>
        </w:rPr>
        <w:t xml:space="preserve">1. Topic Sentence: </w:t>
      </w:r>
      <w:r>
        <w:rPr>
          <w:rFonts w:ascii="Calibri" w:hAnsi="Calibri"/>
          <w:color w:val="2D3748"/>
          <w:sz w:val="21"/>
        </w:rPr>
        <w:t>Starts with a clear statement establishing ICT as a catalyst for socio-economic development.</w:t>
      </w:r>
    </w:p>
    <w:p>
      <w:pPr>
        <w:pStyle w:val="ListBullet"/>
        <w:spacing w:after="80" w:line="276" w:lineRule="auto"/>
      </w:pPr>
      <w:r>
        <w:rPr>
          <w:rFonts w:ascii="Calibri" w:hAnsi="Calibri"/>
          <w:b/>
          <w:color w:val="1A365D"/>
          <w:sz w:val="21"/>
        </w:rPr>
        <w:t xml:space="preserve">2. Unity: </w:t>
      </w:r>
      <w:r>
        <w:rPr>
          <w:rFonts w:ascii="Calibri" w:hAnsi="Calibri"/>
          <w:color w:val="2D3748"/>
          <w:sz w:val="21"/>
        </w:rPr>
        <w:t>Maintains strict focus on national development without introducing unrelated topics.</w:t>
      </w:r>
    </w:p>
    <w:p>
      <w:pPr>
        <w:pStyle w:val="ListBullet"/>
        <w:spacing w:after="80" w:line="276" w:lineRule="auto"/>
      </w:pPr>
      <w:r>
        <w:rPr>
          <w:rFonts w:ascii="Calibri" w:hAnsi="Calibri"/>
          <w:b/>
          <w:color w:val="1A365D"/>
          <w:sz w:val="21"/>
        </w:rPr>
        <w:t xml:space="preserve">3. Coherence &amp; Cohesion: </w:t>
      </w:r>
      <w:r>
        <w:rPr>
          <w:rFonts w:ascii="Calibri" w:hAnsi="Calibri"/>
          <w:color w:val="2D3748"/>
          <w:sz w:val="21"/>
        </w:rPr>
        <w:t>Uses logical transitions (Furthermore, For developing economies, Ultimately) to link ideas smoothly.</w:t>
      </w:r>
    </w:p>
    <w:p>
      <w:pPr>
        <w:pStyle w:val="ListBullet"/>
        <w:spacing w:after="80" w:line="276" w:lineRule="auto"/>
      </w:pPr>
      <w:r>
        <w:rPr>
          <w:rFonts w:ascii="Calibri" w:hAnsi="Calibri"/>
          <w:b/>
          <w:color w:val="1A365D"/>
          <w:sz w:val="21"/>
        </w:rPr>
        <w:t xml:space="preserve">4. Adequate Development: </w:t>
      </w:r>
      <w:r>
        <w:rPr>
          <w:rFonts w:ascii="Calibri" w:hAnsi="Calibri"/>
          <w:color w:val="2D3748"/>
          <w:sz w:val="21"/>
        </w:rPr>
        <w:t>Provides concrete examples (e-governance, mobile banking, software exports, smart infrastructure).</w:t>
      </w:r>
    </w:p>
    <w:p>
      <w:pPr>
        <w:pStyle w:val="ListBullet"/>
        <w:spacing w:after="80" w:line="276" w:lineRule="auto"/>
      </w:pPr>
      <w:r>
        <w:rPr>
          <w:rFonts w:ascii="Calibri" w:hAnsi="Calibri"/>
          <w:b/>
          <w:color w:val="1A365D"/>
          <w:sz w:val="21"/>
        </w:rPr>
        <w:t xml:space="preserve">5. Concluding Sentence: </w:t>
      </w:r>
      <w:r>
        <w:rPr>
          <w:rFonts w:ascii="Calibri" w:hAnsi="Calibri"/>
          <w:color w:val="2D3748"/>
          <w:sz w:val="21"/>
        </w:rPr>
        <w:t>Summarizes the transformative strategic role of ICT in building a knowledge-based economy.</w:t>
      </w:r>
    </w:p>
    <w:p>
      <w:pPr>
        <w:spacing w:after="280"/>
      </w:pP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180" w:type="dxa"/>
              <w:right w:w="180" w:type="dxa"/>
            </w:tcMar>
            <w:tcBorders>
              <w:left w:val="single" w:sz="24" w:space="0" w:color="1A365D"/>
              <w:top w:val="none"/>
              <w:right w:val="none"/>
              <w:bottom w:val="none"/>
            </w:tcBorders>
          </w:tcPr>
          <w:p>
            <w:pPr>
              <w:spacing w:after="80"/>
            </w:pPr>
            <w:r>
              <w:rPr>
                <w:rFonts w:ascii="Calibri" w:hAnsi="Calibri"/>
                <w:b/>
                <w:color w:val="1A365D"/>
                <w:sz w:val="22"/>
              </w:rPr>
              <w:t>QUESTION 8 [CO4 | Marks: 10]</w:t>
            </w:r>
          </w:p>
          <w:p>
            <w:pPr>
              <w:spacing w:after="0"/>
            </w:pPr>
            <w:r>
              <w:rPr>
                <w:rFonts w:ascii="Calibri" w:hAnsi="Calibri"/>
                <w:i/>
                <w:color w:val="2D3748"/>
                <w:sz w:val="21"/>
              </w:rPr>
              <w:t>Suppose you work as a junior software engineer at XYZ IT farm. Your organization is going to arrange a workshop on 'Digital marketing strategies: Leveraging Technology for effective online campaign'. A meeting was held on 17th May, 2023 in the seminar room of your farm after lunch break where all the employees discussed about arranging the workshop. Now, prepare the minutes of the meeting with at least three agendas and two actions for each agenda.</w:t>
            </w:r>
          </w:p>
        </w:tc>
      </w:tr>
    </w:tbl>
    <w:p>
      <w:pPr>
        <w:spacing w:after="160"/>
      </w:pPr>
    </w:p>
    <w:p>
      <w:pPr>
        <w:keepNext/>
        <w:spacing w:before="240" w:after="80"/>
      </w:pPr>
      <w:r>
        <w:rPr>
          <w:rFonts w:ascii="Calibri" w:hAnsi="Calibri"/>
          <w:b/>
          <w:color w:val="2B6CB0"/>
          <w:sz w:val="26"/>
        </w:rPr>
        <w:t>Solution / Answer:</w:t>
      </w:r>
    </w:p>
    <w:tbl>
      <w:tblPr>
        <w:tblW w:type="auto" w:w="0"/>
        <w:jc w:val="center"/>
        <w:tblLayout w:type="fixed"/>
        <w:tblLook w:firstColumn="1" w:firstRow="1" w:lastColumn="0" w:lastRow="0" w:noHBand="0" w:noVBand="1" w:val="04A0"/>
      </w:tblPr>
      <w:tblGrid>
        <w:gridCol w:w="9936"/>
      </w:tblGrid>
      <w:tr>
        <w:tc>
          <w:tcPr>
            <w:tcW w:type="dxa" w:w="9936"/>
            <w:shd w:fill="FFFFFF"/>
            <w:tcMar>
              <w:top w:w="180" w:type="dxa"/>
              <w:bottom w:w="180" w:type="dxa"/>
              <w:left w:w="220" w:type="dxa"/>
              <w:right w:w="220" w:type="dxa"/>
            </w:tcMar>
            <w:tcBorders>
              <w:left w:val="single" w:sz="12" w:space="0" w:color="1A365D"/>
              <w:top w:val="single" w:sz="12" w:space="0" w:color="1A365D"/>
              <w:right w:val="single" w:sz="12" w:space="0" w:color="1A365D"/>
              <w:bottom w:val="single" w:sz="12" w:space="0" w:color="1A365D"/>
            </w:tcBorders>
          </w:tcPr>
          <w:p>
            <w:pPr>
              <w:spacing w:after="120"/>
              <w:jc w:val="center"/>
            </w:pPr>
            <w:r>
              <w:rPr>
                <w:rFonts w:ascii="Calibri" w:hAnsi="Calibri"/>
                <w:b/>
                <w:color w:val="1A365D"/>
                <w:sz w:val="28"/>
              </w:rPr>
              <w:t>XYZ IT FARM</w:t>
              <w:br/>
              <w:t>MINUTES OF ORGANIZATIONAL MEETING</w:t>
            </w:r>
          </w:p>
          <w:p>
            <w:pPr>
              <w:spacing w:after="80" w:line="276" w:lineRule="auto"/>
            </w:pPr>
            <w:r>
              <w:rPr>
                <w:rFonts w:ascii="Calibri" w:hAnsi="Calibri"/>
                <w:color w:val="2D3748"/>
                <w:sz w:val="19"/>
              </w:rPr>
              <w:t>Meeting Subject: Planning Workshop on 'Digital Marketing Strategies: Leveraging Technology for Effective Online Campaign'</w:t>
              <w:br/>
              <w:t>Date: May 17, 2023</w:t>
              <w:br/>
              <w:t>Time: 02:00 PM – 04:00 PM (Post-Lunch Session)</w:t>
              <w:br/>
              <w:t>Venue: Main Seminar Room, XYZ IT Farm</w:t>
              <w:br/>
              <w:t>Chairperson: Lead Software Architect / Project Manager</w:t>
              <w:br/>
              <w:t>Minute Taker: Junior Software Engineer</w:t>
            </w:r>
          </w:p>
          <w:p>
            <w:pPr>
              <w:spacing w:after="80" w:line="276" w:lineRule="auto"/>
            </w:pPr>
            <w:r>
              <w:rPr>
                <w:rFonts w:ascii="Calibri" w:hAnsi="Calibri"/>
                <w:color w:val="2D3748"/>
                <w:sz w:val="19"/>
              </w:rPr>
              <w:t>Attendees:</w:t>
              <w:br/>
              <w:t>1. Project Manager (Chair)</w:t>
              <w:br/>
              <w:t>2. Senior Software Engineer</w:t>
              <w:br/>
              <w:t>3. Junior Software Engineer (Secretary/Recorder)</w:t>
              <w:br/>
              <w:t>4. Digital Marketing Lead</w:t>
              <w:br/>
              <w:t>5. UI/UX Lead Designer</w:t>
              <w:br/>
              <w:t>6. IT Support Lead</w:t>
              <w:br/>
              <w:t>7. HR &amp; Logistics Manager</w:t>
            </w:r>
          </w:p>
          <w:p>
            <w:pPr>
              <w:spacing w:after="80" w:line="276" w:lineRule="auto"/>
            </w:pPr>
            <w:r>
              <w:rPr>
                <w:rFonts w:ascii="Calibri" w:hAnsi="Calibri"/>
                <w:color w:val="2D3748"/>
                <w:sz w:val="19"/>
              </w:rPr>
              <w:t>Absentees / Apologies: Senior Operations Officer (On Approved Leave)</w:t>
            </w:r>
          </w:p>
          <w:p>
            <w:pPr>
              <w:spacing w:after="120"/>
            </w:pPr>
            <w:r>
              <w:rPr>
                <w:color w:val="CBD5E0"/>
              </w:rPr>
              <w:t>――――――――――――――――――――――――――――――――――――――――――――――――――――――――――</w:t>
            </w:r>
          </w:p>
          <w:p>
            <w:pPr>
              <w:spacing w:after="80" w:line="276" w:lineRule="auto"/>
            </w:pPr>
            <w:r>
              <w:rPr>
                <w:rFonts w:ascii="Calibri" w:hAnsi="Calibri"/>
                <w:b/>
                <w:color w:val="1A365D"/>
                <w:sz w:val="20"/>
              </w:rPr>
              <w:t>1. Call to Order &amp; Opening Remarks</w:t>
              <w:br/>
            </w:r>
            <w:r>
              <w:rPr>
                <w:rFonts w:ascii="Calibri" w:hAnsi="Calibri"/>
                <w:color w:val="2D3748"/>
                <w:sz w:val="19"/>
              </w:rPr>
              <w:t>The Chairperson called the meeting to order at 2:00 PM, welcoming all staff members. The purpose of the meeting was outlined: to organize and execute a high-impact technical workshop titled 'Digital Marketing Strategies: Leveraging Technology for Effective Online Campaign'.</w:t>
            </w:r>
          </w:p>
          <w:p>
            <w:pPr>
              <w:spacing w:after="80" w:line="276" w:lineRule="auto"/>
            </w:pPr>
            <w:r>
              <w:rPr>
                <w:rFonts w:ascii="Calibri" w:hAnsi="Calibri"/>
                <w:b/>
                <w:color w:val="1A365D"/>
                <w:sz w:val="20"/>
              </w:rPr>
              <w:t>2. Approval of Previous Minutes</w:t>
              <w:br/>
            </w:r>
            <w:r>
              <w:rPr>
                <w:rFonts w:ascii="Calibri" w:hAnsi="Calibri"/>
                <w:color w:val="2D3748"/>
                <w:sz w:val="19"/>
              </w:rPr>
              <w:t>The minutes of the previous staff meeting held on May 2, 2023, were reviewed, formally proposed, seconded, and approved without amendments.</w:t>
            </w:r>
          </w:p>
          <w:p>
            <w:pPr>
              <w:spacing w:after="80" w:line="276" w:lineRule="auto"/>
            </w:pPr>
            <w:r>
              <w:rPr>
                <w:rFonts w:ascii="Calibri" w:hAnsi="Calibri"/>
                <w:b/>
                <w:color w:val="1A365D"/>
                <w:sz w:val="20"/>
              </w:rPr>
              <w:t>3. Discussion on Agenda Items and Key Action Plans</w:t>
            </w:r>
          </w:p>
          <w:p>
            <w:pPr>
              <w:spacing w:after="80" w:line="276" w:lineRule="auto"/>
            </w:pPr>
            <w:r>
              <w:rPr>
                <w:rFonts w:ascii="Calibri" w:hAnsi="Calibri"/>
                <w:b/>
                <w:color w:val="1A365D"/>
                <w:sz w:val="20"/>
              </w:rPr>
              <w:t>AGENDA ITEM 1: Workshop Structure, Resource Speaker Selection, and Event Schedule</w:t>
              <w:br/>
            </w:r>
            <w:r>
              <w:rPr>
                <w:rFonts w:ascii="Calibri" w:hAnsi="Calibri"/>
                <w:color w:val="2D3748"/>
                <w:sz w:val="19"/>
              </w:rPr>
              <w:t>Discussion: The committee deliberated on the target audience (100 participants: software engineers, corporate clients, and marketing professionals) and approved a full-day workshop schedule featuring keynote lectures and a live coding lab.</w:t>
              <w:br/>
              <w:t>• Action 1.1: Contact invited industry speakers, finalize speaker honorarium, and confirm lecture topics.</w:t>
              <w:br/>
              <w:t xml:space="preserve">  - Person Responsible: HR &amp; Logistics Manager | Deadline: May 22, 2023</w:t>
              <w:br/>
              <w:t>• Action 1.2: Reserve the Main Seminar Room, setup audiovisual equipment, and test dual projection systems.</w:t>
              <w:br/>
              <w:t xml:space="preserve">  - Person Responsible: IT Support Lead | Deadline: May 24, 2023</w:t>
            </w:r>
          </w:p>
          <w:p>
            <w:pPr>
              <w:spacing w:after="80" w:line="276" w:lineRule="auto"/>
            </w:pPr>
            <w:r>
              <w:rPr>
                <w:rFonts w:ascii="Calibri" w:hAnsi="Calibri"/>
                <w:b/>
                <w:color w:val="1A365D"/>
                <w:sz w:val="20"/>
              </w:rPr>
              <w:t>AGENDA ITEM 2: Technical Content Preparation and Hands-on Coding Lab Environment</w:t>
              <w:br/>
            </w:r>
            <w:r>
              <w:rPr>
                <w:rFonts w:ascii="Calibri" w:hAnsi="Calibri"/>
                <w:color w:val="2D3748"/>
                <w:sz w:val="19"/>
              </w:rPr>
              <w:t>Discussion: The engineering team emphasized the importance of providing practical hands-on value. Attendees will build automated email marketing scripts and analyze live Google Analytics dashboards.</w:t>
              <w:br/>
              <w:t>• Action 2.1: Prepare slide decks, case study handouts, and digital training material packages.</w:t>
              <w:br/>
              <w:t xml:space="preserve">  - Person Responsible: Digital Marketing Lead &amp; UI/UX Designer | Deadline: May 26, 2023</w:t>
              <w:br/>
              <w:t>• Action 2.2: Configure cloud sandbox environments and local server instances for participant hands-on lab exercises.</w:t>
              <w:br/>
              <w:t xml:space="preserve">  - Person Responsible: Junior Software Engineer | Deadline: May 27, 2023</w:t>
            </w:r>
          </w:p>
          <w:p>
            <w:pPr>
              <w:spacing w:after="80" w:line="276" w:lineRule="auto"/>
            </w:pPr>
            <w:r>
              <w:rPr>
                <w:rFonts w:ascii="Calibri" w:hAnsi="Calibri"/>
                <w:b/>
                <w:color w:val="1A365D"/>
                <w:sz w:val="20"/>
              </w:rPr>
              <w:t>AGENDA ITEM 3: Participant Registration, Promotional Campaign, and Event Logistics</w:t>
              <w:br/>
            </w:r>
            <w:r>
              <w:rPr>
                <w:rFonts w:ascii="Calibri" w:hAnsi="Calibri"/>
                <w:color w:val="2D3748"/>
                <w:sz w:val="19"/>
              </w:rPr>
              <w:t>Discussion: The marketing team presented a multi-channel campaign plan across LinkedIn and Facebook to drive registrations.</w:t>
              <w:br/>
              <w:t>• Action 3.1: Launch online web registration portal, integrate payment gateway, and publish promotional banners.</w:t>
              <w:br/>
              <w:t xml:space="preserve">  - Person Responsible: Senior Software Engineer &amp; Marketing Lead | Deadline: May 20, 2023</w:t>
              <w:br/>
              <w:t>• Action 3.2: Arrange catering for lunch and refreshment breaks, order participant badges, and print certificates of completion.</w:t>
              <w:br/>
              <w:t xml:space="preserve">  - Person Responsible: HR &amp; Logistics Manager | Deadline: May 28, 2023</w:t>
            </w:r>
          </w:p>
          <w:p>
            <w:pPr>
              <w:spacing w:after="80" w:line="276" w:lineRule="auto"/>
            </w:pPr>
            <w:r>
              <w:rPr>
                <w:rFonts w:ascii="Calibri" w:hAnsi="Calibri"/>
                <w:b/>
                <w:color w:val="1A365D"/>
                <w:sz w:val="20"/>
              </w:rPr>
              <w:t>4. Adjournment &amp; Next Meeting</w:t>
              <w:br/>
            </w:r>
            <w:r>
              <w:rPr>
                <w:rFonts w:ascii="Calibri" w:hAnsi="Calibri"/>
                <w:color w:val="2D3748"/>
                <w:sz w:val="19"/>
              </w:rPr>
              <w:t>With no further business to discuss, the Chairperson adjourned the meeting at 4:00 PM. The next progress review meeting is scheduled for May 29, 2023 at 2:00 PM in the Seminar Room.</w:t>
            </w:r>
          </w:p>
          <w:p>
            <w:pPr>
              <w:spacing w:after="80" w:line="276" w:lineRule="auto"/>
            </w:pPr>
            <w:r>
              <w:rPr>
                <w:rFonts w:ascii="Calibri" w:hAnsi="Calibri"/>
                <w:b/>
                <w:color w:val="1A365D"/>
                <w:sz w:val="20"/>
              </w:rPr>
              <w:t>Formal Signatures</w:t>
              <w:br/>
            </w:r>
            <w:r>
              <w:rPr>
                <w:rFonts w:ascii="Calibri" w:hAnsi="Calibri"/>
                <w:color w:val="2D3748"/>
                <w:sz w:val="19"/>
              </w:rPr>
              <w:t>Prepared by: ________________________ (Junior Software Engineer, Secretary)</w:t>
              <w:br/>
              <w:t>Approved by: ________________________ (Project Manager, Chair)</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