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1AD10196" w:rsidP="732EE1AE" w:rsidRDefault="1AD10196" w14:paraId="58609F32" w14:textId="252A5311">
      <w:pPr>
        <w:pStyle w:val="Normal"/>
        <w:jc w:val="center"/>
        <w:rPr>
          <w:rFonts w:ascii="Calibri" w:hAnsi="Calibri" w:eastAsia="Calibri" w:cs="Calibri" w:asciiTheme="majorAscii" w:hAnsiTheme="majorAscii" w:eastAsiaTheme="majorAscii" w:cstheme="majorAscii"/>
          <w:b w:val="1"/>
          <w:bCs w:val="1"/>
          <w:noProof w:val="0"/>
          <w:color w:val="auto"/>
          <w:sz w:val="40"/>
          <w:szCs w:val="40"/>
          <w:lang w:val="en-US"/>
        </w:rPr>
      </w:pPr>
      <w:r w:rsidRPr="732EE1AE" w:rsidR="1AD10196">
        <w:rPr>
          <w:rFonts w:ascii="Calibri" w:hAnsi="Calibri" w:eastAsia="Calibri" w:cs="Calibri" w:asciiTheme="majorAscii" w:hAnsiTheme="majorAscii" w:eastAsiaTheme="majorAscii" w:cstheme="majorAscii"/>
          <w:b w:val="1"/>
          <w:bCs w:val="1"/>
          <w:noProof w:val="0"/>
          <w:color w:val="auto"/>
          <w:sz w:val="40"/>
          <w:szCs w:val="40"/>
          <w:lang w:val="en-US"/>
        </w:rPr>
        <w:t>Development and Testing of a Comprehensive Incident Response Plan</w:t>
      </w:r>
    </w:p>
    <w:p w:rsidR="449784E7" w:rsidP="732EE1AE" w:rsidRDefault="449784E7" w14:paraId="71ED0D04" w14:textId="233BABC5">
      <w:pPr>
        <w:pStyle w:val="Normal"/>
        <w:jc w:val="center"/>
        <w:rPr>
          <w:rFonts w:ascii="Calibri" w:hAnsi="Calibri" w:eastAsia="Calibri" w:cs="Calibri"/>
          <w:b w:val="1"/>
          <w:bCs w:val="1"/>
          <w:noProof w:val="0"/>
          <w:sz w:val="40"/>
          <w:szCs w:val="40"/>
          <w:lang w:val="en-US"/>
        </w:rPr>
      </w:pPr>
      <w:r w:rsidRPr="732EE1AE" w:rsidR="449784E7">
        <w:rPr>
          <w:rFonts w:ascii="Calibri" w:hAnsi="Calibri" w:eastAsia="Calibri" w:cs="Calibri"/>
          <w:b w:val="1"/>
          <w:bCs w:val="1"/>
          <w:noProof w:val="0"/>
          <w:sz w:val="40"/>
          <w:szCs w:val="40"/>
          <w:lang w:val="en-US"/>
        </w:rPr>
        <w:t>Team Members</w:t>
      </w:r>
    </w:p>
    <w:p w:rsidR="449784E7" w:rsidP="732EE1AE" w:rsidRDefault="449784E7" w14:paraId="4137C698" w14:textId="7EFA6078">
      <w:pPr>
        <w:pStyle w:val="Normal"/>
        <w:jc w:val="center"/>
        <w:rPr>
          <w:rFonts w:ascii="Calibri" w:hAnsi="Calibri" w:eastAsia="Calibri" w:cs="Calibri"/>
          <w:b w:val="1"/>
          <w:bCs w:val="1"/>
          <w:noProof w:val="0"/>
          <w:sz w:val="40"/>
          <w:szCs w:val="40"/>
          <w:lang w:val="en-US"/>
        </w:rPr>
      </w:pPr>
      <w:r w:rsidRPr="732EE1AE" w:rsidR="449784E7">
        <w:rPr>
          <w:rFonts w:ascii="Calibri" w:hAnsi="Calibri" w:eastAsia="Calibri" w:cs="Calibri"/>
          <w:b w:val="1"/>
          <w:bCs w:val="1"/>
          <w:noProof w:val="0"/>
          <w:sz w:val="40"/>
          <w:szCs w:val="40"/>
          <w:lang w:val="en-US"/>
        </w:rPr>
        <w:t>Shehab Elden Hesham Hanafy</w:t>
      </w:r>
    </w:p>
    <w:p w:rsidR="449784E7" w:rsidP="732EE1AE" w:rsidRDefault="449784E7" w14:paraId="0BB59E32" w14:textId="5BC4D505">
      <w:pPr>
        <w:pStyle w:val="Normal"/>
        <w:jc w:val="center"/>
        <w:rPr>
          <w:rFonts w:ascii="Calibri" w:hAnsi="Calibri" w:eastAsia="Calibri" w:cs="Calibri"/>
          <w:b w:val="1"/>
          <w:bCs w:val="1"/>
          <w:noProof w:val="0"/>
          <w:sz w:val="40"/>
          <w:szCs w:val="40"/>
          <w:lang w:val="en-US"/>
        </w:rPr>
      </w:pPr>
      <w:r w:rsidRPr="732EE1AE" w:rsidR="449784E7">
        <w:rPr>
          <w:rFonts w:ascii="Calibri" w:hAnsi="Calibri" w:eastAsia="Calibri" w:cs="Calibri"/>
          <w:b w:val="1"/>
          <w:bCs w:val="1"/>
          <w:noProof w:val="0"/>
          <w:sz w:val="40"/>
          <w:szCs w:val="40"/>
          <w:lang w:val="en-US"/>
        </w:rPr>
        <w:t xml:space="preserve">Momen </w:t>
      </w:r>
      <w:r w:rsidRPr="732EE1AE" w:rsidR="02A32117">
        <w:rPr>
          <w:rFonts w:ascii="Calibri" w:hAnsi="Calibri" w:eastAsia="Calibri" w:cs="Calibri"/>
          <w:b w:val="1"/>
          <w:bCs w:val="1"/>
          <w:noProof w:val="0"/>
          <w:sz w:val="40"/>
          <w:szCs w:val="40"/>
          <w:lang w:val="en-US"/>
        </w:rPr>
        <w:t xml:space="preserve">Ahmed Abdelhady </w:t>
      </w:r>
    </w:p>
    <w:p w:rsidR="02A32117" w:rsidP="732EE1AE" w:rsidRDefault="02A32117" w14:paraId="7508CF68" w14:textId="7826C9CF">
      <w:pPr>
        <w:pStyle w:val="Normal"/>
        <w:jc w:val="center"/>
        <w:rPr>
          <w:rFonts w:ascii="Calibri" w:hAnsi="Calibri" w:eastAsia="Calibri" w:cs="Calibri"/>
          <w:b w:val="1"/>
          <w:bCs w:val="1"/>
          <w:noProof w:val="0"/>
          <w:sz w:val="40"/>
          <w:szCs w:val="40"/>
          <w:lang w:val="en-US"/>
        </w:rPr>
      </w:pPr>
      <w:r w:rsidRPr="732EE1AE" w:rsidR="02A32117">
        <w:rPr>
          <w:rFonts w:ascii="Calibri" w:hAnsi="Calibri" w:eastAsia="Calibri" w:cs="Calibri"/>
          <w:b w:val="1"/>
          <w:bCs w:val="1"/>
          <w:noProof w:val="0"/>
          <w:sz w:val="40"/>
          <w:szCs w:val="40"/>
          <w:lang w:val="en-US"/>
        </w:rPr>
        <w:t>Abdelfatah Mostafa Yahya</w:t>
      </w:r>
    </w:p>
    <w:p w:rsidR="02A32117" w:rsidP="732EE1AE" w:rsidRDefault="02A32117" w14:paraId="0AF6B6D6" w14:textId="58AFDD3C">
      <w:pPr>
        <w:pStyle w:val="Normal"/>
        <w:jc w:val="center"/>
        <w:rPr>
          <w:rFonts w:ascii="Calibri" w:hAnsi="Calibri" w:eastAsia="Calibri" w:cs="Calibri"/>
          <w:b w:val="1"/>
          <w:bCs w:val="1"/>
          <w:noProof w:val="0"/>
          <w:sz w:val="40"/>
          <w:szCs w:val="40"/>
          <w:lang w:val="en-US"/>
        </w:rPr>
      </w:pPr>
      <w:r w:rsidRPr="732EE1AE" w:rsidR="02A32117">
        <w:rPr>
          <w:rFonts w:ascii="Calibri" w:hAnsi="Calibri" w:eastAsia="Calibri" w:cs="Calibri"/>
          <w:b w:val="1"/>
          <w:bCs w:val="1"/>
          <w:noProof w:val="0"/>
          <w:sz w:val="40"/>
          <w:szCs w:val="40"/>
          <w:lang w:val="en-US"/>
        </w:rPr>
        <w:t xml:space="preserve">Zyad Sobhy Amin </w:t>
      </w:r>
    </w:p>
    <w:p w:rsidR="02A32117" w:rsidP="732EE1AE" w:rsidRDefault="02A32117" w14:paraId="7C9A9157" w14:textId="1D201771">
      <w:pPr>
        <w:pStyle w:val="Normal"/>
        <w:jc w:val="center"/>
        <w:rPr>
          <w:rFonts w:ascii="Calibri" w:hAnsi="Calibri" w:eastAsia="Calibri" w:cs="Calibri"/>
          <w:b w:val="1"/>
          <w:bCs w:val="1"/>
          <w:noProof w:val="0"/>
          <w:sz w:val="40"/>
          <w:szCs w:val="40"/>
          <w:lang w:val="en-US"/>
        </w:rPr>
      </w:pPr>
      <w:r w:rsidRPr="732EE1AE" w:rsidR="02A32117">
        <w:rPr>
          <w:rFonts w:ascii="Calibri" w:hAnsi="Calibri" w:eastAsia="Calibri" w:cs="Calibri"/>
          <w:b w:val="1"/>
          <w:bCs w:val="1"/>
          <w:noProof w:val="0"/>
          <w:sz w:val="40"/>
          <w:szCs w:val="40"/>
          <w:lang w:val="en-US"/>
        </w:rPr>
        <w:t xml:space="preserve">Osama Hassan Yossef </w:t>
      </w:r>
    </w:p>
    <w:p w:rsidR="0386688B" w:rsidP="732EE1AE" w:rsidRDefault="0386688B" w14:paraId="5F64816D" w14:textId="24E0EA0B">
      <w:pPr>
        <w:pStyle w:val="Heading2"/>
        <w:spacing w:before="299" w:beforeAutospacing="off" w:after="299" w:afterAutospacing="off"/>
        <w:jc w:val="left"/>
        <w:rPr>
          <w:rFonts w:ascii="Calibri" w:hAnsi="Calibri" w:eastAsia="Calibri" w:cs="Calibri" w:asciiTheme="majorAscii" w:hAnsiTheme="majorAscii" w:eastAsiaTheme="majorAscii" w:cstheme="majorAscii"/>
          <w:b w:val="1"/>
          <w:bCs w:val="1"/>
          <w:noProof w:val="0"/>
          <w:color w:val="auto"/>
          <w:sz w:val="36"/>
          <w:szCs w:val="36"/>
          <w:lang w:val="en-US"/>
        </w:rPr>
      </w:pPr>
      <w:r w:rsidRPr="732EE1AE" w:rsidR="0386688B">
        <w:rPr>
          <w:rFonts w:ascii="Calibri" w:hAnsi="Calibri" w:eastAsia="Calibri" w:cs="Calibri" w:asciiTheme="majorAscii" w:hAnsiTheme="majorAscii" w:eastAsiaTheme="majorAscii" w:cstheme="majorAscii"/>
          <w:b w:val="1"/>
          <w:bCs w:val="1"/>
          <w:noProof w:val="0"/>
          <w:color w:val="auto"/>
          <w:sz w:val="36"/>
          <w:szCs w:val="36"/>
          <w:lang w:val="en-US"/>
        </w:rPr>
        <w:t>Introduction</w:t>
      </w:r>
    </w:p>
    <w:p w:rsidR="0386688B" w:rsidP="732EE1AE" w:rsidRDefault="0386688B" w14:paraId="5EAFD1CB" w14:textId="2BD3844E">
      <w:pPr>
        <w:spacing w:before="240" w:beforeAutospacing="off" w:after="240" w:afterAutospacing="off"/>
        <w:jc w:val="left"/>
        <w:rPr>
          <w:rFonts w:ascii="Calibri" w:hAnsi="Calibri" w:eastAsia="Calibri" w:cs="Calibri" w:asciiTheme="majorAscii" w:hAnsiTheme="majorAscii" w:eastAsiaTheme="majorAscii" w:cstheme="majorAscii"/>
          <w:b w:val="0"/>
          <w:bCs w:val="0"/>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In today’s evolving cyber threat landscape, organizations face persistent challenges in detecting, responding to, and recovering from security incidents. To effectively address these risks, it is crucial to </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establish</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 a well-structured, proactive, and tested </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Incident Response (IR) Plan</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w:t>
      </w:r>
    </w:p>
    <w:p w:rsidR="0386688B" w:rsidP="732EE1AE" w:rsidRDefault="0386688B" w14:paraId="249FF403" w14:textId="0A0623C8">
      <w:pPr>
        <w:spacing w:before="240" w:beforeAutospacing="off" w:after="240" w:afterAutospacing="off"/>
        <w:jc w:val="left"/>
        <w:rPr>
          <w:rFonts w:ascii="Calibri" w:hAnsi="Calibri" w:eastAsia="Calibri" w:cs="Calibri" w:asciiTheme="majorAscii" w:hAnsiTheme="majorAscii" w:eastAsiaTheme="majorAscii" w:cstheme="majorAscii"/>
          <w:b w:val="0"/>
          <w:bCs w:val="0"/>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This project, titled </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“Development and Testing of a Comprehensive Incident Response Plan,”</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 aims to design and </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validate</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 an effective response framework based on the </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NIST SP 800-61 (Computer Security Incident Handling Guide)</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 The project will utilize </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Wazuh</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 SIEM</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 for monitoring and log analysis, and </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Caldera</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 as the attacker simulation and Command &amp; Control (C2) platform. The testing environment will include two target machines to simulate and respond to two attack scenarios — a </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Phishing Attack</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 and an </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Insider Threat Attack</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w:t>
      </w:r>
    </w:p>
    <w:p w:rsidR="0386688B" w:rsidP="732EE1AE" w:rsidRDefault="0386688B" w14:paraId="33D02273" w14:textId="277CC3E0">
      <w:pPr>
        <w:spacing w:before="240" w:beforeAutospacing="off" w:after="240" w:afterAutospacing="off"/>
        <w:jc w:val="left"/>
        <w:rPr>
          <w:rFonts w:ascii="Calibri" w:hAnsi="Calibri" w:eastAsia="Calibri" w:cs="Calibri" w:asciiTheme="majorAscii" w:hAnsiTheme="majorAscii" w:eastAsiaTheme="majorAscii" w:cstheme="majorAscii"/>
          <w:b w:val="0"/>
          <w:bCs w:val="0"/>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By integrating practical tools and simulation environments, this research </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seeks</w:t>
      </w:r>
      <w:r w:rsidRPr="732EE1AE" w:rsidR="0386688B">
        <w:rPr>
          <w:rFonts w:ascii="Calibri" w:hAnsi="Calibri" w:eastAsia="Calibri" w:cs="Calibri" w:asciiTheme="majorAscii" w:hAnsiTheme="majorAscii" w:eastAsiaTheme="majorAscii" w:cstheme="majorAscii"/>
          <w:b w:val="0"/>
          <w:bCs w:val="0"/>
          <w:noProof w:val="0"/>
          <w:color w:val="auto"/>
          <w:sz w:val="28"/>
          <w:szCs w:val="28"/>
          <w:lang w:val="en-US"/>
        </w:rPr>
        <w:t xml:space="preserve"> to bridge the gap between theoretical frameworks and real-world application, ensuring that the developed plan not only aligns with best practices but also proves effective under realistic attack conditions.</w:t>
      </w:r>
    </w:p>
    <w:p w:rsidR="0386688B" w:rsidP="732EE1AE" w:rsidRDefault="0386688B" w14:paraId="590B7178" w14:textId="514982E3">
      <w:pPr>
        <w:pStyle w:val="Heading2"/>
        <w:spacing w:before="299" w:beforeAutospacing="off" w:after="299" w:afterAutospacing="off"/>
        <w:jc w:val="left"/>
        <w:rPr>
          <w:rFonts w:ascii="Calibri" w:hAnsi="Calibri" w:eastAsia="Calibri" w:cs="Calibri" w:asciiTheme="majorAscii" w:hAnsiTheme="majorAscii" w:eastAsiaTheme="majorAscii" w:cstheme="majorAscii"/>
          <w:b w:val="1"/>
          <w:bCs w:val="1"/>
          <w:noProof w:val="0"/>
          <w:color w:val="auto"/>
          <w:sz w:val="32"/>
          <w:szCs w:val="32"/>
          <w:lang w:val="en-US"/>
        </w:rPr>
      </w:pPr>
      <w:r w:rsidRPr="732EE1AE" w:rsidR="0386688B">
        <w:rPr>
          <w:rFonts w:ascii="Calibri" w:hAnsi="Calibri" w:eastAsia="Calibri" w:cs="Calibri" w:asciiTheme="majorAscii" w:hAnsiTheme="majorAscii" w:eastAsiaTheme="majorAscii" w:cstheme="majorAscii"/>
          <w:b w:val="1"/>
          <w:bCs w:val="1"/>
          <w:noProof w:val="0"/>
          <w:color w:val="auto"/>
          <w:sz w:val="32"/>
          <w:szCs w:val="32"/>
          <w:lang w:val="en-US"/>
        </w:rPr>
        <w:t>Objectives</w:t>
      </w:r>
    </w:p>
    <w:p w:rsidR="0386688B" w:rsidP="732EE1AE" w:rsidRDefault="0386688B" w14:paraId="3A8D55F4" w14:textId="3ABB4AC3">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The main </w:t>
      </w:r>
      <w:r w:rsidRPr="732EE1AE" w:rsidR="0386688B">
        <w:rPr>
          <w:rFonts w:ascii="Calibri" w:hAnsi="Calibri" w:eastAsia="Calibri" w:cs="Calibri" w:asciiTheme="majorAscii" w:hAnsiTheme="majorAscii" w:eastAsiaTheme="majorAscii" w:cstheme="majorAscii"/>
          <w:noProof w:val="0"/>
          <w:color w:val="auto"/>
          <w:sz w:val="28"/>
          <w:szCs w:val="28"/>
          <w:lang w:val="en-US"/>
        </w:rPr>
        <w:t>objectives</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of this research and development project are as follows:</w:t>
      </w:r>
    </w:p>
    <w:p w:rsidR="0386688B" w:rsidP="732EE1AE" w:rsidRDefault="0386688B" w14:paraId="5F1229E4" w14:textId="4256A2FE">
      <w:pPr>
        <w:pStyle w:val="ListParagraph"/>
        <w:numPr>
          <w:ilvl w:val="0"/>
          <w:numId w:val="10"/>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To analyze and summarize</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best practices in incident response based on NIST standards and other relevant frameworks.</w:t>
      </w:r>
    </w:p>
    <w:p w:rsidR="0386688B" w:rsidP="732EE1AE" w:rsidRDefault="0386688B" w14:paraId="6C0586A6" w14:textId="06031326">
      <w:pPr>
        <w:pStyle w:val="ListParagraph"/>
        <w:numPr>
          <w:ilvl w:val="0"/>
          <w:numId w:val="10"/>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To develop</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 structured and comprehensive Incident Response Plan addressing all major phases — preparation, detection, containment, eradication, recovery, and lessons learned.</w:t>
      </w:r>
    </w:p>
    <w:p w:rsidR="0386688B" w:rsidP="732EE1AE" w:rsidRDefault="0386688B" w14:paraId="6FBA25E8" w14:textId="2065D439">
      <w:pPr>
        <w:pStyle w:val="ListParagraph"/>
        <w:numPr>
          <w:ilvl w:val="0"/>
          <w:numId w:val="10"/>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To simulate and test</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real-world cyber incidents using </w:t>
      </w:r>
      <w:r w:rsidRPr="732EE1AE" w:rsidR="0386688B">
        <w:rPr>
          <w:rFonts w:ascii="Calibri" w:hAnsi="Calibri" w:eastAsia="Calibri" w:cs="Calibri" w:asciiTheme="majorAscii" w:hAnsiTheme="majorAscii" w:eastAsiaTheme="majorAscii" w:cstheme="majorAscii"/>
          <w:noProof w:val="0"/>
          <w:color w:val="auto"/>
          <w:sz w:val="28"/>
          <w:szCs w:val="28"/>
          <w:lang w:val="en-US"/>
        </w:rPr>
        <w:t>Wazuh</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SIEM and Caldera C2 to evaluate the plan’s effectiveness.</w:t>
      </w:r>
    </w:p>
    <w:p w:rsidR="0386688B" w:rsidP="732EE1AE" w:rsidRDefault="0386688B" w14:paraId="5CE57B53" w14:textId="20E054E8">
      <w:pPr>
        <w:pStyle w:val="ListParagraph"/>
        <w:numPr>
          <w:ilvl w:val="0"/>
          <w:numId w:val="10"/>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To assess organizational readiness</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and the efficiency of the response process under phishing and insider threat scenarios.</w:t>
      </w:r>
    </w:p>
    <w:p w:rsidR="0386688B" w:rsidP="732EE1AE" w:rsidRDefault="0386688B" w14:paraId="2CBBA382" w14:textId="5ABCF8AD">
      <w:pPr>
        <w:pStyle w:val="ListParagraph"/>
        <w:numPr>
          <w:ilvl w:val="0"/>
          <w:numId w:val="10"/>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To provide recommendations</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for improving detection, communication, and recovery procedures.</w:t>
      </w:r>
    </w:p>
    <w:p w:rsidR="732EE1AE" w:rsidP="732EE1AE" w:rsidRDefault="732EE1AE" w14:paraId="02F9B894" w14:textId="3B8B44C8">
      <w:pPr>
        <w:jc w:val="left"/>
        <w:rPr>
          <w:rFonts w:ascii="Calibri" w:hAnsi="Calibri" w:eastAsia="Calibri" w:cs="Calibri" w:asciiTheme="majorAscii" w:hAnsiTheme="majorAscii" w:eastAsiaTheme="majorAscii" w:cstheme="majorAscii"/>
          <w:color w:val="auto"/>
          <w:sz w:val="28"/>
          <w:szCs w:val="28"/>
        </w:rPr>
      </w:pPr>
    </w:p>
    <w:p w:rsidR="0386688B" w:rsidP="732EE1AE" w:rsidRDefault="0386688B" w14:paraId="7BD8C296" w14:textId="2B6614E0">
      <w:pPr>
        <w:pStyle w:val="Heading2"/>
        <w:spacing w:before="299" w:beforeAutospacing="off" w:after="299" w:afterAutospacing="off"/>
        <w:jc w:val="left"/>
        <w:rPr>
          <w:rFonts w:ascii="Calibri" w:hAnsi="Calibri" w:eastAsia="Calibri" w:cs="Calibri" w:asciiTheme="majorAscii" w:hAnsiTheme="majorAscii" w:eastAsiaTheme="majorAscii" w:cstheme="majorAscii"/>
          <w:b w:val="1"/>
          <w:bCs w:val="1"/>
          <w:noProof w:val="0"/>
          <w:color w:val="auto"/>
          <w:sz w:val="32"/>
          <w:szCs w:val="32"/>
          <w:lang w:val="en-US"/>
        </w:rPr>
      </w:pPr>
      <w:r w:rsidRPr="732EE1AE" w:rsidR="0386688B">
        <w:rPr>
          <w:rFonts w:ascii="Calibri" w:hAnsi="Calibri" w:eastAsia="Calibri" w:cs="Calibri" w:asciiTheme="majorAscii" w:hAnsiTheme="majorAscii" w:eastAsiaTheme="majorAscii" w:cstheme="majorAscii"/>
          <w:b w:val="1"/>
          <w:bCs w:val="1"/>
          <w:noProof w:val="0"/>
          <w:color w:val="auto"/>
          <w:sz w:val="32"/>
          <w:szCs w:val="32"/>
          <w:lang w:val="en-US"/>
        </w:rPr>
        <w:t>Scope</w:t>
      </w:r>
    </w:p>
    <w:p w:rsidR="0386688B" w:rsidP="732EE1AE" w:rsidRDefault="0386688B" w14:paraId="01CC38EA" w14:textId="610134EF">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The scope of this project focuses on the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design, implementation, and testing</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of an Incident Response framework within a controlled lab environment. It covers:</w:t>
      </w:r>
    </w:p>
    <w:p w:rsidR="0386688B" w:rsidP="732EE1AE" w:rsidRDefault="0386688B" w14:paraId="37B08567" w14:textId="09375AE6">
      <w:pPr>
        <w:pStyle w:val="ListParagraph"/>
        <w:numPr>
          <w:ilvl w:val="0"/>
          <w:numId w:val="11"/>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Application of the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NIST SP 800-61</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framework as the core structure for the plan.</w:t>
      </w:r>
    </w:p>
    <w:p w:rsidR="0386688B" w:rsidP="732EE1AE" w:rsidRDefault="0386688B" w14:paraId="65BD54C9" w14:textId="24340E56">
      <w:pPr>
        <w:pStyle w:val="ListParagraph"/>
        <w:numPr>
          <w:ilvl w:val="0"/>
          <w:numId w:val="11"/>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Utilization</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of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Wazuh</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for threat detection, event correlation, and log management.</w:t>
      </w:r>
    </w:p>
    <w:p w:rsidR="0386688B" w:rsidP="732EE1AE" w:rsidRDefault="0386688B" w14:paraId="7D0B2EAC" w14:textId="3DD75C5C">
      <w:pPr>
        <w:pStyle w:val="ListParagraph"/>
        <w:numPr>
          <w:ilvl w:val="0"/>
          <w:numId w:val="11"/>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Deployment of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Caldera</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as the attacker machine and C2 server to simulate adversarial behavior.</w:t>
      </w:r>
    </w:p>
    <w:p w:rsidR="0386688B" w:rsidP="732EE1AE" w:rsidRDefault="0386688B" w14:paraId="7FCC0C97" w14:textId="0A769F1E">
      <w:pPr>
        <w:pStyle w:val="ListParagraph"/>
        <w:numPr>
          <w:ilvl w:val="0"/>
          <w:numId w:val="11"/>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Execution of two primary incident types:</w:t>
      </w:r>
    </w:p>
    <w:p w:rsidR="0386688B" w:rsidP="732EE1AE" w:rsidRDefault="0386688B" w14:paraId="62A77B18" w14:textId="5EDA4179">
      <w:pPr>
        <w:pStyle w:val="ListParagraph"/>
        <w:numPr>
          <w:ilvl w:val="1"/>
          <w:numId w:val="11"/>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Phishing Attack</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 targeting user credentials and initial access.</w:t>
      </w:r>
    </w:p>
    <w:p w:rsidR="0386688B" w:rsidP="732EE1AE" w:rsidRDefault="0386688B" w14:paraId="425765A8" w14:textId="44A2003B">
      <w:pPr>
        <w:pStyle w:val="ListParagraph"/>
        <w:numPr>
          <w:ilvl w:val="1"/>
          <w:numId w:val="11"/>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Insider Attack</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 simulating malicious activity from within the organization.</w:t>
      </w:r>
    </w:p>
    <w:p w:rsidR="0386688B" w:rsidP="732EE1AE" w:rsidRDefault="0386688B" w14:paraId="418AF594" w14:textId="0FBE33B9">
      <w:pPr>
        <w:pStyle w:val="ListParagraph"/>
        <w:numPr>
          <w:ilvl w:val="0"/>
          <w:numId w:val="11"/>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Documentation of findings, response efficiency, and improvement areas following each test scenario.</w:t>
      </w:r>
    </w:p>
    <w:p w:rsidR="0386688B" w:rsidP="732EE1AE" w:rsidRDefault="0386688B" w14:paraId="66A404DD" w14:textId="66748380">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This scope ensures that both detection and response capabilities are examined from a technical and procedural perspective, aligning with real-world operational challenges.</w:t>
      </w:r>
    </w:p>
    <w:p w:rsidR="0386688B" w:rsidP="732EE1AE" w:rsidRDefault="0386688B" w14:paraId="6627E753" w14:textId="7C2312BF">
      <w:pPr>
        <w:pStyle w:val="Heading2"/>
        <w:spacing w:before="299" w:beforeAutospacing="off" w:after="299" w:afterAutospacing="off"/>
        <w:jc w:val="left"/>
        <w:rPr>
          <w:rFonts w:ascii="Calibri" w:hAnsi="Calibri" w:eastAsia="Calibri" w:cs="Calibri" w:asciiTheme="majorAscii" w:hAnsiTheme="majorAscii" w:eastAsiaTheme="majorAscii" w:cstheme="majorAscii"/>
          <w:b w:val="1"/>
          <w:bCs w:val="1"/>
          <w:noProof w:val="0"/>
          <w:color w:val="auto"/>
          <w:sz w:val="36"/>
          <w:szCs w:val="36"/>
          <w:lang w:val="en-US"/>
        </w:rPr>
      </w:pPr>
      <w:r w:rsidRPr="732EE1AE" w:rsidR="0386688B">
        <w:rPr>
          <w:rFonts w:ascii="Calibri" w:hAnsi="Calibri" w:eastAsia="Calibri" w:cs="Calibri" w:asciiTheme="majorAscii" w:hAnsiTheme="majorAscii" w:eastAsiaTheme="majorAscii" w:cstheme="majorAscii"/>
          <w:b w:val="1"/>
          <w:bCs w:val="1"/>
          <w:noProof w:val="0"/>
          <w:color w:val="auto"/>
          <w:sz w:val="36"/>
          <w:szCs w:val="36"/>
          <w:lang w:val="en-US"/>
        </w:rPr>
        <w:t>Incident Response Frameworks Comparison</w:t>
      </w:r>
    </w:p>
    <w:p w:rsidR="0386688B" w:rsidP="732EE1AE" w:rsidRDefault="0386688B" w14:paraId="5C5C0205" w14:textId="7DD7BEE3">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This section provides a comparative overview of three leading incident response frameworks —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NIST SP 800-61</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ISO/IEC 27035</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and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SANS</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 to </w:t>
      </w:r>
      <w:r w:rsidRPr="732EE1AE" w:rsidR="0386688B">
        <w:rPr>
          <w:rFonts w:ascii="Calibri" w:hAnsi="Calibri" w:eastAsia="Calibri" w:cs="Calibri" w:asciiTheme="majorAscii" w:hAnsiTheme="majorAscii" w:eastAsiaTheme="majorAscii" w:cstheme="majorAscii"/>
          <w:noProof w:val="0"/>
          <w:color w:val="auto"/>
          <w:sz w:val="28"/>
          <w:szCs w:val="28"/>
          <w:lang w:val="en-US"/>
        </w:rPr>
        <w:t>identify</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best practices and </w:t>
      </w:r>
      <w:r w:rsidRPr="732EE1AE" w:rsidR="0386688B">
        <w:rPr>
          <w:rFonts w:ascii="Calibri" w:hAnsi="Calibri" w:eastAsia="Calibri" w:cs="Calibri" w:asciiTheme="majorAscii" w:hAnsiTheme="majorAscii" w:eastAsiaTheme="majorAscii" w:cstheme="majorAscii"/>
          <w:noProof w:val="0"/>
          <w:color w:val="auto"/>
          <w:sz w:val="28"/>
          <w:szCs w:val="28"/>
          <w:lang w:val="en-US"/>
        </w:rPr>
        <w:t>determine</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which approach best supports the creation of a comprehensive and effective Incident Response Plan.</w:t>
      </w:r>
    </w:p>
    <w:p w:rsidR="732EE1AE" w:rsidP="732EE1AE" w:rsidRDefault="732EE1AE" w14:paraId="59508C41" w14:textId="470BBFC7">
      <w:pPr>
        <w:jc w:val="left"/>
        <w:rPr>
          <w:rFonts w:ascii="Calibri" w:hAnsi="Calibri" w:eastAsia="Calibri" w:cs="Calibri" w:asciiTheme="majorAscii" w:hAnsiTheme="majorAscii" w:eastAsiaTheme="majorAscii" w:cstheme="majorAscii"/>
          <w:color w:val="auto"/>
          <w:sz w:val="28"/>
          <w:szCs w:val="28"/>
        </w:rPr>
      </w:pPr>
    </w:p>
    <w:p w:rsidR="0386688B" w:rsidP="732EE1AE" w:rsidRDefault="0386688B" w14:paraId="2DF734B4" w14:textId="6B00742C">
      <w:pPr>
        <w:pStyle w:val="Heading3"/>
        <w:spacing w:before="281" w:beforeAutospacing="off" w:after="281" w:afterAutospacing="off"/>
        <w:jc w:val="left"/>
        <w:rPr>
          <w:rFonts w:ascii="Calibri" w:hAnsi="Calibri" w:eastAsia="Calibri" w:cs="Calibri" w:asciiTheme="majorAscii" w:hAnsiTheme="majorAscii" w:eastAsiaTheme="majorAscii" w:cstheme="majorAscii"/>
          <w:b w:val="1"/>
          <w:bCs w:val="1"/>
          <w:noProof w:val="0"/>
          <w:color w:val="auto"/>
          <w:sz w:val="32"/>
          <w:szCs w:val="32"/>
          <w:lang w:val="en-US"/>
        </w:rPr>
      </w:pPr>
      <w:r w:rsidRPr="732EE1AE" w:rsidR="0386688B">
        <w:rPr>
          <w:rFonts w:ascii="Calibri" w:hAnsi="Calibri" w:eastAsia="Calibri" w:cs="Calibri" w:asciiTheme="majorAscii" w:hAnsiTheme="majorAscii" w:eastAsiaTheme="majorAscii" w:cstheme="majorAscii"/>
          <w:b w:val="1"/>
          <w:bCs w:val="1"/>
          <w:noProof w:val="0"/>
          <w:color w:val="auto"/>
          <w:sz w:val="32"/>
          <w:szCs w:val="32"/>
          <w:lang w:val="en-US"/>
        </w:rPr>
        <w:t>NIST SP 800-61 (National Institute of Standards and Technology)</w:t>
      </w:r>
    </w:p>
    <w:p w:rsidR="0386688B" w:rsidP="732EE1AE" w:rsidRDefault="0386688B" w14:paraId="464B17E9" w14:textId="799A6367">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The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NIST SP 800-61 Revision 2</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titled </w:t>
      </w:r>
      <w:r w:rsidRPr="732EE1AE" w:rsidR="0386688B">
        <w:rPr>
          <w:rFonts w:ascii="Calibri" w:hAnsi="Calibri" w:eastAsia="Calibri" w:cs="Calibri" w:asciiTheme="majorAscii" w:hAnsiTheme="majorAscii" w:eastAsiaTheme="majorAscii" w:cstheme="majorAscii"/>
          <w:i w:val="1"/>
          <w:iCs w:val="1"/>
          <w:noProof w:val="0"/>
          <w:color w:val="auto"/>
          <w:sz w:val="28"/>
          <w:szCs w:val="28"/>
          <w:lang w:val="en-US"/>
        </w:rPr>
        <w:t>“Computer Security Incident Handling Guide,”</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is one of the most widely adopted frameworks for managing cybersecurity incidents. It was developed to help organizations </w:t>
      </w:r>
      <w:r w:rsidRPr="732EE1AE" w:rsidR="0386688B">
        <w:rPr>
          <w:rFonts w:ascii="Calibri" w:hAnsi="Calibri" w:eastAsia="Calibri" w:cs="Calibri" w:asciiTheme="majorAscii" w:hAnsiTheme="majorAscii" w:eastAsiaTheme="majorAscii" w:cstheme="majorAscii"/>
          <w:noProof w:val="0"/>
          <w:color w:val="auto"/>
          <w:sz w:val="28"/>
          <w:szCs w:val="28"/>
          <w:lang w:val="en-US"/>
        </w:rPr>
        <w:t>establish</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 structured and repeatable process for incident detection, containment, eradication, and recovery.</w:t>
      </w:r>
    </w:p>
    <w:p w:rsidR="0386688B" w:rsidP="732EE1AE" w:rsidRDefault="0386688B" w14:paraId="07FB039A" w14:textId="7178DD89">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NIST divides the incident response lifecycle into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four main phases</w:t>
      </w:r>
      <w:r w:rsidRPr="732EE1AE" w:rsidR="0386688B">
        <w:rPr>
          <w:rFonts w:ascii="Calibri" w:hAnsi="Calibri" w:eastAsia="Calibri" w:cs="Calibri" w:asciiTheme="majorAscii" w:hAnsiTheme="majorAscii" w:eastAsiaTheme="majorAscii" w:cstheme="majorAscii"/>
          <w:noProof w:val="0"/>
          <w:color w:val="auto"/>
          <w:sz w:val="28"/>
          <w:szCs w:val="28"/>
          <w:lang w:val="en-US"/>
        </w:rPr>
        <w:t>:</w:t>
      </w:r>
    </w:p>
    <w:p w:rsidR="0386688B" w:rsidP="732EE1AE" w:rsidRDefault="0386688B" w14:paraId="2F25E0B4" w14:textId="662599F9">
      <w:pPr>
        <w:pStyle w:val="ListParagraph"/>
        <w:numPr>
          <w:ilvl w:val="0"/>
          <w:numId w:val="12"/>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Preparation:</w:t>
      </w:r>
      <w:r>
        <w:br/>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This phase focuses on building the foundation for effective incident response. It includes </w:t>
      </w:r>
      <w:r w:rsidRPr="732EE1AE" w:rsidR="0386688B">
        <w:rPr>
          <w:rFonts w:ascii="Calibri" w:hAnsi="Calibri" w:eastAsia="Calibri" w:cs="Calibri" w:asciiTheme="majorAscii" w:hAnsiTheme="majorAscii" w:eastAsiaTheme="majorAscii" w:cstheme="majorAscii"/>
          <w:noProof w:val="0"/>
          <w:color w:val="auto"/>
          <w:sz w:val="28"/>
          <w:szCs w:val="28"/>
          <w:lang w:val="en-US"/>
        </w:rPr>
        <w:t>establishing</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an incident response team, defining communication plans, deploying necessary tools (such as SIEM systems), and conducting regular training and awareness programs to ensure readiness.</w:t>
      </w:r>
    </w:p>
    <w:p w:rsidR="0386688B" w:rsidP="732EE1AE" w:rsidRDefault="0386688B" w14:paraId="1FB0F0DF" w14:textId="18911195">
      <w:pPr>
        <w:pStyle w:val="ListParagraph"/>
        <w:numPr>
          <w:ilvl w:val="0"/>
          <w:numId w:val="12"/>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Detection and Analysis:</w:t>
      </w:r>
      <w:r>
        <w:br/>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In this stage, organizations focus on </w:t>
      </w:r>
      <w:r w:rsidRPr="732EE1AE" w:rsidR="0386688B">
        <w:rPr>
          <w:rFonts w:ascii="Calibri" w:hAnsi="Calibri" w:eastAsia="Calibri" w:cs="Calibri" w:asciiTheme="majorAscii" w:hAnsiTheme="majorAscii" w:eastAsiaTheme="majorAscii" w:cstheme="majorAscii"/>
          <w:noProof w:val="0"/>
          <w:color w:val="auto"/>
          <w:sz w:val="28"/>
          <w:szCs w:val="28"/>
          <w:lang w:val="en-US"/>
        </w:rPr>
        <w:t>identifying</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suspicious activities through monitoring tools, logs, and alerts. Analysts </w:t>
      </w:r>
      <w:r w:rsidRPr="732EE1AE" w:rsidR="0386688B">
        <w:rPr>
          <w:rFonts w:ascii="Calibri" w:hAnsi="Calibri" w:eastAsia="Calibri" w:cs="Calibri" w:asciiTheme="majorAscii" w:hAnsiTheme="majorAscii" w:eastAsiaTheme="majorAscii" w:cstheme="majorAscii"/>
          <w:noProof w:val="0"/>
          <w:color w:val="auto"/>
          <w:sz w:val="28"/>
          <w:szCs w:val="28"/>
          <w:lang w:val="en-US"/>
        </w:rPr>
        <w:t>validate</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whether a detected event qualifies as an incident, classify it by type and severity, and begin initial documentation and escalation.</w:t>
      </w:r>
    </w:p>
    <w:p w:rsidR="0386688B" w:rsidP="732EE1AE" w:rsidRDefault="0386688B" w14:paraId="4667E7DC" w14:textId="0D9B021B">
      <w:pPr>
        <w:pStyle w:val="ListParagraph"/>
        <w:numPr>
          <w:ilvl w:val="0"/>
          <w:numId w:val="12"/>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Containment, Eradication, and Recovery:</w:t>
      </w:r>
      <w:r>
        <w:br/>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Once an incident is confirmed, containment strategies are applied to prevent further damage (e.g., isolating affected systems). Eradication involves removing malicious artifacts such as malware or unauthorized accounts, while recovery focuses on restoring normal operations safely and verifying that systems are secure.</w:t>
      </w:r>
    </w:p>
    <w:p w:rsidR="0386688B" w:rsidP="732EE1AE" w:rsidRDefault="0386688B" w14:paraId="5BACF1AA" w14:textId="2C84CCED">
      <w:pPr>
        <w:pStyle w:val="ListParagraph"/>
        <w:numPr>
          <w:ilvl w:val="0"/>
          <w:numId w:val="12"/>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Post-Incident Activity:</w:t>
      </w:r>
      <w:r>
        <w:br/>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After recovery, teams conduct a detailed review to document lessons learned, improve detection and response capabilities, and update security controls and policies to prevent recurrence.</w:t>
      </w:r>
    </w:p>
    <w:p w:rsidR="0386688B" w:rsidP="732EE1AE" w:rsidRDefault="0386688B" w14:paraId="26D83653" w14:textId="18145C0F">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NIST’s </w:t>
      </w:r>
      <w:r w:rsidRPr="732EE1AE" w:rsidR="0386688B">
        <w:rPr>
          <w:rFonts w:ascii="Calibri" w:hAnsi="Calibri" w:eastAsia="Calibri" w:cs="Calibri" w:asciiTheme="majorAscii" w:hAnsiTheme="majorAscii" w:eastAsiaTheme="majorAscii" w:cstheme="majorAscii"/>
          <w:noProof w:val="0"/>
          <w:color w:val="auto"/>
          <w:sz w:val="28"/>
          <w:szCs w:val="28"/>
          <w:lang w:val="en-US"/>
        </w:rPr>
        <w:t>methodology</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is valued for its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clarity, structure, and emphasis on documentation and continuous improvement</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It provides an excellent foundation for organizations </w:t>
      </w:r>
      <w:r w:rsidRPr="732EE1AE" w:rsidR="0386688B">
        <w:rPr>
          <w:rFonts w:ascii="Calibri" w:hAnsi="Calibri" w:eastAsia="Calibri" w:cs="Calibri" w:asciiTheme="majorAscii" w:hAnsiTheme="majorAscii" w:eastAsiaTheme="majorAscii" w:cstheme="majorAscii"/>
          <w:noProof w:val="0"/>
          <w:color w:val="auto"/>
          <w:sz w:val="28"/>
          <w:szCs w:val="28"/>
          <w:lang w:val="en-US"/>
        </w:rPr>
        <w:t>seeking</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to build or mature their incident response capabilities, especially when using tools such as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Wazuh</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 xml:space="preserve"> SIEM</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for monitoring and analysis.</w:t>
      </w:r>
    </w:p>
    <w:p w:rsidR="732EE1AE" w:rsidP="732EE1AE" w:rsidRDefault="732EE1AE" w14:paraId="0258120C" w14:textId="3D62554E">
      <w:pPr>
        <w:jc w:val="left"/>
        <w:rPr>
          <w:rFonts w:ascii="Calibri" w:hAnsi="Calibri" w:eastAsia="Calibri" w:cs="Calibri" w:asciiTheme="majorAscii" w:hAnsiTheme="majorAscii" w:eastAsiaTheme="majorAscii" w:cstheme="majorAscii"/>
          <w:color w:val="auto"/>
          <w:sz w:val="28"/>
          <w:szCs w:val="28"/>
        </w:rPr>
      </w:pPr>
    </w:p>
    <w:p w:rsidR="0386688B" w:rsidP="732EE1AE" w:rsidRDefault="0386688B" w14:paraId="54303668" w14:textId="10E92CCF">
      <w:pPr>
        <w:pStyle w:val="Heading3"/>
        <w:spacing w:before="281" w:beforeAutospacing="off" w:after="281" w:afterAutospacing="off"/>
        <w:jc w:val="left"/>
        <w:rPr>
          <w:rFonts w:ascii="Calibri" w:hAnsi="Calibri" w:eastAsia="Calibri" w:cs="Calibri" w:asciiTheme="majorAscii" w:hAnsiTheme="majorAscii" w:eastAsiaTheme="majorAscii" w:cstheme="majorAscii"/>
          <w:b w:val="1"/>
          <w:bCs w:val="1"/>
          <w:noProof w:val="0"/>
          <w:color w:val="auto"/>
          <w:sz w:val="32"/>
          <w:szCs w:val="32"/>
          <w:lang w:val="en-US"/>
        </w:rPr>
      </w:pPr>
      <w:r w:rsidRPr="732EE1AE" w:rsidR="0386688B">
        <w:rPr>
          <w:rFonts w:ascii="Calibri" w:hAnsi="Calibri" w:eastAsia="Calibri" w:cs="Calibri" w:asciiTheme="majorAscii" w:hAnsiTheme="majorAscii" w:eastAsiaTheme="majorAscii" w:cstheme="majorAscii"/>
          <w:b w:val="1"/>
          <w:bCs w:val="1"/>
          <w:noProof w:val="0"/>
          <w:color w:val="auto"/>
          <w:sz w:val="32"/>
          <w:szCs w:val="32"/>
          <w:lang w:val="en-US"/>
        </w:rPr>
        <w:t>ISO/IEC 27035</w:t>
      </w:r>
    </w:p>
    <w:p w:rsidR="0386688B" w:rsidP="732EE1AE" w:rsidRDefault="0386688B" w14:paraId="571DF71A" w14:textId="4E400172">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The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ISO/IEC 27035</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standard defines a global, structured approach to information security incident management that aligns closely with broader governance and risk management systems. It emphasizes the full incident management lifecycle, including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preparation, detection, assessment, response, and post-incident review</w:t>
      </w:r>
      <w:r w:rsidRPr="732EE1AE" w:rsidR="0386688B">
        <w:rPr>
          <w:rFonts w:ascii="Calibri" w:hAnsi="Calibri" w:eastAsia="Calibri" w:cs="Calibri" w:asciiTheme="majorAscii" w:hAnsiTheme="majorAscii" w:eastAsiaTheme="majorAscii" w:cstheme="majorAscii"/>
          <w:noProof w:val="0"/>
          <w:color w:val="auto"/>
          <w:sz w:val="28"/>
          <w:szCs w:val="28"/>
          <w:lang w:val="en-US"/>
        </w:rPr>
        <w:t>.</w:t>
      </w:r>
    </w:p>
    <w:p w:rsidR="0386688B" w:rsidP="732EE1AE" w:rsidRDefault="0386688B" w14:paraId="43D630AA" w14:textId="2F504251">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Unlike NIST, which focuses </w:t>
      </w:r>
      <w:r w:rsidRPr="732EE1AE" w:rsidR="0386688B">
        <w:rPr>
          <w:rFonts w:ascii="Calibri" w:hAnsi="Calibri" w:eastAsia="Calibri" w:cs="Calibri" w:asciiTheme="majorAscii" w:hAnsiTheme="majorAscii" w:eastAsiaTheme="majorAscii" w:cstheme="majorAscii"/>
          <w:noProof w:val="0"/>
          <w:color w:val="auto"/>
          <w:sz w:val="28"/>
          <w:szCs w:val="28"/>
          <w:lang w:val="en-US"/>
        </w:rPr>
        <w:t>mainly on</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operational processes, ISO/IEC 27035 integrates incident response with the organization’s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Information Security Management System (ISMS)</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and overall business continuity strategy. It encourages proactive readiness, clear communication channels, and continuous learning, making it ideal for organizations aiming for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international certification and compliance</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under ISO standards such as ISO/IEC 27001.</w:t>
      </w:r>
    </w:p>
    <w:p w:rsidR="0386688B" w:rsidP="732EE1AE" w:rsidRDefault="0386688B" w14:paraId="75AE6215" w14:textId="0139F8C1">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The key strength of ISO/IEC 27035 lies in its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governance and scalability</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 it provides a framework that ensures incident response is not an isolated technical function but a strategic </w:t>
      </w:r>
      <w:r w:rsidRPr="732EE1AE" w:rsidR="0386688B">
        <w:rPr>
          <w:rFonts w:ascii="Calibri" w:hAnsi="Calibri" w:eastAsia="Calibri" w:cs="Calibri" w:asciiTheme="majorAscii" w:hAnsiTheme="majorAscii" w:eastAsiaTheme="majorAscii" w:cstheme="majorAscii"/>
          <w:noProof w:val="0"/>
          <w:color w:val="auto"/>
          <w:sz w:val="28"/>
          <w:szCs w:val="28"/>
          <w:lang w:val="en-US"/>
        </w:rPr>
        <w:t>component</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of risk and security management across the enterprise.</w:t>
      </w:r>
    </w:p>
    <w:p w:rsidR="732EE1AE" w:rsidP="732EE1AE" w:rsidRDefault="732EE1AE" w14:paraId="79ED4AAB" w14:textId="0F2AC9F0">
      <w:pPr>
        <w:jc w:val="left"/>
        <w:rPr>
          <w:rFonts w:ascii="Calibri" w:hAnsi="Calibri" w:eastAsia="Calibri" w:cs="Calibri" w:asciiTheme="majorAscii" w:hAnsiTheme="majorAscii" w:eastAsiaTheme="majorAscii" w:cstheme="majorAscii"/>
          <w:color w:val="auto"/>
          <w:sz w:val="28"/>
          <w:szCs w:val="28"/>
        </w:rPr>
      </w:pPr>
    </w:p>
    <w:p w:rsidR="0386688B" w:rsidP="732EE1AE" w:rsidRDefault="0386688B" w14:paraId="6992C00E" w14:textId="331C20B7">
      <w:pPr>
        <w:pStyle w:val="Heading3"/>
        <w:spacing w:before="281" w:beforeAutospacing="off" w:after="281" w:afterAutospacing="off"/>
        <w:jc w:val="left"/>
        <w:rPr>
          <w:rFonts w:ascii="Calibri" w:hAnsi="Calibri" w:eastAsia="Calibri" w:cs="Calibri" w:asciiTheme="majorAscii" w:hAnsiTheme="majorAscii" w:eastAsiaTheme="majorAscii" w:cstheme="majorAscii"/>
          <w:b w:val="1"/>
          <w:bCs w:val="1"/>
          <w:noProof w:val="0"/>
          <w:color w:val="auto"/>
          <w:sz w:val="32"/>
          <w:szCs w:val="32"/>
          <w:lang w:val="en-US"/>
        </w:rPr>
      </w:pPr>
      <w:r w:rsidRPr="732EE1AE" w:rsidR="0386688B">
        <w:rPr>
          <w:rFonts w:ascii="Calibri" w:hAnsi="Calibri" w:eastAsia="Calibri" w:cs="Calibri" w:asciiTheme="majorAscii" w:hAnsiTheme="majorAscii" w:eastAsiaTheme="majorAscii" w:cstheme="majorAscii"/>
          <w:b w:val="1"/>
          <w:bCs w:val="1"/>
          <w:noProof w:val="0"/>
          <w:color w:val="auto"/>
          <w:sz w:val="32"/>
          <w:szCs w:val="32"/>
          <w:lang w:val="en-US"/>
        </w:rPr>
        <w:t>SANS (</w:t>
      </w:r>
      <w:r w:rsidRPr="732EE1AE" w:rsidR="0386688B">
        <w:rPr>
          <w:rFonts w:ascii="Calibri" w:hAnsi="Calibri" w:eastAsia="Calibri" w:cs="Calibri" w:asciiTheme="majorAscii" w:hAnsiTheme="majorAscii" w:eastAsiaTheme="majorAscii" w:cstheme="majorAscii"/>
          <w:b w:val="1"/>
          <w:bCs w:val="1"/>
          <w:noProof w:val="0"/>
          <w:color w:val="auto"/>
          <w:sz w:val="32"/>
          <w:szCs w:val="32"/>
          <w:lang w:val="en-US"/>
        </w:rPr>
        <w:t>SysAdmin</w:t>
      </w:r>
      <w:r w:rsidRPr="732EE1AE" w:rsidR="0386688B">
        <w:rPr>
          <w:rFonts w:ascii="Calibri" w:hAnsi="Calibri" w:eastAsia="Calibri" w:cs="Calibri" w:asciiTheme="majorAscii" w:hAnsiTheme="majorAscii" w:eastAsiaTheme="majorAscii" w:cstheme="majorAscii"/>
          <w:b w:val="1"/>
          <w:bCs w:val="1"/>
          <w:noProof w:val="0"/>
          <w:color w:val="auto"/>
          <w:sz w:val="32"/>
          <w:szCs w:val="32"/>
          <w:lang w:val="en-US"/>
        </w:rPr>
        <w:t>, Audit, Network, Security) Framework</w:t>
      </w:r>
    </w:p>
    <w:p w:rsidR="0386688B" w:rsidP="732EE1AE" w:rsidRDefault="0386688B" w14:paraId="66689D4D" w14:textId="68E99363">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The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SANS Institute</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provides a practical, field-oriented incident response model designed primarily for training and operational environments. Its six-step framework —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Preparation, Identification, Containment, Eradication, Recovery, and Lessons Learned</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 focuses on giving responders a simple yet effective roadmap for managing incidents in real time.</w:t>
      </w:r>
    </w:p>
    <w:p w:rsidR="0386688B" w:rsidP="732EE1AE" w:rsidRDefault="0386688B" w14:paraId="3CB29122" w14:textId="01DCCCA1">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The SANS model is widely used by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Security Operations Centers (SOC)</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and cybersecurity professionals because of its hands-on nature and its emphasis on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speed, documentation, and adaptability</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It also complements technical training and certifications (such as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GIAC</w:t>
      </w:r>
      <w:r w:rsidRPr="732EE1AE" w:rsidR="0386688B">
        <w:rPr>
          <w:rFonts w:ascii="Calibri" w:hAnsi="Calibri" w:eastAsia="Calibri" w:cs="Calibri" w:asciiTheme="majorAscii" w:hAnsiTheme="majorAscii" w:eastAsiaTheme="majorAscii" w:cstheme="majorAscii"/>
          <w:noProof w:val="0"/>
          <w:color w:val="auto"/>
          <w:sz w:val="28"/>
          <w:szCs w:val="28"/>
          <w:lang w:val="en-US"/>
        </w:rPr>
        <w:t>) that enhance responders’ capabilities.</w:t>
      </w:r>
    </w:p>
    <w:p w:rsidR="0386688B" w:rsidP="732EE1AE" w:rsidRDefault="0386688B" w14:paraId="30BF09A2" w14:textId="70FFD8BA">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While it does not have the formal governance integration of ISO/IEC 27035 or the structural depth of NIST, SANS </w:t>
      </w:r>
      <w:r w:rsidRPr="732EE1AE" w:rsidR="0386688B">
        <w:rPr>
          <w:rFonts w:ascii="Calibri" w:hAnsi="Calibri" w:eastAsia="Calibri" w:cs="Calibri" w:asciiTheme="majorAscii" w:hAnsiTheme="majorAscii" w:eastAsiaTheme="majorAscii" w:cstheme="majorAscii"/>
          <w:noProof w:val="0"/>
          <w:color w:val="auto"/>
          <w:sz w:val="28"/>
          <w:szCs w:val="28"/>
          <w:lang w:val="en-US"/>
        </w:rPr>
        <w:t>remains</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an excellent operational framework for teams that prioritize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practical execution, continuous improvement, and rapid response</w:t>
      </w:r>
      <w:r w:rsidRPr="732EE1AE" w:rsidR="0386688B">
        <w:rPr>
          <w:rFonts w:ascii="Calibri" w:hAnsi="Calibri" w:eastAsia="Calibri" w:cs="Calibri" w:asciiTheme="majorAscii" w:hAnsiTheme="majorAscii" w:eastAsiaTheme="majorAscii" w:cstheme="majorAscii"/>
          <w:noProof w:val="0"/>
          <w:color w:val="auto"/>
          <w:sz w:val="28"/>
          <w:szCs w:val="28"/>
          <w:lang w:val="en-US"/>
        </w:rPr>
        <w:t>.</w:t>
      </w:r>
    </w:p>
    <w:p w:rsidR="732EE1AE" w:rsidP="732EE1AE" w:rsidRDefault="732EE1AE" w14:paraId="0FF79414" w14:textId="2F321EA1">
      <w:pPr>
        <w:jc w:val="left"/>
        <w:rPr>
          <w:rFonts w:ascii="Calibri" w:hAnsi="Calibri" w:eastAsia="Calibri" w:cs="Calibri" w:asciiTheme="majorAscii" w:hAnsiTheme="majorAscii" w:eastAsiaTheme="majorAscii" w:cstheme="majorAscii"/>
          <w:color w:val="auto"/>
          <w:sz w:val="28"/>
          <w:szCs w:val="28"/>
        </w:rPr>
      </w:pPr>
    </w:p>
    <w:p w:rsidR="0386688B" w:rsidP="732EE1AE" w:rsidRDefault="0386688B" w14:paraId="0810914E" w14:textId="1859F3C3">
      <w:pPr>
        <w:pStyle w:val="Heading3"/>
        <w:spacing w:before="281" w:beforeAutospacing="off" w:after="281" w:afterAutospacing="off"/>
        <w:jc w:val="left"/>
        <w:rPr>
          <w:rFonts w:ascii="Calibri" w:hAnsi="Calibri" w:eastAsia="Calibri" w:cs="Calibri" w:asciiTheme="majorAscii" w:hAnsiTheme="majorAscii" w:eastAsiaTheme="majorAscii" w:cstheme="majorAscii"/>
          <w:b w:val="1"/>
          <w:bCs w:val="1"/>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Conclusion</w:t>
      </w:r>
    </w:p>
    <w:p w:rsidR="0386688B" w:rsidP="732EE1AE" w:rsidRDefault="0386688B" w14:paraId="473AAFF7" w14:textId="5A7B2409">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Each framework provides unique strengths:</w:t>
      </w:r>
    </w:p>
    <w:p w:rsidR="0386688B" w:rsidP="732EE1AE" w:rsidRDefault="0386688B" w14:paraId="4270ABA6" w14:textId="06AD9B4D">
      <w:pPr>
        <w:pStyle w:val="ListParagraph"/>
        <w:numPr>
          <w:ilvl w:val="0"/>
          <w:numId w:val="13"/>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NIST SP 800-61</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offers detailed structure, documentation discipline, and process clarity — making it ideal as the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primary reference model</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for this project.</w:t>
      </w:r>
    </w:p>
    <w:p w:rsidR="0386688B" w:rsidP="732EE1AE" w:rsidRDefault="0386688B" w14:paraId="4BD1AEA4" w14:textId="7E19C531">
      <w:pPr>
        <w:pStyle w:val="ListParagraph"/>
        <w:numPr>
          <w:ilvl w:val="0"/>
          <w:numId w:val="13"/>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ISO/IEC 27035</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ensures strategic alignment with business governance and risk management functions, which is valuable for </w:t>
      </w:r>
      <w:r w:rsidRPr="732EE1AE" w:rsidR="0386688B">
        <w:rPr>
          <w:rFonts w:ascii="Calibri" w:hAnsi="Calibri" w:eastAsia="Calibri" w:cs="Calibri" w:asciiTheme="majorAscii" w:hAnsiTheme="majorAscii" w:eastAsiaTheme="majorAscii" w:cstheme="majorAscii"/>
          <w:noProof w:val="0"/>
          <w:color w:val="auto"/>
          <w:sz w:val="28"/>
          <w:szCs w:val="28"/>
          <w:lang w:val="en-US"/>
        </w:rPr>
        <w:t>maintaining</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compliance and scalability.</w:t>
      </w:r>
    </w:p>
    <w:p w:rsidR="0386688B" w:rsidP="732EE1AE" w:rsidRDefault="0386688B" w14:paraId="33F5050C" w14:textId="00483EC9">
      <w:pPr>
        <w:pStyle w:val="ListParagraph"/>
        <w:numPr>
          <w:ilvl w:val="0"/>
          <w:numId w:val="13"/>
        </w:num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SANS</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adds operational flexibility and practical guidance for hands-on incident handling and continuous skill development.</w:t>
      </w:r>
    </w:p>
    <w:p w:rsidR="0386688B" w:rsidP="732EE1AE" w:rsidRDefault="0386688B" w14:paraId="384F011A" w14:textId="3888C022">
      <w:pPr>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For this project, the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NIST framework</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will be adopted as the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main foundation</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while selected principles from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ISO/IEC 27035</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and </w:t>
      </w:r>
      <w:r w:rsidRPr="732EE1AE" w:rsidR="0386688B">
        <w:rPr>
          <w:rFonts w:ascii="Calibri" w:hAnsi="Calibri" w:eastAsia="Calibri" w:cs="Calibri" w:asciiTheme="majorAscii" w:hAnsiTheme="majorAscii" w:eastAsiaTheme="majorAscii" w:cstheme="majorAscii"/>
          <w:b w:val="1"/>
          <w:bCs w:val="1"/>
          <w:noProof w:val="0"/>
          <w:color w:val="auto"/>
          <w:sz w:val="28"/>
          <w:szCs w:val="28"/>
          <w:lang w:val="en-US"/>
        </w:rPr>
        <w:t>SANS</w:t>
      </w:r>
      <w:r w:rsidRPr="732EE1AE" w:rsidR="0386688B">
        <w:rPr>
          <w:rFonts w:ascii="Calibri" w:hAnsi="Calibri" w:eastAsia="Calibri" w:cs="Calibri" w:asciiTheme="majorAscii" w:hAnsiTheme="majorAscii" w:eastAsiaTheme="majorAscii" w:cstheme="majorAscii"/>
          <w:noProof w:val="0"/>
          <w:color w:val="auto"/>
          <w:sz w:val="28"/>
          <w:szCs w:val="28"/>
          <w:lang w:val="en-US"/>
        </w:rPr>
        <w:t xml:space="preserve"> will be incorporated to strengthen governance integration and enhance operational effectiveness during testing and simulation.</w:t>
      </w:r>
    </w:p>
    <w:p w:rsidR="48E38E0D" w:rsidP="732EE1AE" w:rsidRDefault="48E38E0D" w14:paraId="632FF5C5" w14:textId="47B50F91">
      <w:pPr>
        <w:pStyle w:val="Normal"/>
        <w:keepNext w:val="1"/>
        <w:keepLines w:val="1"/>
        <w:spacing w:before="322" w:beforeAutospacing="off" w:after="322"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8E38E0D">
        <w:rPr>
          <w:rFonts w:ascii="Calibri" w:hAnsi="Calibri" w:eastAsia="Calibri" w:cs="Calibri" w:asciiTheme="majorAscii" w:hAnsiTheme="majorAscii" w:eastAsiaTheme="majorAscii" w:cstheme="majorAscii"/>
          <w:b w:val="1"/>
          <w:bCs w:val="1"/>
          <w:noProof w:val="0"/>
          <w:color w:val="auto"/>
          <w:sz w:val="36"/>
          <w:szCs w:val="36"/>
          <w:lang w:val="en-US"/>
        </w:rPr>
        <w:t>Case Studies and Best Practices</w:t>
      </w:r>
      <w:r>
        <w:br/>
      </w: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32"/>
          <w:szCs w:val="32"/>
          <w:lang w:val="en-US"/>
        </w:rPr>
        <w:t>Phishing</w:t>
      </w:r>
    </w:p>
    <w:p w:rsidR="43418316" w:rsidP="732EE1AE" w:rsidRDefault="43418316" w14:paraId="1BA89190" w14:textId="26BB6CDF">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Definition of Phishing</w:t>
      </w:r>
      <w:r>
        <w:br/>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Phishing is a type of cyber-attack aimed at deceiving users to obtain sensitive information such as passwords, credit card numbers, or other personal data. Usually, the attacker appears as a trusted entity (such as a bank, email service, or popular website) to convince the victim to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disclose</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their information.</w:t>
      </w:r>
    </w:p>
    <w:p w:rsidR="43418316" w:rsidP="732EE1AE" w:rsidRDefault="43418316" w14:paraId="1DF32B08" w14:textId="7B65449F">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Methods of Executing Phishing</w:t>
      </w:r>
    </w:p>
    <w:p w:rsidR="43418316" w:rsidP="732EE1AE" w:rsidRDefault="43418316" w14:paraId="2F8535A7" w14:textId="54054122">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A. Email Phishing</w:t>
      </w:r>
    </w:p>
    <w:p w:rsidR="43418316" w:rsidP="732EE1AE" w:rsidRDefault="43418316" w14:paraId="700E29E7" w14:textId="046F9370">
      <w:pPr>
        <w:pStyle w:val="ListParagraph"/>
        <w:numPr>
          <w:ilvl w:val="0"/>
          <w:numId w:val="14"/>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Description: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The most common; the attacker sends a message that appears legitimate.</w:t>
      </w:r>
    </w:p>
    <w:p w:rsidR="43418316" w:rsidP="732EE1AE" w:rsidRDefault="43418316" w14:paraId="1D5D8286" w14:textId="0503E9DD">
      <w:pPr>
        <w:pStyle w:val="ListParagraph"/>
        <w:numPr>
          <w:ilvl w:val="0"/>
          <w:numId w:val="14"/>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Goal:</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To trick the user into opening a link or downloading a malicious file.</w:t>
      </w:r>
    </w:p>
    <w:p w:rsidR="43418316" w:rsidP="732EE1AE" w:rsidRDefault="43418316" w14:paraId="2A757B68" w14:textId="2F244462">
      <w:pPr>
        <w:pStyle w:val="ListParagraph"/>
        <w:numPr>
          <w:ilvl w:val="0"/>
          <w:numId w:val="14"/>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Example:</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A message from the "bank" asking to update account information.</w:t>
      </w:r>
    </w:p>
    <w:p w:rsidR="43418316" w:rsidP="732EE1AE" w:rsidRDefault="43418316" w14:paraId="52C976C1" w14:textId="0BEDF0B6">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B. SMS Phishing (Smishing)</w:t>
      </w:r>
    </w:p>
    <w:p w:rsidR="43418316" w:rsidP="732EE1AE" w:rsidRDefault="43418316" w14:paraId="7FDF1109" w14:textId="5D366EF4">
      <w:pPr>
        <w:pStyle w:val="ListParagraph"/>
        <w:numPr>
          <w:ilvl w:val="0"/>
          <w:numId w:val="15"/>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Description: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Sending text messages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containing</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malicious links.</w:t>
      </w:r>
    </w:p>
    <w:p w:rsidR="43418316" w:rsidP="732EE1AE" w:rsidRDefault="43418316" w14:paraId="7508396D" w14:textId="1F4384FE">
      <w:pPr>
        <w:pStyle w:val="ListParagraph"/>
        <w:numPr>
          <w:ilvl w:val="0"/>
          <w:numId w:val="15"/>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Goal:</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To trick the user into clicking the link or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submitting</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their data.</w:t>
      </w:r>
    </w:p>
    <w:p w:rsidR="43418316" w:rsidP="732EE1AE" w:rsidRDefault="43418316" w14:paraId="06E42646" w14:textId="526713AD">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C. Voice Phishing (Vishing)</w:t>
      </w:r>
    </w:p>
    <w:p w:rsidR="43418316" w:rsidP="732EE1AE" w:rsidRDefault="43418316" w14:paraId="555D522F" w14:textId="432460BE">
      <w:pPr>
        <w:pStyle w:val="ListParagraph"/>
        <w:numPr>
          <w:ilvl w:val="0"/>
          <w:numId w:val="16"/>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Description: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The attacker calls the victim and requests sensitive information.</w:t>
      </w:r>
    </w:p>
    <w:p w:rsidR="43418316" w:rsidP="732EE1AE" w:rsidRDefault="43418316" w14:paraId="0928052E" w14:textId="591E22CE">
      <w:pPr>
        <w:pStyle w:val="ListParagraph"/>
        <w:numPr>
          <w:ilvl w:val="0"/>
          <w:numId w:val="16"/>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Goal:</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To obtain financial data or passwords.</w:t>
      </w:r>
    </w:p>
    <w:p w:rsidR="43418316" w:rsidP="732EE1AE" w:rsidRDefault="43418316" w14:paraId="7C92AC47" w14:textId="60009438">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 Website Phishing</w:t>
      </w:r>
    </w:p>
    <w:p w:rsidR="43418316" w:rsidP="732EE1AE" w:rsidRDefault="43418316" w14:paraId="27CA3037" w14:textId="7DB7EC09">
      <w:pPr>
        <w:pStyle w:val="ListParagraph"/>
        <w:numPr>
          <w:ilvl w:val="0"/>
          <w:numId w:val="17"/>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Description: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Creating a fake copy of a popular website.</w:t>
      </w:r>
    </w:p>
    <w:p w:rsidR="43418316" w:rsidP="732EE1AE" w:rsidRDefault="43418316" w14:paraId="10C67004" w14:textId="5C62AF31">
      <w:pPr>
        <w:pStyle w:val="ListParagraph"/>
        <w:numPr>
          <w:ilvl w:val="0"/>
          <w:numId w:val="17"/>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Goal:</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To have the user enter their data on the fake site.</w:t>
      </w:r>
    </w:p>
    <w:p w:rsidR="43418316" w:rsidP="732EE1AE" w:rsidRDefault="43418316" w14:paraId="47120FDD" w14:textId="49424CA9">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E. Social Media Phishing</w:t>
      </w:r>
    </w:p>
    <w:p w:rsidR="43418316" w:rsidP="732EE1AE" w:rsidRDefault="43418316" w14:paraId="018B01E3" w14:textId="2D2B3279">
      <w:pPr>
        <w:pStyle w:val="ListParagraph"/>
        <w:numPr>
          <w:ilvl w:val="0"/>
          <w:numId w:val="18"/>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Sending fake links or messages appearing to come from the victim's friends or official pages.</w:t>
      </w:r>
    </w:p>
    <w:p w:rsidR="43418316" w:rsidP="732EE1AE" w:rsidRDefault="43418316" w14:paraId="7AAF1D0C" w14:textId="55834AA6">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Tools Used in Phishing</w:t>
      </w:r>
    </w:p>
    <w:p w:rsidR="43418316" w:rsidP="732EE1AE" w:rsidRDefault="43418316" w14:paraId="62256765" w14:textId="5B01DA4C">
      <w:pPr>
        <w:pStyle w:val="ListParagraph"/>
        <w:numPr>
          <w:ilvl w:val="0"/>
          <w:numId w:val="1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Tools for Creating Fake Messages and Websites:</w:t>
      </w:r>
    </w:p>
    <w:p w:rsidR="43418316" w:rsidP="732EE1AE" w:rsidRDefault="43418316" w14:paraId="2D16121C" w14:textId="1EB7675D">
      <w:pPr>
        <w:pStyle w:val="ListParagraph"/>
        <w:numPr>
          <w:ilvl w:val="1"/>
          <w:numId w:val="1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SET (Social Engineering Toolkit)</w:t>
      </w:r>
    </w:p>
    <w:p w:rsidR="43418316" w:rsidP="732EE1AE" w:rsidRDefault="43418316" w14:paraId="6D602C04" w14:textId="6143A1B3">
      <w:pPr>
        <w:pStyle w:val="ListParagraph"/>
        <w:numPr>
          <w:ilvl w:val="1"/>
          <w:numId w:val="1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Gophish</w:t>
      </w:r>
    </w:p>
    <w:p w:rsidR="43418316" w:rsidP="732EE1AE" w:rsidRDefault="43418316" w14:paraId="3F62815B" w14:textId="24E87DA0">
      <w:pPr>
        <w:pStyle w:val="ListParagraph"/>
        <w:numPr>
          <w:ilvl w:val="1"/>
          <w:numId w:val="1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King Phisher</w:t>
      </w:r>
    </w:p>
    <w:p w:rsidR="43418316" w:rsidP="732EE1AE" w:rsidRDefault="43418316" w14:paraId="17F24DA4" w14:textId="29A887DC">
      <w:pPr>
        <w:pStyle w:val="ListParagraph"/>
        <w:numPr>
          <w:ilvl w:val="0"/>
          <w:numId w:val="1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Tracking and Data Collection Tools:</w:t>
      </w:r>
    </w:p>
    <w:p w:rsidR="43418316" w:rsidP="732EE1AE" w:rsidRDefault="43418316" w14:paraId="30ED97DA" w14:textId="6D50ECC5">
      <w:pPr>
        <w:pStyle w:val="ListParagraph"/>
        <w:numPr>
          <w:ilvl w:val="1"/>
          <w:numId w:val="1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Keyloggers</w:t>
      </w:r>
    </w:p>
    <w:p w:rsidR="43418316" w:rsidP="732EE1AE" w:rsidRDefault="43418316" w14:paraId="384BD897" w14:textId="282CEC10">
      <w:pPr>
        <w:pStyle w:val="ListParagraph"/>
        <w:numPr>
          <w:ilvl w:val="1"/>
          <w:numId w:val="1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Malware</w:t>
      </w:r>
    </w:p>
    <w:p w:rsidR="43418316" w:rsidP="732EE1AE" w:rsidRDefault="43418316" w14:paraId="7FB8A733" w14:textId="05D1E0D4">
      <w:pPr>
        <w:pStyle w:val="ListParagraph"/>
        <w:numPr>
          <w:ilvl w:val="1"/>
          <w:numId w:val="1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URL Shorteners</w:t>
      </w:r>
    </w:p>
    <w:p w:rsidR="43418316" w:rsidP="732EE1AE" w:rsidRDefault="43418316" w14:paraId="11B5DE07" w14:textId="5C61AF5C">
      <w:pPr>
        <w:pStyle w:val="ListParagraph"/>
        <w:numPr>
          <w:ilvl w:val="0"/>
          <w:numId w:val="1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Campaign Management Tools:</w:t>
      </w:r>
    </w:p>
    <w:p w:rsidR="43418316" w:rsidP="732EE1AE" w:rsidRDefault="43418316" w14:paraId="3DC69613" w14:textId="7F17A79F">
      <w:pPr>
        <w:pStyle w:val="ListParagraph"/>
        <w:numPr>
          <w:ilvl w:val="1"/>
          <w:numId w:val="1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Email Spoofers</w:t>
      </w:r>
    </w:p>
    <w:p w:rsidR="43418316" w:rsidP="732EE1AE" w:rsidRDefault="43418316" w14:paraId="729E8D3D" w14:textId="7E4C50F7">
      <w:pPr>
        <w:pStyle w:val="ListParagraph"/>
        <w:numPr>
          <w:ilvl w:val="1"/>
          <w:numId w:val="1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Phishing Kits</w:t>
      </w:r>
    </w:p>
    <w:p w:rsidR="43418316" w:rsidP="732EE1AE" w:rsidRDefault="43418316" w14:paraId="24B7D9F9" w14:textId="1824DA2E">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Persuasion Techniques Used</w:t>
      </w:r>
    </w:p>
    <w:p w:rsidR="43418316" w:rsidP="732EE1AE" w:rsidRDefault="43418316" w14:paraId="1C1A9C29" w14:textId="4C8EFAED">
      <w:pPr>
        <w:pStyle w:val="ListParagraph"/>
        <w:numPr>
          <w:ilvl w:val="0"/>
          <w:numId w:val="20"/>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Urgency/Threat:</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"Your account will be blocked within 24 hours; click here to update your information."</w:t>
      </w:r>
    </w:p>
    <w:p w:rsidR="43418316" w:rsidP="732EE1AE" w:rsidRDefault="43418316" w14:paraId="3CD36328" w14:textId="76EEF2D4">
      <w:pPr>
        <w:pStyle w:val="ListParagraph"/>
        <w:numPr>
          <w:ilvl w:val="0"/>
          <w:numId w:val="20"/>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Trust/Familiarity:</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Using logos of well-known companies, fake signatures.</w:t>
      </w:r>
    </w:p>
    <w:p w:rsidR="43418316" w:rsidP="732EE1AE" w:rsidRDefault="43418316" w14:paraId="12DDE6D1" w14:textId="1D42326B">
      <w:pPr>
        <w:pStyle w:val="ListParagraph"/>
        <w:numPr>
          <w:ilvl w:val="0"/>
          <w:numId w:val="20"/>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Reward:</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"Win a prize, click here to participate."</w:t>
      </w:r>
    </w:p>
    <w:p w:rsidR="43418316" w:rsidP="732EE1AE" w:rsidRDefault="43418316" w14:paraId="20FEBCE9" w14:textId="09A5F715">
      <w:pPr>
        <w:pStyle w:val="ListParagraph"/>
        <w:numPr>
          <w:ilvl w:val="0"/>
          <w:numId w:val="20"/>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Emotional Appeal:</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Messages that provoke fear, pride, or greed.</w:t>
      </w:r>
    </w:p>
    <w:p w:rsidR="43418316" w:rsidP="732EE1AE" w:rsidRDefault="43418316" w14:paraId="3083418A" w14:textId="0D66968A">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Tips for Protecting Against Phishing</w:t>
      </w:r>
    </w:p>
    <w:p w:rsidR="43418316" w:rsidP="732EE1AE" w:rsidRDefault="43418316" w14:paraId="317E567B" w14:textId="6CD86065">
      <w:pPr>
        <w:pStyle w:val="ListParagraph"/>
        <w:numPr>
          <w:ilvl w:val="0"/>
          <w:numId w:val="21"/>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Do not click on suspicious links.</w:t>
      </w:r>
    </w:p>
    <w:p w:rsidR="43418316" w:rsidP="732EE1AE" w:rsidRDefault="43418316" w14:paraId="213D7754" w14:textId="359AEE1D">
      <w:pPr>
        <w:pStyle w:val="ListParagraph"/>
        <w:numPr>
          <w:ilvl w:val="0"/>
          <w:numId w:val="21"/>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Verify official website addresses.</w:t>
      </w:r>
    </w:p>
    <w:p w:rsidR="43418316" w:rsidP="732EE1AE" w:rsidRDefault="43418316" w14:paraId="56A85D82" w14:textId="6B5E2EC3">
      <w:pPr>
        <w:pStyle w:val="ListParagraph"/>
        <w:numPr>
          <w:ilvl w:val="0"/>
          <w:numId w:val="21"/>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Use two-factor authentication (2FA).</w:t>
      </w:r>
    </w:p>
    <w:p w:rsidR="43418316" w:rsidP="732EE1AE" w:rsidRDefault="43418316" w14:paraId="73BE63CD" w14:textId="42265328">
      <w:pPr>
        <w:pStyle w:val="ListParagraph"/>
        <w:numPr>
          <w:ilvl w:val="0"/>
          <w:numId w:val="21"/>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Regularly update antivirus software.</w:t>
      </w:r>
    </w:p>
    <w:p w:rsidR="43418316" w:rsidP="732EE1AE" w:rsidRDefault="43418316" w14:paraId="7FFF5648" w14:textId="103F6A49">
      <w:pPr>
        <w:pStyle w:val="ListParagraph"/>
        <w:numPr>
          <w:ilvl w:val="0"/>
          <w:numId w:val="21"/>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Train employees to recognize phishing messages.</w:t>
      </w:r>
    </w:p>
    <w:p w:rsidR="43418316" w:rsidP="732EE1AE" w:rsidRDefault="43418316" w14:paraId="2F97F3A0" w14:textId="2170995C">
      <w:p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Case Study – Google and Facebook Phishing Scam (2013–2015):</w:t>
      </w:r>
      <w:r>
        <w:br/>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Between 2013 and 2015, a Lithuanian cybercriminal,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 xml:space="preserve">Evaldas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Rimasauskas</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impersonated a hardware vendor that both Google and Facebook </w:t>
      </w:r>
      <w:r w:rsidRPr="732EE1AE" w:rsidR="43418316">
        <w:rPr>
          <w:rFonts w:ascii="Calibri" w:hAnsi="Calibri" w:eastAsia="Calibri" w:cs="Calibri" w:asciiTheme="majorAscii" w:hAnsiTheme="majorAscii" w:eastAsiaTheme="majorAscii" w:cstheme="majorAscii"/>
          <w:noProof w:val="0"/>
          <w:color w:val="auto"/>
          <w:sz w:val="28"/>
          <w:szCs w:val="28"/>
          <w:lang w:val="en-US"/>
        </w:rPr>
        <w:t>regularly worked</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with. By sending fake invoices and contracts through email, he successfully tricked employees into transferring over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$100 million</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to bank accounts he controlled.</w:t>
      </w:r>
    </w:p>
    <w:p w:rsidR="43418316" w:rsidP="732EE1AE" w:rsidRDefault="43418316" w14:paraId="6ADE2AE3" w14:textId="2FD9E704">
      <w:pPr>
        <w:pStyle w:val="ListParagraph"/>
        <w:numPr>
          <w:ilvl w:val="0"/>
          <w:numId w:val="36"/>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Impact:</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Significant </w:t>
      </w:r>
      <w:r w:rsidRPr="732EE1AE" w:rsidR="43418316">
        <w:rPr>
          <w:rFonts w:ascii="Calibri" w:hAnsi="Calibri" w:eastAsia="Calibri" w:cs="Calibri" w:asciiTheme="majorAscii" w:hAnsiTheme="majorAscii" w:eastAsiaTheme="majorAscii" w:cstheme="majorAscii"/>
          <w:noProof w:val="0"/>
          <w:color w:val="auto"/>
          <w:sz w:val="28"/>
          <w:szCs w:val="28"/>
          <w:lang w:val="en-US"/>
        </w:rPr>
        <w:t>financial loss</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and reputational damage.</w:t>
      </w:r>
    </w:p>
    <w:p w:rsidR="43418316" w:rsidP="732EE1AE" w:rsidRDefault="43418316" w14:paraId="76DC4080" w14:textId="0D3B6EA4">
      <w:pPr>
        <w:pStyle w:val="ListParagraph"/>
        <w:numPr>
          <w:ilvl w:val="0"/>
          <w:numId w:val="36"/>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Lesson Learned:</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Even highly secure organizations can fall victim without robust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email verification, payment validation procedures, and employee awareness programs</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43418316" w:rsidP="732EE1AE" w:rsidRDefault="43418316" w14:paraId="61502522" w14:textId="789352BE">
      <w:pPr>
        <w:spacing w:before="240" w:beforeAutospacing="off" w:after="240" w:afterAutospacing="off"/>
        <w:rPr>
          <w:rFonts w:ascii="Calibri" w:hAnsi="Calibri" w:eastAsia="Calibri" w:cs="Calibri" w:asciiTheme="majorAscii" w:hAnsiTheme="majorAscii" w:eastAsiaTheme="majorAscii" w:cstheme="majorAscii"/>
          <w:b w:val="1"/>
          <w:bCs w:val="1"/>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Best Practices:</w:t>
      </w:r>
    </w:p>
    <w:p w:rsidR="43418316" w:rsidP="732EE1AE" w:rsidRDefault="43418316" w14:paraId="01F405C5" w14:textId="458BC94A">
      <w:pPr>
        <w:pStyle w:val="ListParagraph"/>
        <w:numPr>
          <w:ilvl w:val="0"/>
          <w:numId w:val="37"/>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Deploy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email filters and domain protection</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(SPF, DKIM, DMARC).</w:t>
      </w:r>
    </w:p>
    <w:p w:rsidR="43418316" w:rsidP="732EE1AE" w:rsidRDefault="43418316" w14:paraId="7C43A984" w14:textId="18FFF45A">
      <w:pPr>
        <w:pStyle w:val="ListParagraph"/>
        <w:numPr>
          <w:ilvl w:val="0"/>
          <w:numId w:val="37"/>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Conduct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phishing simulation training</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for employees.</w:t>
      </w:r>
    </w:p>
    <w:p w:rsidR="43418316" w:rsidP="732EE1AE" w:rsidRDefault="43418316" w14:paraId="1FD7C73D" w14:textId="59532F9D">
      <w:pPr>
        <w:pStyle w:val="ListParagraph"/>
        <w:numPr>
          <w:ilvl w:val="0"/>
          <w:numId w:val="37"/>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Use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multi-factor authentication (MFA)</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43418316" w:rsidP="732EE1AE" w:rsidRDefault="43418316" w14:paraId="1B15DE8C" w14:textId="7A59D275">
      <w:pPr>
        <w:pStyle w:val="ListParagraph"/>
        <w:numPr>
          <w:ilvl w:val="0"/>
          <w:numId w:val="37"/>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Implement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URL scanning and sandboxing tools</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for attachments.</w:t>
      </w:r>
    </w:p>
    <w:p w:rsidR="732EE1AE" w:rsidP="732EE1AE" w:rsidRDefault="732EE1AE" w14:paraId="5BF711D4" w14:textId="1AA8ABAC">
      <w:pPr>
        <w:pStyle w:val="Normal"/>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p>
    <w:p w:rsidR="732EE1AE" w:rsidP="732EE1AE" w:rsidRDefault="732EE1AE" w14:paraId="03B1EF34" w14:textId="2563338F">
      <w:pPr>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p>
    <w:p w:rsidR="43418316" w:rsidP="732EE1AE" w:rsidRDefault="43418316" w14:paraId="04D3B505" w14:textId="2D8668C7">
      <w:pPr>
        <w:pStyle w:val="Heading1"/>
        <w:keepNext w:val="1"/>
        <w:keepLines w:val="1"/>
        <w:spacing w:before="322" w:beforeAutospacing="off" w:after="322"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32"/>
          <w:szCs w:val="32"/>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32"/>
          <w:szCs w:val="32"/>
          <w:lang w:val="en-US"/>
        </w:rPr>
        <w:t>DDoS</w:t>
      </w:r>
    </w:p>
    <w:p w:rsidR="43418316" w:rsidP="732EE1AE" w:rsidRDefault="43418316" w14:paraId="3C4CC614" w14:textId="5373D5D2">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Definition of DDoS</w:t>
      </w:r>
      <w:r>
        <w:br/>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A DDoS attack is an attempt to stop a service or website from functioning by sending a massive number of requests that exceed the server's capacity to handle them, making the site or service unavailable to legitimate users.</w:t>
      </w:r>
    </w:p>
    <w:p w:rsidR="43418316" w:rsidP="732EE1AE" w:rsidRDefault="43418316" w14:paraId="1DE2DC9E" w14:textId="7363DD17">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Features:</w:t>
      </w:r>
    </w:p>
    <w:p w:rsidR="43418316" w:rsidP="732EE1AE" w:rsidRDefault="43418316" w14:paraId="552EAF55" w14:textId="21CC294A">
      <w:pPr>
        <w:pStyle w:val="ListParagraph"/>
        <w:numPr>
          <w:ilvl w:val="0"/>
          <w:numId w:val="22"/>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The attack is often distributed (Botnet).</w:t>
      </w:r>
    </w:p>
    <w:p w:rsidR="43418316" w:rsidP="732EE1AE" w:rsidRDefault="43418316" w14:paraId="05603C80" w14:textId="6B923755">
      <w:pPr>
        <w:pStyle w:val="ListParagraph"/>
        <w:numPr>
          <w:ilvl w:val="0"/>
          <w:numId w:val="22"/>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Targets can include websites, servers, networks, or online services.</w:t>
      </w:r>
    </w:p>
    <w:p w:rsidR="43418316" w:rsidP="732EE1AE" w:rsidRDefault="43418316" w14:paraId="6D58CA7A" w14:textId="0596E60D">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Methods of Executing DDoS</w:t>
      </w:r>
    </w:p>
    <w:p w:rsidR="43418316" w:rsidP="732EE1AE" w:rsidRDefault="43418316" w14:paraId="44B0FDE9" w14:textId="15C8ABCF">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A. Volume-Based Attacks</w:t>
      </w:r>
    </w:p>
    <w:p w:rsidR="43418316" w:rsidP="732EE1AE" w:rsidRDefault="43418316" w14:paraId="250DC6F0" w14:textId="71115298">
      <w:pPr>
        <w:pStyle w:val="ListParagraph"/>
        <w:numPr>
          <w:ilvl w:val="0"/>
          <w:numId w:val="23"/>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Floods the network with data until it stops responding.</w:t>
      </w:r>
    </w:p>
    <w:p w:rsidR="43418316" w:rsidP="732EE1AE" w:rsidRDefault="43418316" w14:paraId="6A0056D0" w14:textId="2AE69B45">
      <w:pPr>
        <w:pStyle w:val="ListParagraph"/>
        <w:numPr>
          <w:ilvl w:val="0"/>
          <w:numId w:val="23"/>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Examples: UDP Flood, ICMP Flood.</w:t>
      </w:r>
    </w:p>
    <w:p w:rsidR="43418316" w:rsidP="732EE1AE" w:rsidRDefault="43418316" w14:paraId="4EED9709" w14:textId="40A93F30">
      <w:pPr>
        <w:pStyle w:val="ListParagraph"/>
        <w:numPr>
          <w:ilvl w:val="0"/>
          <w:numId w:val="23"/>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Goal: Consume bandwidth of the server or network.</w:t>
      </w:r>
    </w:p>
    <w:p w:rsidR="43418316" w:rsidP="732EE1AE" w:rsidRDefault="43418316" w14:paraId="2E3B4612" w14:textId="15789DE0">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B. Protocol Attacks</w:t>
      </w:r>
    </w:p>
    <w:p w:rsidR="43418316" w:rsidP="732EE1AE" w:rsidRDefault="43418316" w14:paraId="21580DE1" w14:textId="0AECC1EA">
      <w:pPr>
        <w:pStyle w:val="ListParagraph"/>
        <w:numPr>
          <w:ilvl w:val="0"/>
          <w:numId w:val="24"/>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Targets network protocol layers like TCP/IP.</w:t>
      </w:r>
    </w:p>
    <w:p w:rsidR="43418316" w:rsidP="732EE1AE" w:rsidRDefault="43418316" w14:paraId="73390C8F" w14:textId="0ED1BF3D">
      <w:pPr>
        <w:pStyle w:val="ListParagraph"/>
        <w:numPr>
          <w:ilvl w:val="0"/>
          <w:numId w:val="24"/>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Examples: SYN Flood, Ping of Death.</w:t>
      </w:r>
    </w:p>
    <w:p w:rsidR="43418316" w:rsidP="732EE1AE" w:rsidRDefault="43418316" w14:paraId="04B20AB7" w14:textId="3997196F">
      <w:pPr>
        <w:pStyle w:val="ListParagraph"/>
        <w:numPr>
          <w:ilvl w:val="0"/>
          <w:numId w:val="24"/>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Goal: Consume server resources (Memory &amp; CPU).</w:t>
      </w:r>
    </w:p>
    <w:p w:rsidR="43418316" w:rsidP="732EE1AE" w:rsidRDefault="43418316" w14:paraId="6E1DCFDF" w14:textId="1D6C8F5B">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C. Application Layer Attacks</w:t>
      </w:r>
    </w:p>
    <w:p w:rsidR="43418316" w:rsidP="732EE1AE" w:rsidRDefault="43418316" w14:paraId="45A06D04" w14:textId="6DB62DE2">
      <w:pPr>
        <w:pStyle w:val="ListParagraph"/>
        <w:numPr>
          <w:ilvl w:val="0"/>
          <w:numId w:val="25"/>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Targets the application or service itself, like web pages or databases.</w:t>
      </w:r>
    </w:p>
    <w:p w:rsidR="43418316" w:rsidP="732EE1AE" w:rsidRDefault="43418316" w14:paraId="28F755E8" w14:textId="5EDC61B7">
      <w:pPr>
        <w:pStyle w:val="ListParagraph"/>
        <w:numPr>
          <w:ilvl w:val="0"/>
          <w:numId w:val="25"/>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Examples: HTTP Flood,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Slowloris</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w:t>
      </w:r>
    </w:p>
    <w:p w:rsidR="43418316" w:rsidP="732EE1AE" w:rsidRDefault="43418316" w14:paraId="6F6DD0CF" w14:textId="5FB18D07">
      <w:pPr>
        <w:pStyle w:val="ListParagraph"/>
        <w:numPr>
          <w:ilvl w:val="0"/>
          <w:numId w:val="25"/>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Goal: Gradually exhaust server resources.</w:t>
      </w:r>
    </w:p>
    <w:p w:rsidR="43418316" w:rsidP="732EE1AE" w:rsidRDefault="43418316" w14:paraId="3B5AC1B2" w14:textId="118AF48F">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Tools Used in DDoS</w:t>
      </w:r>
    </w:p>
    <w:p w:rsidR="43418316" w:rsidP="732EE1AE" w:rsidRDefault="43418316" w14:paraId="0E086627" w14:textId="68971AD7">
      <w:pPr>
        <w:pStyle w:val="ListParagraph"/>
        <w:numPr>
          <w:ilvl w:val="0"/>
          <w:numId w:val="26"/>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Volume-Based Attack Tools:</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LOIC, HOIC, RUDY</w:t>
      </w:r>
    </w:p>
    <w:p w:rsidR="43418316" w:rsidP="732EE1AE" w:rsidRDefault="43418316" w14:paraId="50A911D4" w14:textId="00BF5F7E">
      <w:pPr>
        <w:pStyle w:val="ListParagraph"/>
        <w:numPr>
          <w:ilvl w:val="0"/>
          <w:numId w:val="26"/>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Botnet Tools:</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Mirai Botnet, Xerxes</w:t>
      </w:r>
    </w:p>
    <w:p w:rsidR="43418316" w:rsidP="732EE1AE" w:rsidRDefault="43418316" w14:paraId="58337124" w14:textId="0759BD19">
      <w:pPr>
        <w:pStyle w:val="ListParagraph"/>
        <w:numPr>
          <w:ilvl w:val="0"/>
          <w:numId w:val="26"/>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Security Testing Tools:</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Hping3, Metasploit auxiliary modules</w:t>
      </w:r>
    </w:p>
    <w:p w:rsidR="43418316" w:rsidP="732EE1AE" w:rsidRDefault="43418316" w14:paraId="4EB3D5FA" w14:textId="1DE0A1A0">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Methods of Preventing DDoS</w:t>
      </w:r>
    </w:p>
    <w:p w:rsidR="43418316" w:rsidP="732EE1AE" w:rsidRDefault="43418316" w14:paraId="53A7C831" w14:textId="28449F1A">
      <w:pPr>
        <w:pStyle w:val="ListParagraph"/>
        <w:numPr>
          <w:ilvl w:val="0"/>
          <w:numId w:val="27"/>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Network Protection: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Firewalls, IDS/IPS, Rate Limiting</w:t>
      </w:r>
    </w:p>
    <w:p w:rsidR="43418316" w:rsidP="732EE1AE" w:rsidRDefault="43418316" w14:paraId="6914F058" w14:textId="5A982420">
      <w:pPr>
        <w:pStyle w:val="ListParagraph"/>
        <w:numPr>
          <w:ilvl w:val="0"/>
          <w:numId w:val="27"/>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Load Distribution: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CDN, Load Balancer</w:t>
      </w:r>
    </w:p>
    <w:p w:rsidR="43418316" w:rsidP="732EE1AE" w:rsidRDefault="43418316" w14:paraId="2817B292" w14:textId="1907E698">
      <w:pPr>
        <w:pStyle w:val="ListParagraph"/>
        <w:numPr>
          <w:ilvl w:val="0"/>
          <w:numId w:val="27"/>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Performance Monitoring:</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Traffic monitoring, anomaly detection</w:t>
      </w:r>
    </w:p>
    <w:p w:rsidR="43418316" w:rsidP="732EE1AE" w:rsidRDefault="43418316" w14:paraId="1E8C226A" w14:textId="530340CD">
      <w:pPr>
        <w:pStyle w:val="ListParagraph"/>
        <w:numPr>
          <w:ilvl w:val="0"/>
          <w:numId w:val="27"/>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Emergency Preparedness:</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DDoS response plan, ISP collaboration</w:t>
      </w:r>
    </w:p>
    <w:p w:rsidR="43418316" w:rsidP="732EE1AE" w:rsidRDefault="43418316" w14:paraId="37C60BA0" w14:textId="2D6D9186">
      <w:pPr>
        <w:pStyle w:val="ListParagraph"/>
        <w:numPr>
          <w:ilvl w:val="0"/>
          <w:numId w:val="27"/>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Advanced Protection Services:</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Cloudflare, Akamai, AWS Shield</w:t>
      </w:r>
    </w:p>
    <w:p w:rsidR="43418316" w:rsidP="732EE1AE" w:rsidRDefault="43418316" w14:paraId="2E939BCD" w14:textId="70E9F33F">
      <w:p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Case Study – Philippine Alternative Media (2018–2019):</w:t>
      </w:r>
      <w:r>
        <w:br/>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Between 2018 and 2019, several independent media outlets in the Philippines—including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Bulatlat</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and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Pinoy Weekly</w:t>
      </w:r>
      <w:r w:rsidRPr="732EE1AE" w:rsidR="43418316">
        <w:rPr>
          <w:rFonts w:ascii="Calibri" w:hAnsi="Calibri" w:eastAsia="Calibri" w:cs="Calibri" w:asciiTheme="majorAscii" w:hAnsiTheme="majorAscii" w:eastAsiaTheme="majorAscii" w:cstheme="majorAscii"/>
          <w:noProof w:val="0"/>
          <w:color w:val="auto"/>
          <w:sz w:val="28"/>
          <w:szCs w:val="28"/>
          <w:lang w:val="en-US"/>
        </w:rPr>
        <w:t>—faced coordinated DDoS attacks believed to be politically motivated.</w:t>
      </w:r>
    </w:p>
    <w:p w:rsidR="43418316" w:rsidP="732EE1AE" w:rsidRDefault="43418316" w14:paraId="44D83EC9" w14:textId="588DE691">
      <w:pPr>
        <w:pStyle w:val="ListParagraph"/>
        <w:numPr>
          <w:ilvl w:val="0"/>
          <w:numId w:val="38"/>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Impact:</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Websites were taken offline, affecting their ability to publish news and accept donations.</w:t>
      </w:r>
    </w:p>
    <w:p w:rsidR="43418316" w:rsidP="732EE1AE" w:rsidRDefault="43418316" w14:paraId="710CD303" w14:textId="0D271654">
      <w:pPr>
        <w:pStyle w:val="ListParagraph"/>
        <w:numPr>
          <w:ilvl w:val="0"/>
          <w:numId w:val="38"/>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Response:</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Migration to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VirtualRoad</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 xml:space="preserve">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Qurium</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 xml:space="preserve"> Media Foundation)</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allowed for forensic analysis and eventual legal action against the responsible IT firms.</w:t>
      </w:r>
    </w:p>
    <w:p w:rsidR="43418316" w:rsidP="732EE1AE" w:rsidRDefault="43418316" w14:paraId="1180CC61" w14:textId="684070AB">
      <w:pPr>
        <w:pStyle w:val="ListParagraph"/>
        <w:numPr>
          <w:ilvl w:val="0"/>
          <w:numId w:val="38"/>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Outcome:</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Agreement reached in 2020; companies pledged support for press freedom and improved defense mechanisms.</w:t>
      </w:r>
    </w:p>
    <w:p w:rsidR="43418316" w:rsidP="732EE1AE" w:rsidRDefault="43418316" w14:paraId="7D4D3442" w14:textId="06A4DB5C">
      <w:pPr>
        <w:spacing w:before="240" w:beforeAutospacing="off" w:after="240" w:afterAutospacing="off"/>
        <w:rPr>
          <w:rFonts w:ascii="Calibri" w:hAnsi="Calibri" w:eastAsia="Calibri" w:cs="Calibri" w:asciiTheme="majorAscii" w:hAnsiTheme="majorAscii" w:eastAsiaTheme="majorAscii" w:cstheme="majorAscii"/>
          <w:b w:val="1"/>
          <w:bCs w:val="1"/>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Best Practices:</w:t>
      </w:r>
    </w:p>
    <w:p w:rsidR="43418316" w:rsidP="732EE1AE" w:rsidRDefault="43418316" w14:paraId="26800B8A" w14:textId="195E7616">
      <w:pPr>
        <w:pStyle w:val="ListParagraph"/>
        <w:numPr>
          <w:ilvl w:val="0"/>
          <w:numId w:val="39"/>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Utilize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Content Delivery Networks (CDNs)</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and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load balancers</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43418316" w:rsidP="732EE1AE" w:rsidRDefault="43418316" w14:paraId="0ED813A0" w14:textId="0259A371">
      <w:pPr>
        <w:pStyle w:val="ListParagraph"/>
        <w:numPr>
          <w:ilvl w:val="0"/>
          <w:numId w:val="39"/>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Implement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rate limiting</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and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traffic filtering</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(firewalls, IDS/IPS).</w:t>
      </w:r>
    </w:p>
    <w:p w:rsidR="43418316" w:rsidP="732EE1AE" w:rsidRDefault="43418316" w14:paraId="1463C90F" w14:textId="277E3866">
      <w:pPr>
        <w:pStyle w:val="ListParagraph"/>
        <w:numPr>
          <w:ilvl w:val="0"/>
          <w:numId w:val="39"/>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Establish a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DDoS Response Plan</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and coordinate with ISPs.</w:t>
      </w:r>
    </w:p>
    <w:p w:rsidR="43418316" w:rsidP="732EE1AE" w:rsidRDefault="43418316" w14:paraId="0916BA7E" w14:textId="26389EAC">
      <w:pPr>
        <w:pStyle w:val="ListParagraph"/>
        <w:numPr>
          <w:ilvl w:val="0"/>
          <w:numId w:val="39"/>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Deploy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cloud-based protection</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such as Cloudflare or AWS Shield.</w:t>
      </w:r>
    </w:p>
    <w:p w:rsidR="732EE1AE" w:rsidP="732EE1AE" w:rsidRDefault="732EE1AE" w14:paraId="56FC83C0" w14:textId="0E766262">
      <w:pPr>
        <w:pStyle w:val="Normal"/>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p>
    <w:p w:rsidR="732EE1AE" w:rsidP="732EE1AE" w:rsidRDefault="732EE1AE" w14:paraId="2ADC615A" w14:textId="09521A96">
      <w:pPr>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p>
    <w:p w:rsidR="43418316" w:rsidP="732EE1AE" w:rsidRDefault="43418316" w14:paraId="7823B1A6" w14:textId="6EE38AF3">
      <w:pPr>
        <w:pStyle w:val="Heading1"/>
        <w:keepNext w:val="1"/>
        <w:keepLines w:val="1"/>
        <w:spacing w:before="322" w:beforeAutospacing="off" w:after="322"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32"/>
          <w:szCs w:val="32"/>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32"/>
          <w:szCs w:val="32"/>
          <w:lang w:val="en-US"/>
        </w:rPr>
        <w:t>Insider Attack</w:t>
      </w:r>
    </w:p>
    <w:p w:rsidR="43418316" w:rsidP="732EE1AE" w:rsidRDefault="43418316" w14:paraId="46137BD7" w14:textId="4CC25967">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Definition of Insider Attack</w:t>
      </w:r>
      <w:r>
        <w:br/>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An Insider Attack is carried out by an employee or internal person with legitimate access to systems or data who exploits privileges for malicious purposes like data theft, sabotage, or espionage.</w:t>
      </w:r>
    </w:p>
    <w:p w:rsidR="43418316" w:rsidP="732EE1AE" w:rsidRDefault="43418316" w14:paraId="1BA2BFA8" w14:textId="72816189">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Features:</w:t>
      </w:r>
    </w:p>
    <w:p w:rsidR="43418316" w:rsidP="732EE1AE" w:rsidRDefault="43418316" w14:paraId="37CDEE06" w14:textId="51EF373E">
      <w:pPr>
        <w:pStyle w:val="ListParagraph"/>
        <w:numPr>
          <w:ilvl w:val="0"/>
          <w:numId w:val="28"/>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The attacker knows the internal structure of the system.</w:t>
      </w:r>
    </w:p>
    <w:p w:rsidR="43418316" w:rsidP="732EE1AE" w:rsidRDefault="43418316" w14:paraId="1345E3B4" w14:textId="50B42216">
      <w:pPr>
        <w:pStyle w:val="ListParagraph"/>
        <w:numPr>
          <w:ilvl w:val="0"/>
          <w:numId w:val="28"/>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Often intentional or due to negligence.</w:t>
      </w:r>
    </w:p>
    <w:p w:rsidR="43418316" w:rsidP="732EE1AE" w:rsidRDefault="43418316" w14:paraId="213A5AC8" w14:textId="6BF40CDA">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Methods of Executing Insider Attack</w:t>
      </w:r>
    </w:p>
    <w:p w:rsidR="43418316" w:rsidP="732EE1AE" w:rsidRDefault="43418316" w14:paraId="1A11792A" w14:textId="53C1CD05">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A. Unauthorized Access</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 Access data/systems not allowed.</w:t>
      </w:r>
      <w:r>
        <w:br/>
      </w: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B. Data Exfiltration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 Copy and send confidential data outside.</w:t>
      </w:r>
      <w:r>
        <w:br/>
      </w: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C. System Sabotage</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 Delete or modify data, disrupt services.</w:t>
      </w:r>
      <w:r>
        <w:br/>
      </w: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 Internal Espionage</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 Gather sensitive info and sell it.</w:t>
      </w:r>
    </w:p>
    <w:p w:rsidR="43418316" w:rsidP="732EE1AE" w:rsidRDefault="43418316" w14:paraId="0EE97DD7" w14:textId="4F44449F">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Tools Used in Insider Attack</w:t>
      </w:r>
    </w:p>
    <w:p w:rsidR="43418316" w:rsidP="732EE1AE" w:rsidRDefault="43418316" w14:paraId="216404BF" w14:textId="2BB0D3CD">
      <w:pPr>
        <w:pStyle w:val="ListParagraph"/>
        <w:numPr>
          <w:ilvl w:val="0"/>
          <w:numId w:val="2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Information Gathering:</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Keyloggers, Screen Capture, Wireshark</w:t>
      </w:r>
    </w:p>
    <w:p w:rsidR="43418316" w:rsidP="732EE1AE" w:rsidRDefault="43418316" w14:paraId="59B86043" w14:textId="37F079A8">
      <w:pPr>
        <w:pStyle w:val="ListParagraph"/>
        <w:numPr>
          <w:ilvl w:val="0"/>
          <w:numId w:val="2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Data Exfiltration: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USB Drives, Cloud Storage, Email/Messaging</w:t>
      </w:r>
    </w:p>
    <w:p w:rsidR="43418316" w:rsidP="732EE1AE" w:rsidRDefault="43418316" w14:paraId="7A91B416" w14:textId="2E1F49E2">
      <w:pPr>
        <w:pStyle w:val="ListParagraph"/>
        <w:numPr>
          <w:ilvl w:val="0"/>
          <w:numId w:val="29"/>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Internal Exploitation: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Mimikatz</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PowerShell Scripts</w:t>
      </w:r>
    </w:p>
    <w:p w:rsidR="43418316" w:rsidP="732EE1AE" w:rsidRDefault="43418316" w14:paraId="60C5F35F" w14:textId="68A64661">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Social Engineering / Psychological Exploitation</w:t>
      </w:r>
    </w:p>
    <w:p w:rsidR="43418316" w:rsidP="732EE1AE" w:rsidRDefault="43418316" w14:paraId="298C9ED8" w14:textId="5D8A8DA3">
      <w:pPr>
        <w:pStyle w:val="ListParagraph"/>
        <w:numPr>
          <w:ilvl w:val="0"/>
          <w:numId w:val="30"/>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Job Exploitation, Trust Exploitation, Blackmail/Pressure</w:t>
      </w:r>
    </w:p>
    <w:p w:rsidR="43418316" w:rsidP="732EE1AE" w:rsidRDefault="43418316" w14:paraId="7E287CDF" w14:textId="5AC81B9A">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Methods of Preventing Insider Attack</w:t>
      </w:r>
    </w:p>
    <w:p w:rsidR="43418316" w:rsidP="732EE1AE" w:rsidRDefault="43418316" w14:paraId="6F407FCA" w14:textId="00AF9D8F">
      <w:pPr>
        <w:pStyle w:val="ListParagraph"/>
        <w:numPr>
          <w:ilvl w:val="0"/>
          <w:numId w:val="31"/>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Privilege Control:</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Least Privilege,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monitor</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access</w:t>
      </w:r>
    </w:p>
    <w:p w:rsidR="43418316" w:rsidP="732EE1AE" w:rsidRDefault="43418316" w14:paraId="47A23CE7" w14:textId="20E71D63">
      <w:pPr>
        <w:pStyle w:val="ListParagraph"/>
        <w:numPr>
          <w:ilvl w:val="0"/>
          <w:numId w:val="31"/>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Monitoring &amp; Auditing:</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Audit logs, User Behavior Analytics</w:t>
      </w:r>
    </w:p>
    <w:p w:rsidR="43418316" w:rsidP="732EE1AE" w:rsidRDefault="43418316" w14:paraId="04FD358C" w14:textId="155CB0B1">
      <w:pPr>
        <w:pStyle w:val="ListParagraph"/>
        <w:numPr>
          <w:ilvl w:val="0"/>
          <w:numId w:val="31"/>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Awareness &amp; Training:</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Security training, reporting culture</w:t>
      </w:r>
    </w:p>
    <w:p w:rsidR="43418316" w:rsidP="732EE1AE" w:rsidRDefault="43418316" w14:paraId="0FA7B917" w14:textId="26A9583D">
      <w:pPr>
        <w:pStyle w:val="ListParagraph"/>
        <w:numPr>
          <w:ilvl w:val="0"/>
          <w:numId w:val="31"/>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Strict Policies:</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Data access policies, restrict personal devices</w:t>
      </w:r>
    </w:p>
    <w:p w:rsidR="43418316" w:rsidP="732EE1AE" w:rsidRDefault="43418316" w14:paraId="1AE9E6DE" w14:textId="620C527D">
      <w:pPr>
        <w:pStyle w:val="ListParagraph"/>
        <w:numPr>
          <w:ilvl w:val="0"/>
          <w:numId w:val="31"/>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Technical Tools:</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DLP, Endpoint Monitoring, SIEM</w:t>
      </w:r>
    </w:p>
    <w:p w:rsidR="43418316" w:rsidP="732EE1AE" w:rsidRDefault="43418316" w14:paraId="2B982FAE" w14:textId="1A184C13">
      <w:p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 xml:space="preserve">Case Study – Stewart David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Nozette</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 xml:space="preserve"> (U.S. Government Insider Threat):</w:t>
      </w:r>
      <w:r>
        <w:br/>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w:t>
      </w:r>
      <w:r w:rsidRPr="732EE1AE" w:rsidR="43418316">
        <w:rPr>
          <w:rFonts w:ascii="Calibri" w:hAnsi="Calibri" w:eastAsia="Calibri" w:cs="Calibri" w:asciiTheme="majorAscii" w:hAnsiTheme="majorAscii" w:eastAsiaTheme="majorAscii" w:cstheme="majorAscii"/>
          <w:noProof w:val="0"/>
          <w:color w:val="auto"/>
          <w:sz w:val="28"/>
          <w:szCs w:val="28"/>
          <w:lang w:val="en-US"/>
        </w:rPr>
        <w:t>Nozette</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 NASA contractor with top-secret clearance, misused his access to defraud U.S. government agencies and </w:t>
      </w:r>
      <w:r w:rsidRPr="732EE1AE" w:rsidR="43418316">
        <w:rPr>
          <w:rFonts w:ascii="Calibri" w:hAnsi="Calibri" w:eastAsia="Calibri" w:cs="Calibri" w:asciiTheme="majorAscii" w:hAnsiTheme="majorAscii" w:eastAsiaTheme="majorAscii" w:cstheme="majorAscii"/>
          <w:noProof w:val="0"/>
          <w:color w:val="auto"/>
          <w:sz w:val="28"/>
          <w:szCs w:val="28"/>
          <w:lang w:val="en-US"/>
        </w:rPr>
        <w:t>attempted</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to sell classified data to a foreign intelligence service.</w:t>
      </w:r>
    </w:p>
    <w:p w:rsidR="43418316" w:rsidP="732EE1AE" w:rsidRDefault="43418316" w14:paraId="20897B73" w14:textId="264A33DC">
      <w:pPr>
        <w:pStyle w:val="ListParagraph"/>
        <w:numPr>
          <w:ilvl w:val="0"/>
          <w:numId w:val="40"/>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Impact:</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National security compromise and multi-agency fraud.</w:t>
      </w:r>
    </w:p>
    <w:p w:rsidR="43418316" w:rsidP="732EE1AE" w:rsidRDefault="43418316" w14:paraId="137DDE14" w14:textId="194E91BF">
      <w:pPr>
        <w:pStyle w:val="ListParagraph"/>
        <w:numPr>
          <w:ilvl w:val="0"/>
          <w:numId w:val="40"/>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Outcome:</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Sentenced to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13 years in prison</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for attempted espionage, fraud, and tax evasion.</w:t>
      </w:r>
    </w:p>
    <w:p w:rsidR="43418316" w:rsidP="732EE1AE" w:rsidRDefault="43418316" w14:paraId="7C1DC067" w14:textId="01CD4614">
      <w:pPr>
        <w:pStyle w:val="ListParagraph"/>
        <w:numPr>
          <w:ilvl w:val="0"/>
          <w:numId w:val="40"/>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Lessons Learned:</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Insider attacks can bypass perimeter defenses; strong internal monitoring and behavior analytics are essential.</w:t>
      </w:r>
    </w:p>
    <w:p w:rsidR="43418316" w:rsidP="732EE1AE" w:rsidRDefault="43418316" w14:paraId="6D7A38B5" w14:textId="147CDF53">
      <w:pPr>
        <w:spacing w:before="240" w:beforeAutospacing="off" w:after="240" w:afterAutospacing="off"/>
        <w:rPr>
          <w:rFonts w:ascii="Calibri" w:hAnsi="Calibri" w:eastAsia="Calibri" w:cs="Calibri" w:asciiTheme="majorAscii" w:hAnsiTheme="majorAscii" w:eastAsiaTheme="majorAscii" w:cstheme="majorAscii"/>
          <w:b w:val="1"/>
          <w:bCs w:val="1"/>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Best Practices:</w:t>
      </w:r>
    </w:p>
    <w:p w:rsidR="43418316" w:rsidP="732EE1AE" w:rsidRDefault="43418316" w14:paraId="0FEA7131" w14:textId="6477C941">
      <w:pPr>
        <w:pStyle w:val="ListParagraph"/>
        <w:numPr>
          <w:ilvl w:val="0"/>
          <w:numId w:val="41"/>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Apply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Least Privilege Access (LPA)</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principles.</w:t>
      </w:r>
    </w:p>
    <w:p w:rsidR="43418316" w:rsidP="732EE1AE" w:rsidRDefault="43418316" w14:paraId="4175251A" w14:textId="32CDF310">
      <w:pPr>
        <w:pStyle w:val="ListParagraph"/>
        <w:numPr>
          <w:ilvl w:val="0"/>
          <w:numId w:val="41"/>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Monitor activities via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User Behavior Analytics (UBA)</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and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SIEM systems</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43418316" w:rsidP="732EE1AE" w:rsidRDefault="43418316" w14:paraId="2E759D7B" w14:textId="4201D003">
      <w:pPr>
        <w:pStyle w:val="ListParagraph"/>
        <w:numPr>
          <w:ilvl w:val="0"/>
          <w:numId w:val="41"/>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Conduct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employee background checks and awareness training</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43418316" w:rsidP="732EE1AE" w:rsidRDefault="43418316" w14:paraId="45FD5886" w14:textId="520375FB">
      <w:pPr>
        <w:pStyle w:val="ListParagraph"/>
        <w:numPr>
          <w:ilvl w:val="0"/>
          <w:numId w:val="41"/>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Enforce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strict data access and removable media policies</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732EE1AE" w:rsidP="732EE1AE" w:rsidRDefault="732EE1AE" w14:paraId="0681A4A5" w14:textId="5ACC16AA">
      <w:pPr>
        <w:pStyle w:val="Normal"/>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p>
    <w:p w:rsidR="732EE1AE" w:rsidP="732EE1AE" w:rsidRDefault="732EE1AE" w14:paraId="6C046F90" w14:textId="05A072B8">
      <w:pPr>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p>
    <w:p w:rsidR="43418316" w:rsidP="732EE1AE" w:rsidRDefault="43418316" w14:paraId="1196DF27" w14:textId="29826E0D">
      <w:pPr>
        <w:pStyle w:val="Heading1"/>
        <w:keepNext w:val="1"/>
        <w:keepLines w:val="1"/>
        <w:spacing w:before="322" w:beforeAutospacing="off" w:after="322"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32"/>
          <w:szCs w:val="32"/>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32"/>
          <w:szCs w:val="32"/>
          <w:lang w:val="en-US"/>
        </w:rPr>
        <w:t>SQL Injection</w:t>
      </w:r>
    </w:p>
    <w:p w:rsidR="43418316" w:rsidP="732EE1AE" w:rsidRDefault="43418316" w14:paraId="67284CE6" w14:textId="2F9A25AC">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Definition of SQL Injection</w:t>
      </w:r>
      <w:r>
        <w:br/>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SQL Injection is an attack on web applications where an attacker enters malicious SQL queries in input fields to manipulate the database and access or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modify</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sensitive information.</w:t>
      </w:r>
    </w:p>
    <w:p w:rsidR="43418316" w:rsidP="732EE1AE" w:rsidRDefault="43418316" w14:paraId="43536457" w14:textId="06D405DF">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Features:</w:t>
      </w:r>
    </w:p>
    <w:p w:rsidR="43418316" w:rsidP="732EE1AE" w:rsidRDefault="43418316" w14:paraId="411553EF" w14:textId="486F1233">
      <w:pPr>
        <w:pStyle w:val="ListParagraph"/>
        <w:numPr>
          <w:ilvl w:val="0"/>
          <w:numId w:val="32"/>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Exploits applications that do not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validate</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input.</w:t>
      </w:r>
    </w:p>
    <w:p w:rsidR="43418316" w:rsidP="732EE1AE" w:rsidRDefault="43418316" w14:paraId="617E4FDF" w14:textId="38EDE2AC">
      <w:pPr>
        <w:pStyle w:val="ListParagraph"/>
        <w:numPr>
          <w:ilvl w:val="0"/>
          <w:numId w:val="32"/>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Can expose passwords, customer data, or full database control.</w:t>
      </w:r>
    </w:p>
    <w:p w:rsidR="43418316" w:rsidP="732EE1AE" w:rsidRDefault="43418316" w14:paraId="7A9365E2" w14:textId="50B6301D">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Methods of Executing SQL Injection</w:t>
      </w:r>
    </w:p>
    <w:p w:rsidR="43418316" w:rsidP="732EE1AE" w:rsidRDefault="43418316" w14:paraId="7BAD52A1" w14:textId="7979AA26">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A. Classic SQL Injection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 Enter SQL directly in fields, e.g.,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OR '1'='1</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w:t>
      </w:r>
      <w:r>
        <w:br/>
      </w: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B. Blind SQL Injection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 Use true/false queries to extract info gradually.</w:t>
      </w:r>
      <w:r>
        <w:br/>
      </w: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C. Error-Based SQL Injection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 Exploit database error messages.</w:t>
      </w:r>
      <w:r>
        <w:br/>
      </w: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D. Union-Based SQL Injection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 Use UNION to combine query results.</w:t>
      </w:r>
      <w:r>
        <w:br/>
      </w: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E. Time-Based SQL Injection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 Rely on response delays.</w:t>
      </w:r>
    </w:p>
    <w:p w:rsidR="43418316" w:rsidP="732EE1AE" w:rsidRDefault="43418316" w14:paraId="30740A19" w14:textId="41DEE1BC">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Tools Used in SQL Injection</w:t>
      </w:r>
    </w:p>
    <w:p w:rsidR="43418316" w:rsidP="732EE1AE" w:rsidRDefault="43418316" w14:paraId="0A99C059" w14:textId="4D6802E2">
      <w:pPr>
        <w:pStyle w:val="ListParagraph"/>
        <w:numPr>
          <w:ilvl w:val="0"/>
          <w:numId w:val="33"/>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Vulnerability Discovery:</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sqlmap</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Havij</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jSQL</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Injection</w:t>
      </w:r>
    </w:p>
    <w:p w:rsidR="43418316" w:rsidP="732EE1AE" w:rsidRDefault="43418316" w14:paraId="7AAC2597" w14:textId="4D3A3F03">
      <w:pPr>
        <w:pStyle w:val="ListParagraph"/>
        <w:numPr>
          <w:ilvl w:val="0"/>
          <w:numId w:val="33"/>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Supporting Tools:</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Burp Suite, OWASP ZAP</w:t>
      </w:r>
    </w:p>
    <w:p w:rsidR="43418316" w:rsidP="732EE1AE" w:rsidRDefault="43418316" w14:paraId="42C703B8" w14:textId="105D3AAA">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Social Engineering Aspect</w:t>
      </w:r>
    </w:p>
    <w:p w:rsidR="43418316" w:rsidP="732EE1AE" w:rsidRDefault="43418316" w14:paraId="617A61ED" w14:textId="48AA1D0A">
      <w:pPr>
        <w:pStyle w:val="ListParagraph"/>
        <w:numPr>
          <w:ilvl w:val="0"/>
          <w:numId w:val="34"/>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Exploit developer mistakes or insecure design.</w:t>
      </w:r>
    </w:p>
    <w:p w:rsidR="43418316" w:rsidP="732EE1AE" w:rsidRDefault="43418316" w14:paraId="30A95EA3" w14:textId="729D11CB">
      <w:pPr>
        <w:pStyle w:val="ListParagraph"/>
        <w:numPr>
          <w:ilvl w:val="0"/>
          <w:numId w:val="34"/>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Trick employees into </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submitting</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queries via forms or links.</w:t>
      </w:r>
    </w:p>
    <w:p w:rsidR="43418316" w:rsidP="732EE1AE" w:rsidRDefault="43418316" w14:paraId="778B2FAB" w14:textId="22E557F7">
      <w:p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Methods of Preventing SQL Injection</w:t>
      </w:r>
    </w:p>
    <w:p w:rsidR="43418316" w:rsidP="732EE1AE" w:rsidRDefault="43418316" w14:paraId="5430C730" w14:textId="6C57D049">
      <w:pPr>
        <w:pStyle w:val="ListParagraph"/>
        <w:numPr>
          <w:ilvl w:val="0"/>
          <w:numId w:val="35"/>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Input Validation:</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Sanitize/</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validate</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input</w:t>
      </w:r>
    </w:p>
    <w:p w:rsidR="43418316" w:rsidP="732EE1AE" w:rsidRDefault="43418316" w14:paraId="3F96958E" w14:textId="417EB5C8">
      <w:pPr>
        <w:pStyle w:val="ListParagraph"/>
        <w:numPr>
          <w:ilvl w:val="0"/>
          <w:numId w:val="35"/>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Prepared Statements:</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Parameterized queries</w:t>
      </w:r>
    </w:p>
    <w:p w:rsidR="43418316" w:rsidP="732EE1AE" w:rsidRDefault="43418316" w14:paraId="68F12ACB" w14:textId="25E6B626">
      <w:pPr>
        <w:pStyle w:val="ListParagraph"/>
        <w:numPr>
          <w:ilvl w:val="0"/>
          <w:numId w:val="35"/>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Use ORM/Security Libraries</w:t>
      </w:r>
    </w:p>
    <w:p w:rsidR="43418316" w:rsidP="732EE1AE" w:rsidRDefault="43418316" w14:paraId="3DF0511D" w14:textId="5C2B4A94">
      <w:pPr>
        <w:pStyle w:val="ListParagraph"/>
        <w:numPr>
          <w:ilvl w:val="0"/>
          <w:numId w:val="35"/>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Limit Database Privileges</w:t>
      </w:r>
    </w:p>
    <w:p w:rsidR="43418316" w:rsidP="732EE1AE" w:rsidRDefault="43418316" w14:paraId="1F163C9E" w14:textId="471587AC">
      <w:pPr>
        <w:pStyle w:val="ListParagraph"/>
        <w:numPr>
          <w:ilvl w:val="0"/>
          <w:numId w:val="35"/>
        </w:numPr>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i w:val="0"/>
          <w:iCs w:val="0"/>
          <w:caps w:val="0"/>
          <w:smallCaps w:val="0"/>
          <w:noProof w:val="0"/>
          <w:color w:val="auto"/>
          <w:sz w:val="28"/>
          <w:szCs w:val="28"/>
          <w:lang w:val="en-US"/>
        </w:rPr>
        <w:t>Monitoring &amp; Auditing:</w:t>
      </w:r>
      <w:r w:rsidRPr="732EE1AE" w:rsidR="43418316">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t xml:space="preserve"> Logs, WAF</w:t>
      </w:r>
    </w:p>
    <w:p w:rsidR="43418316" w:rsidP="732EE1AE" w:rsidRDefault="43418316" w14:paraId="0FB2E17B" w14:textId="629156A1">
      <w:p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Case Study – TalkTalk Data Breach (2015):</w:t>
      </w:r>
      <w:r>
        <w:br/>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In 2015, the UK telecom company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TalkTalk</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suffered a massive SQL injection attack exposing data of over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150,000 customers</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43418316" w:rsidP="732EE1AE" w:rsidRDefault="43418316" w14:paraId="6061ED05" w14:textId="41076DAD">
      <w:pPr>
        <w:pStyle w:val="ListParagraph"/>
        <w:numPr>
          <w:ilvl w:val="0"/>
          <w:numId w:val="42"/>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Method:</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Attackers exploited an unpatched web page vulnerable to SQL injection.</w:t>
      </w:r>
    </w:p>
    <w:p w:rsidR="43418316" w:rsidP="732EE1AE" w:rsidRDefault="43418316" w14:paraId="0D9F10B6" w14:textId="10FF12FE">
      <w:pPr>
        <w:pStyle w:val="ListParagraph"/>
        <w:numPr>
          <w:ilvl w:val="0"/>
          <w:numId w:val="42"/>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Impact:</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Financial and personal data leak, £60 million in damages, and major reputational harm.</w:t>
      </w:r>
    </w:p>
    <w:p w:rsidR="43418316" w:rsidP="732EE1AE" w:rsidRDefault="43418316" w14:paraId="51040623" w14:textId="7F05D6E7">
      <w:pPr>
        <w:pStyle w:val="ListParagraph"/>
        <w:numPr>
          <w:ilvl w:val="0"/>
          <w:numId w:val="42"/>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Outcome:</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The company was fined £400,000 by the UK Information Commissioner’s Office (ICO).</w:t>
      </w:r>
    </w:p>
    <w:p w:rsidR="43418316" w:rsidP="732EE1AE" w:rsidRDefault="43418316" w14:paraId="4E8E17EC" w14:textId="5B77F97B">
      <w:pPr>
        <w:spacing w:before="240" w:beforeAutospacing="off" w:after="240" w:afterAutospacing="off"/>
        <w:rPr>
          <w:rFonts w:ascii="Calibri" w:hAnsi="Calibri" w:eastAsia="Calibri" w:cs="Calibri" w:asciiTheme="majorAscii" w:hAnsiTheme="majorAscii" w:eastAsiaTheme="majorAscii" w:cstheme="majorAscii"/>
          <w:b w:val="1"/>
          <w:bCs w:val="1"/>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Best Practices:</w:t>
      </w:r>
    </w:p>
    <w:p w:rsidR="43418316" w:rsidP="732EE1AE" w:rsidRDefault="43418316" w14:paraId="5453A009" w14:textId="3079BC31">
      <w:pPr>
        <w:pStyle w:val="ListParagraph"/>
        <w:numPr>
          <w:ilvl w:val="0"/>
          <w:numId w:val="43"/>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Validate and sanitize all user inputs.</w:t>
      </w:r>
    </w:p>
    <w:p w:rsidR="43418316" w:rsidP="732EE1AE" w:rsidRDefault="43418316" w14:paraId="7A49E284" w14:textId="41424707">
      <w:pPr>
        <w:pStyle w:val="ListParagraph"/>
        <w:numPr>
          <w:ilvl w:val="0"/>
          <w:numId w:val="43"/>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Use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parameterized queries</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and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prepared statements</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43418316" w:rsidP="732EE1AE" w:rsidRDefault="43418316" w14:paraId="56AC948D" w14:textId="1BF7CEFA">
      <w:pPr>
        <w:pStyle w:val="ListParagraph"/>
        <w:numPr>
          <w:ilvl w:val="0"/>
          <w:numId w:val="43"/>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Implement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Web Application Firewalls (WAFs)</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43418316" w:rsidP="732EE1AE" w:rsidRDefault="43418316" w14:paraId="28601A1A" w14:textId="7359BD14">
      <w:pPr>
        <w:pStyle w:val="ListParagraph"/>
        <w:numPr>
          <w:ilvl w:val="0"/>
          <w:numId w:val="43"/>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Apply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principle of least privilege</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for database accounts.</w:t>
      </w:r>
    </w:p>
    <w:p w:rsidR="43418316" w:rsidP="732EE1AE" w:rsidRDefault="43418316" w14:paraId="23705152" w14:textId="6E205CDC">
      <w:pPr>
        <w:pStyle w:val="ListParagraph"/>
        <w:numPr>
          <w:ilvl w:val="0"/>
          <w:numId w:val="43"/>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Conduct regular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vulnerability assessments</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and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code reviews</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732EE1AE" w:rsidP="732EE1AE" w:rsidRDefault="732EE1AE" w14:paraId="70CDDDCC" w14:textId="6E6723E1">
      <w:pPr>
        <w:rPr>
          <w:rFonts w:ascii="Calibri" w:hAnsi="Calibri" w:eastAsia="Calibri" w:cs="Calibri" w:asciiTheme="majorAscii" w:hAnsiTheme="majorAscii" w:eastAsiaTheme="majorAscii" w:cstheme="majorAscii"/>
          <w:color w:val="auto"/>
          <w:sz w:val="28"/>
          <w:szCs w:val="28"/>
        </w:rPr>
      </w:pPr>
    </w:p>
    <w:p w:rsidR="43418316" w:rsidP="732EE1AE" w:rsidRDefault="43418316" w14:paraId="60936C5F" w14:textId="6754D253">
      <w:pPr>
        <w:pStyle w:val="Heading3"/>
        <w:spacing w:before="281" w:beforeAutospacing="off" w:after="281" w:afterAutospacing="off"/>
        <w:rPr>
          <w:rFonts w:ascii="Calibri" w:hAnsi="Calibri" w:eastAsia="Calibri" w:cs="Calibri" w:asciiTheme="majorAscii" w:hAnsiTheme="majorAscii" w:eastAsiaTheme="majorAscii" w:cstheme="majorAscii"/>
          <w:b w:val="1"/>
          <w:bCs w:val="1"/>
          <w:noProof w:val="0"/>
          <w:color w:val="auto"/>
          <w:sz w:val="32"/>
          <w:szCs w:val="32"/>
          <w:lang w:val="en-US"/>
        </w:rPr>
      </w:pPr>
      <w:r w:rsidRPr="732EE1AE" w:rsidR="43418316">
        <w:rPr>
          <w:rFonts w:ascii="Calibri" w:hAnsi="Calibri" w:eastAsia="Calibri" w:cs="Calibri" w:asciiTheme="majorAscii" w:hAnsiTheme="majorAscii" w:eastAsiaTheme="majorAscii" w:cstheme="majorAscii"/>
          <w:b w:val="1"/>
          <w:bCs w:val="1"/>
          <w:noProof w:val="0"/>
          <w:color w:val="auto"/>
          <w:sz w:val="32"/>
          <w:szCs w:val="32"/>
          <w:lang w:val="en-US"/>
        </w:rPr>
        <w:t>Overall Best Practices Across All Attacks</w:t>
      </w:r>
    </w:p>
    <w:p w:rsidR="43418316" w:rsidP="732EE1AE" w:rsidRDefault="43418316" w14:paraId="5B1A5A65" w14:textId="6CDD16A2">
      <w:p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To </w:t>
      </w:r>
      <w:r w:rsidRPr="732EE1AE" w:rsidR="43418316">
        <w:rPr>
          <w:rFonts w:ascii="Calibri" w:hAnsi="Calibri" w:eastAsia="Calibri" w:cs="Calibri" w:asciiTheme="majorAscii" w:hAnsiTheme="majorAscii" w:eastAsiaTheme="majorAscii" w:cstheme="majorAscii"/>
          <w:noProof w:val="0"/>
          <w:color w:val="auto"/>
          <w:sz w:val="28"/>
          <w:szCs w:val="28"/>
          <w:lang w:val="en-US"/>
        </w:rPr>
        <w:t>maintain</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 mature and resilient cybersecurity posture, organizations should adopt a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layered defense strategy</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combining technology, policy, and human awareness:</w:t>
      </w:r>
    </w:p>
    <w:p w:rsidR="43418316" w:rsidP="732EE1AE" w:rsidRDefault="43418316" w14:paraId="6270E3CD" w14:textId="435D7D21">
      <w:pPr>
        <w:pStyle w:val="ListParagraph"/>
        <w:numPr>
          <w:ilvl w:val="0"/>
          <w:numId w:val="44"/>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Regular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security awareness training</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for employees.</w:t>
      </w:r>
    </w:p>
    <w:p w:rsidR="43418316" w:rsidP="732EE1AE" w:rsidRDefault="43418316" w14:paraId="2F6AD811" w14:textId="34742F51">
      <w:pPr>
        <w:pStyle w:val="ListParagraph"/>
        <w:numPr>
          <w:ilvl w:val="0"/>
          <w:numId w:val="44"/>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Implementation of a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Security Information and Event Management (SIEM)</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system for monitoring.</w:t>
      </w:r>
    </w:p>
    <w:p w:rsidR="43418316" w:rsidP="732EE1AE" w:rsidRDefault="43418316" w14:paraId="54876D27" w14:textId="637613F5">
      <w:pPr>
        <w:pStyle w:val="ListParagraph"/>
        <w:numPr>
          <w:ilvl w:val="0"/>
          <w:numId w:val="44"/>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Regular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incident response drills</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and tabletop exercises.</w:t>
      </w:r>
    </w:p>
    <w:p w:rsidR="43418316" w:rsidP="732EE1AE" w:rsidRDefault="43418316" w14:paraId="0990A029" w14:textId="4AEB070F">
      <w:pPr>
        <w:pStyle w:val="ListParagraph"/>
        <w:numPr>
          <w:ilvl w:val="0"/>
          <w:numId w:val="44"/>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Continuous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vulnerability management and patching</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43418316" w:rsidP="732EE1AE" w:rsidRDefault="43418316" w14:paraId="1BE0CA2B" w14:textId="47BCF3DA">
      <w:pPr>
        <w:pStyle w:val="ListParagraph"/>
        <w:numPr>
          <w:ilvl w:val="0"/>
          <w:numId w:val="44"/>
        </w:num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Integration of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threat intelligence</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for proactive detection.</w:t>
      </w:r>
    </w:p>
    <w:p w:rsidR="43418316" w:rsidP="732EE1AE" w:rsidRDefault="43418316" w14:paraId="00193207" w14:textId="44C0EEDF">
      <w:pPr>
        <w:pStyle w:val="Heading3"/>
        <w:spacing w:before="281" w:beforeAutospacing="off" w:after="281" w:afterAutospacing="off"/>
        <w:rPr>
          <w:rFonts w:ascii="Calibri" w:hAnsi="Calibri" w:eastAsia="Calibri" w:cs="Calibri" w:asciiTheme="majorAscii" w:hAnsiTheme="majorAscii" w:eastAsiaTheme="majorAscii" w:cstheme="majorAscii"/>
          <w:b w:val="1"/>
          <w:bCs w:val="1"/>
          <w:noProof w:val="0"/>
          <w:color w:val="auto"/>
          <w:sz w:val="28"/>
          <w:szCs w:val="28"/>
          <w:lang w:val="en-US"/>
        </w:rPr>
      </w:pP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Summary</w:t>
      </w:r>
    </w:p>
    <w:p w:rsidR="43418316" w:rsidP="732EE1AE" w:rsidRDefault="43418316" w14:paraId="6A77951F" w14:textId="2EB5AD28">
      <w:p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The analysis of the four attack types —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Phishing, DDoS, Insider Threats, and SQL Injection</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 </w:t>
      </w:r>
      <w:r w:rsidRPr="732EE1AE" w:rsidR="43418316">
        <w:rPr>
          <w:rFonts w:ascii="Calibri" w:hAnsi="Calibri" w:eastAsia="Calibri" w:cs="Calibri" w:asciiTheme="majorAscii" w:hAnsiTheme="majorAscii" w:eastAsiaTheme="majorAscii" w:cstheme="majorAscii"/>
          <w:noProof w:val="0"/>
          <w:color w:val="auto"/>
          <w:sz w:val="28"/>
          <w:szCs w:val="28"/>
          <w:lang w:val="en-US"/>
        </w:rPr>
        <w:t>demonstrates</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the wide range of challenges that organizations face in cybersecurity. Each attack highlights a different dimension of vulnerability: human error in phishing, system overload in DDoS, internal misuse in insider threats, and application-layer weaknesses in SQL injection.</w:t>
      </w:r>
    </w:p>
    <w:p w:rsidR="43418316" w:rsidP="732EE1AE" w:rsidRDefault="43418316" w14:paraId="09F53D38" w14:textId="7933B312">
      <w:p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The reviewed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case studies</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further emphasize that real-world incidents often arise from a lack of preparation, poor detection mechanisms, and insufficient response coordination. These findings underscore the importance of having a structured and tested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Incident Response Plan (IRP)</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that addresses all phases of an incident — from preparation and detection to containment, eradication, and recovery.</w:t>
      </w:r>
    </w:p>
    <w:p w:rsidR="43418316" w:rsidP="732EE1AE" w:rsidRDefault="43418316" w14:paraId="4C9A3E27" w14:textId="35EF5119">
      <w:p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Building upon the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NIST SP 800-61</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framework as the project’s foundation, supported by the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practical flexibility of the SANS model</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and the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governance alignment of ISO/IEC 27035</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the next stage of this project will focus on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developing and testing a comprehensive Incident Response Plan</w:t>
      </w:r>
      <w:r w:rsidRPr="732EE1AE" w:rsidR="43418316">
        <w:rPr>
          <w:rFonts w:ascii="Calibri" w:hAnsi="Calibri" w:eastAsia="Calibri" w:cs="Calibri" w:asciiTheme="majorAscii" w:hAnsiTheme="majorAscii" w:eastAsiaTheme="majorAscii" w:cstheme="majorAscii"/>
          <w:noProof w:val="0"/>
          <w:color w:val="auto"/>
          <w:sz w:val="28"/>
          <w:szCs w:val="28"/>
          <w:lang w:val="en-US"/>
        </w:rPr>
        <w:t>.</w:t>
      </w:r>
    </w:p>
    <w:p w:rsidR="43418316" w:rsidP="732EE1AE" w:rsidRDefault="43418316" w14:paraId="368A99A5" w14:textId="40133FD3">
      <w:pPr>
        <w:spacing w:before="240" w:beforeAutospacing="off" w:after="240" w:afterAutospacing="off"/>
        <w:rPr>
          <w:rFonts w:ascii="Calibri" w:hAnsi="Calibri" w:eastAsia="Calibri" w:cs="Calibri" w:asciiTheme="majorAscii" w:hAnsiTheme="majorAscii" w:eastAsiaTheme="majorAscii" w:cstheme="majorAscii"/>
          <w:noProof w:val="0"/>
          <w:color w:val="auto"/>
          <w:sz w:val="28"/>
          <w:szCs w:val="28"/>
          <w:lang w:val="en-US"/>
        </w:rPr>
      </w:pP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This plan will integrate technical monitoring through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Wazuh</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 xml:space="preserve"> SIEM</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attack simulation using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CALDERA</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as the adversary and command-and-control platform, and real attack scenarios involving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phishing</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and </w:t>
      </w:r>
      <w:r w:rsidRPr="732EE1AE" w:rsidR="43418316">
        <w:rPr>
          <w:rFonts w:ascii="Calibri" w:hAnsi="Calibri" w:eastAsia="Calibri" w:cs="Calibri" w:asciiTheme="majorAscii" w:hAnsiTheme="majorAscii" w:eastAsiaTheme="majorAscii" w:cstheme="majorAscii"/>
          <w:b w:val="1"/>
          <w:bCs w:val="1"/>
          <w:noProof w:val="0"/>
          <w:color w:val="auto"/>
          <w:sz w:val="28"/>
          <w:szCs w:val="28"/>
          <w:lang w:val="en-US"/>
        </w:rPr>
        <w:t>insider threats</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The </w:t>
      </w:r>
      <w:r w:rsidRPr="732EE1AE" w:rsidR="43418316">
        <w:rPr>
          <w:rFonts w:ascii="Calibri" w:hAnsi="Calibri" w:eastAsia="Calibri" w:cs="Calibri" w:asciiTheme="majorAscii" w:hAnsiTheme="majorAscii" w:eastAsiaTheme="majorAscii" w:cstheme="majorAscii"/>
          <w:noProof w:val="0"/>
          <w:color w:val="auto"/>
          <w:sz w:val="28"/>
          <w:szCs w:val="28"/>
          <w:lang w:val="en-US"/>
        </w:rPr>
        <w:t>objective</w:t>
      </w:r>
      <w:r w:rsidRPr="732EE1AE" w:rsidR="43418316">
        <w:rPr>
          <w:rFonts w:ascii="Calibri" w:hAnsi="Calibri" w:eastAsia="Calibri" w:cs="Calibri" w:asciiTheme="majorAscii" w:hAnsiTheme="majorAscii" w:eastAsiaTheme="majorAscii" w:cstheme="majorAscii"/>
          <w:noProof w:val="0"/>
          <w:color w:val="auto"/>
          <w:sz w:val="28"/>
          <w:szCs w:val="28"/>
          <w:lang w:val="en-US"/>
        </w:rPr>
        <w:t xml:space="preserve"> is to design a response framework that is both technically sound and operationally effective — ensuring rapid detection, containment, and recovery from security incidents in a realistic environment.</w:t>
      </w:r>
    </w:p>
    <w:p w:rsidR="45D9C79F" w:rsidP="732EE1AE" w:rsidRDefault="45D9C79F" w14:paraId="01A1233E" w14:textId="1C73B3AC">
      <w:pPr>
        <w:pStyle w:val="Heading2"/>
        <w:spacing w:before="299" w:beforeAutospacing="off" w:after="299" w:afterAutospacing="off"/>
        <w:rPr>
          <w:rFonts w:ascii="Calibri" w:hAnsi="Calibri" w:eastAsia="Calibri" w:cs="Calibri"/>
          <w:b w:val="1"/>
          <w:bCs w:val="1"/>
          <w:noProof w:val="0"/>
          <w:color w:val="auto"/>
          <w:sz w:val="36"/>
          <w:szCs w:val="36"/>
          <w:lang w:val="en-US"/>
        </w:rPr>
      </w:pPr>
      <w:r w:rsidRPr="732EE1AE" w:rsidR="45D9C79F">
        <w:rPr>
          <w:rFonts w:ascii="Calibri" w:hAnsi="Calibri" w:eastAsia="Calibri" w:cs="Calibri"/>
          <w:b w:val="1"/>
          <w:bCs w:val="1"/>
          <w:noProof w:val="0"/>
          <w:color w:val="auto"/>
          <w:sz w:val="36"/>
          <w:szCs w:val="36"/>
          <w:lang w:val="en-US"/>
        </w:rPr>
        <w:t>References</w:t>
      </w:r>
    </w:p>
    <w:p w:rsidR="45D9C79F" w:rsidP="732EE1AE" w:rsidRDefault="45D9C79F" w14:paraId="5AC7B1EE" w14:textId="5CA07FE3">
      <w:pPr>
        <w:pStyle w:val="ListParagraph"/>
        <w:numPr>
          <w:ilvl w:val="0"/>
          <w:numId w:val="45"/>
        </w:numPr>
        <w:spacing w:before="240" w:beforeAutospacing="off" w:after="240" w:afterAutospacing="off"/>
        <w:rPr>
          <w:rFonts w:ascii="Calibri" w:hAnsi="Calibri" w:eastAsia="Calibri" w:cs="Calibri"/>
          <w:noProof w:val="0"/>
          <w:sz w:val="28"/>
          <w:szCs w:val="28"/>
          <w:lang w:val="en-US"/>
        </w:rPr>
      </w:pPr>
      <w:r w:rsidRPr="732EE1AE" w:rsidR="45D9C79F">
        <w:rPr>
          <w:rFonts w:ascii="Calibri" w:hAnsi="Calibri" w:eastAsia="Calibri" w:cs="Calibri"/>
          <w:b w:val="1"/>
          <w:bCs w:val="1"/>
          <w:noProof w:val="0"/>
          <w:sz w:val="28"/>
          <w:szCs w:val="28"/>
          <w:lang w:val="en-US"/>
        </w:rPr>
        <w:t>National Institute of Standards and Technology (NIST).</w:t>
      </w:r>
      <w:r>
        <w:br/>
      </w:r>
      <w:r w:rsidRPr="732EE1AE" w:rsidR="45D9C79F">
        <w:rPr>
          <w:rFonts w:ascii="Calibri" w:hAnsi="Calibri" w:eastAsia="Calibri" w:cs="Calibri"/>
          <w:noProof w:val="0"/>
          <w:sz w:val="28"/>
          <w:szCs w:val="28"/>
          <w:lang w:val="en-US"/>
        </w:rPr>
        <w:t xml:space="preserve"> </w:t>
      </w:r>
      <w:r w:rsidRPr="732EE1AE" w:rsidR="45D9C79F">
        <w:rPr>
          <w:rFonts w:ascii="Calibri" w:hAnsi="Calibri" w:eastAsia="Calibri" w:cs="Calibri"/>
          <w:i w:val="1"/>
          <w:iCs w:val="1"/>
          <w:noProof w:val="0"/>
          <w:sz w:val="28"/>
          <w:szCs w:val="28"/>
          <w:lang w:val="en-US"/>
        </w:rPr>
        <w:t>(2021).</w:t>
      </w:r>
      <w:r w:rsidRPr="732EE1AE" w:rsidR="45D9C79F">
        <w:rPr>
          <w:rFonts w:ascii="Calibri" w:hAnsi="Calibri" w:eastAsia="Calibri" w:cs="Calibri"/>
          <w:noProof w:val="0"/>
          <w:sz w:val="28"/>
          <w:szCs w:val="28"/>
          <w:lang w:val="en-US"/>
        </w:rPr>
        <w:t xml:space="preserve"> </w:t>
      </w:r>
      <w:r w:rsidRPr="732EE1AE" w:rsidR="45D9C79F">
        <w:rPr>
          <w:rFonts w:ascii="Calibri" w:hAnsi="Calibri" w:eastAsia="Calibri" w:cs="Calibri"/>
          <w:i w:val="1"/>
          <w:iCs w:val="1"/>
          <w:noProof w:val="0"/>
          <w:sz w:val="28"/>
          <w:szCs w:val="28"/>
          <w:lang w:val="en-US"/>
        </w:rPr>
        <w:t>Computer Security Incident Handling Guide (Special Publication 800-61 Revision 2).</w:t>
      </w:r>
      <w:r>
        <w:br/>
      </w:r>
      <w:r w:rsidRPr="732EE1AE" w:rsidR="45D9C79F">
        <w:rPr>
          <w:rFonts w:ascii="Calibri" w:hAnsi="Calibri" w:eastAsia="Calibri" w:cs="Calibri"/>
          <w:noProof w:val="0"/>
          <w:sz w:val="28"/>
          <w:szCs w:val="28"/>
          <w:lang w:val="en-US"/>
        </w:rPr>
        <w:t xml:space="preserve"> Gaithersburg, MD: U.S. Department of Commerce.</w:t>
      </w:r>
      <w:r>
        <w:br/>
      </w:r>
      <w:r w:rsidRPr="732EE1AE" w:rsidR="45D9C79F">
        <w:rPr>
          <w:rFonts w:ascii="Calibri" w:hAnsi="Calibri" w:eastAsia="Calibri" w:cs="Calibri"/>
          <w:noProof w:val="0"/>
          <w:sz w:val="28"/>
          <w:szCs w:val="28"/>
          <w:lang w:val="en-US"/>
        </w:rPr>
        <w:t xml:space="preserve"> Retrieved from </w:t>
      </w:r>
      <w:hyperlink r:id="R36f19b477e31463b">
        <w:r w:rsidRPr="732EE1AE" w:rsidR="45D9C79F">
          <w:rPr>
            <w:rStyle w:val="Hyperlink"/>
            <w:rFonts w:ascii="Calibri" w:hAnsi="Calibri" w:eastAsia="Calibri" w:cs="Calibri"/>
            <w:noProof w:val="0"/>
            <w:sz w:val="28"/>
            <w:szCs w:val="28"/>
            <w:lang w:val="en-US"/>
          </w:rPr>
          <w:t>https://nvlpubs.nist.gov/nistpubs/SpecialPublications/NIST.SP.800-61r2.pdf</w:t>
        </w:r>
      </w:hyperlink>
    </w:p>
    <w:p w:rsidR="45D9C79F" w:rsidP="732EE1AE" w:rsidRDefault="45D9C79F" w14:paraId="7AA59F2F" w14:textId="0D8EBD24">
      <w:pPr>
        <w:pStyle w:val="ListParagraph"/>
        <w:numPr>
          <w:ilvl w:val="0"/>
          <w:numId w:val="45"/>
        </w:numPr>
        <w:spacing w:before="240" w:beforeAutospacing="off" w:after="240" w:afterAutospacing="off"/>
        <w:rPr>
          <w:rFonts w:ascii="Calibri" w:hAnsi="Calibri" w:eastAsia="Calibri" w:cs="Calibri"/>
          <w:noProof w:val="0"/>
          <w:sz w:val="28"/>
          <w:szCs w:val="28"/>
          <w:lang w:val="en-US"/>
        </w:rPr>
      </w:pPr>
      <w:r w:rsidRPr="732EE1AE" w:rsidR="45D9C79F">
        <w:rPr>
          <w:rFonts w:ascii="Calibri" w:hAnsi="Calibri" w:eastAsia="Calibri" w:cs="Calibri"/>
          <w:b w:val="1"/>
          <w:bCs w:val="1"/>
          <w:noProof w:val="0"/>
          <w:sz w:val="28"/>
          <w:szCs w:val="28"/>
          <w:lang w:val="en-US"/>
        </w:rPr>
        <w:t>International Organization for Standardization (ISO).</w:t>
      </w:r>
      <w:r>
        <w:br/>
      </w:r>
      <w:r w:rsidRPr="732EE1AE" w:rsidR="45D9C79F">
        <w:rPr>
          <w:rFonts w:ascii="Calibri" w:hAnsi="Calibri" w:eastAsia="Calibri" w:cs="Calibri"/>
          <w:noProof w:val="0"/>
          <w:sz w:val="28"/>
          <w:szCs w:val="28"/>
          <w:lang w:val="en-US"/>
        </w:rPr>
        <w:t xml:space="preserve"> </w:t>
      </w:r>
      <w:r w:rsidRPr="732EE1AE" w:rsidR="45D9C79F">
        <w:rPr>
          <w:rFonts w:ascii="Calibri" w:hAnsi="Calibri" w:eastAsia="Calibri" w:cs="Calibri"/>
          <w:i w:val="1"/>
          <w:iCs w:val="1"/>
          <w:noProof w:val="0"/>
          <w:sz w:val="28"/>
          <w:szCs w:val="28"/>
          <w:lang w:val="en-US"/>
        </w:rPr>
        <w:t>(2016).</w:t>
      </w:r>
      <w:r w:rsidRPr="732EE1AE" w:rsidR="45D9C79F">
        <w:rPr>
          <w:rFonts w:ascii="Calibri" w:hAnsi="Calibri" w:eastAsia="Calibri" w:cs="Calibri"/>
          <w:noProof w:val="0"/>
          <w:sz w:val="28"/>
          <w:szCs w:val="28"/>
          <w:lang w:val="en-US"/>
        </w:rPr>
        <w:t xml:space="preserve"> </w:t>
      </w:r>
      <w:r w:rsidRPr="732EE1AE" w:rsidR="45D9C79F">
        <w:rPr>
          <w:rFonts w:ascii="Calibri" w:hAnsi="Calibri" w:eastAsia="Calibri" w:cs="Calibri"/>
          <w:i w:val="1"/>
          <w:iCs w:val="1"/>
          <w:noProof w:val="0"/>
          <w:sz w:val="28"/>
          <w:szCs w:val="28"/>
          <w:lang w:val="en-US"/>
        </w:rPr>
        <w:t>ISO/IEC 27035-1: Information Security Incident Management – Principles of Incident Management.</w:t>
      </w:r>
      <w:r>
        <w:br/>
      </w:r>
      <w:r w:rsidRPr="732EE1AE" w:rsidR="45D9C79F">
        <w:rPr>
          <w:rFonts w:ascii="Calibri" w:hAnsi="Calibri" w:eastAsia="Calibri" w:cs="Calibri"/>
          <w:noProof w:val="0"/>
          <w:sz w:val="28"/>
          <w:szCs w:val="28"/>
          <w:lang w:val="en-US"/>
        </w:rPr>
        <w:t xml:space="preserve"> Geneva, Switzerland: ISO/IEC.</w:t>
      </w:r>
      <w:r>
        <w:br/>
      </w:r>
      <w:r w:rsidRPr="732EE1AE" w:rsidR="45D9C79F">
        <w:rPr>
          <w:rFonts w:ascii="Calibri" w:hAnsi="Calibri" w:eastAsia="Calibri" w:cs="Calibri"/>
          <w:noProof w:val="0"/>
          <w:sz w:val="28"/>
          <w:szCs w:val="28"/>
          <w:lang w:val="en-US"/>
        </w:rPr>
        <w:t xml:space="preserve"> Retrieved from </w:t>
      </w:r>
      <w:hyperlink r:id="R7101d9f1cfee4a82">
        <w:r w:rsidRPr="732EE1AE" w:rsidR="45D9C79F">
          <w:rPr>
            <w:rStyle w:val="Hyperlink"/>
            <w:rFonts w:ascii="Calibri" w:hAnsi="Calibri" w:eastAsia="Calibri" w:cs="Calibri"/>
            <w:noProof w:val="0"/>
            <w:sz w:val="28"/>
            <w:szCs w:val="28"/>
            <w:lang w:val="en-US"/>
          </w:rPr>
          <w:t>https://www.iso.org/standard/60803.html</w:t>
        </w:r>
      </w:hyperlink>
    </w:p>
    <w:p w:rsidR="45D9C79F" w:rsidP="732EE1AE" w:rsidRDefault="45D9C79F" w14:paraId="4497E258" w14:textId="401E1D5B">
      <w:pPr>
        <w:pStyle w:val="ListParagraph"/>
        <w:numPr>
          <w:ilvl w:val="0"/>
          <w:numId w:val="45"/>
        </w:numPr>
        <w:spacing w:before="240" w:beforeAutospacing="off" w:after="240" w:afterAutospacing="off"/>
        <w:rPr>
          <w:rFonts w:ascii="Calibri" w:hAnsi="Calibri" w:eastAsia="Calibri" w:cs="Calibri"/>
          <w:noProof w:val="0"/>
          <w:sz w:val="28"/>
          <w:szCs w:val="28"/>
          <w:lang w:val="en-US"/>
        </w:rPr>
      </w:pPr>
      <w:r w:rsidRPr="732EE1AE" w:rsidR="45D9C79F">
        <w:rPr>
          <w:rFonts w:ascii="Calibri" w:hAnsi="Calibri" w:eastAsia="Calibri" w:cs="Calibri"/>
          <w:b w:val="1"/>
          <w:bCs w:val="1"/>
          <w:noProof w:val="0"/>
          <w:sz w:val="28"/>
          <w:szCs w:val="28"/>
          <w:lang w:val="en-US"/>
        </w:rPr>
        <w:t>SANS Institute.</w:t>
      </w:r>
      <w:r>
        <w:br/>
      </w:r>
      <w:r w:rsidRPr="732EE1AE" w:rsidR="45D9C79F">
        <w:rPr>
          <w:rFonts w:ascii="Calibri" w:hAnsi="Calibri" w:eastAsia="Calibri" w:cs="Calibri"/>
          <w:noProof w:val="0"/>
          <w:sz w:val="28"/>
          <w:szCs w:val="28"/>
          <w:lang w:val="en-US"/>
        </w:rPr>
        <w:t xml:space="preserve"> </w:t>
      </w:r>
      <w:r w:rsidRPr="732EE1AE" w:rsidR="45D9C79F">
        <w:rPr>
          <w:rFonts w:ascii="Calibri" w:hAnsi="Calibri" w:eastAsia="Calibri" w:cs="Calibri"/>
          <w:i w:val="1"/>
          <w:iCs w:val="1"/>
          <w:noProof w:val="0"/>
          <w:sz w:val="28"/>
          <w:szCs w:val="28"/>
          <w:lang w:val="en-US"/>
        </w:rPr>
        <w:t>(n.d.).</w:t>
      </w:r>
      <w:r w:rsidRPr="732EE1AE" w:rsidR="45D9C79F">
        <w:rPr>
          <w:rFonts w:ascii="Calibri" w:hAnsi="Calibri" w:eastAsia="Calibri" w:cs="Calibri"/>
          <w:noProof w:val="0"/>
          <w:sz w:val="28"/>
          <w:szCs w:val="28"/>
          <w:lang w:val="en-US"/>
        </w:rPr>
        <w:t xml:space="preserve"> </w:t>
      </w:r>
      <w:r w:rsidRPr="732EE1AE" w:rsidR="45D9C79F">
        <w:rPr>
          <w:rFonts w:ascii="Calibri" w:hAnsi="Calibri" w:eastAsia="Calibri" w:cs="Calibri"/>
          <w:i w:val="1"/>
          <w:iCs w:val="1"/>
          <w:noProof w:val="0"/>
          <w:sz w:val="28"/>
          <w:szCs w:val="28"/>
          <w:lang w:val="en-US"/>
        </w:rPr>
        <w:t>Incident Handler’s Handbook.</w:t>
      </w:r>
      <w:r>
        <w:br/>
      </w:r>
      <w:r w:rsidRPr="732EE1AE" w:rsidR="45D9C79F">
        <w:rPr>
          <w:rFonts w:ascii="Calibri" w:hAnsi="Calibri" w:eastAsia="Calibri" w:cs="Calibri"/>
          <w:noProof w:val="0"/>
          <w:sz w:val="28"/>
          <w:szCs w:val="28"/>
          <w:lang w:val="en-US"/>
        </w:rPr>
        <w:t xml:space="preserve"> SANS Reading Room.</w:t>
      </w:r>
      <w:r>
        <w:br/>
      </w:r>
      <w:r w:rsidRPr="732EE1AE" w:rsidR="45D9C79F">
        <w:rPr>
          <w:rFonts w:ascii="Calibri" w:hAnsi="Calibri" w:eastAsia="Calibri" w:cs="Calibri"/>
          <w:noProof w:val="0"/>
          <w:sz w:val="28"/>
          <w:szCs w:val="28"/>
          <w:lang w:val="en-US"/>
        </w:rPr>
        <w:t xml:space="preserve"> Retrieved from </w:t>
      </w:r>
      <w:hyperlink r:id="R81ba09d692f64a46">
        <w:r w:rsidRPr="732EE1AE" w:rsidR="45D9C79F">
          <w:rPr>
            <w:rStyle w:val="Hyperlink"/>
            <w:rFonts w:ascii="Calibri" w:hAnsi="Calibri" w:eastAsia="Calibri" w:cs="Calibri"/>
            <w:noProof w:val="0"/>
            <w:sz w:val="28"/>
            <w:szCs w:val="28"/>
            <w:lang w:val="en-US"/>
          </w:rPr>
          <w:t>https://www.sans.org/white-papers/incident-handlers-handbook/</w:t>
        </w:r>
      </w:hyperlink>
    </w:p>
    <w:p w:rsidR="7EDEEAD0" w:rsidP="732EE1AE" w:rsidRDefault="7EDEEAD0" w14:paraId="4F19402B" w14:textId="3912F45A">
      <w:pPr>
        <w:pStyle w:val="ListParagraph"/>
        <w:numPr>
          <w:ilvl w:val="0"/>
          <w:numId w:val="45"/>
        </w:numPr>
        <w:spacing w:before="240" w:beforeAutospacing="off" w:after="240" w:afterAutospacing="off"/>
        <w:rPr>
          <w:noProof w:val="0"/>
          <w:lang w:val="en-US"/>
        </w:rPr>
      </w:pPr>
      <w:r w:rsidRPr="732EE1AE" w:rsidR="7EDEEAD0">
        <w:rPr>
          <w:noProof w:val="0"/>
          <w:lang w:val="en-US"/>
        </w:rPr>
        <w:t xml:space="preserve">Bishop, M., Engle, S., </w:t>
      </w:r>
      <w:r w:rsidRPr="732EE1AE" w:rsidR="7EDEEAD0">
        <w:rPr>
          <w:noProof w:val="0"/>
          <w:lang w:val="en-US"/>
        </w:rPr>
        <w:t>Peisert</w:t>
      </w:r>
      <w:r w:rsidRPr="732EE1AE" w:rsidR="7EDEEAD0">
        <w:rPr>
          <w:noProof w:val="0"/>
          <w:lang w:val="en-US"/>
        </w:rPr>
        <w:t xml:space="preserve">, S., Whalen, S., &amp; Gates, C. (2009). </w:t>
      </w:r>
      <w:r w:rsidRPr="732EE1AE" w:rsidR="7EDEEAD0">
        <w:rPr>
          <w:i w:val="1"/>
          <w:iCs w:val="1"/>
          <w:noProof w:val="0"/>
          <w:lang w:val="en-US"/>
        </w:rPr>
        <w:t>Case Studies of an Insider Framework</w:t>
      </w:r>
      <w:r w:rsidRPr="732EE1AE" w:rsidR="7EDEEAD0">
        <w:rPr>
          <w:noProof w:val="0"/>
          <w:lang w:val="en-US"/>
        </w:rPr>
        <w:t xml:space="preserve">. University of California, Davis. Retrieved from </w:t>
      </w:r>
      <w:hyperlink r:id="R30fcd9ea06b349ca">
        <w:r w:rsidRPr="732EE1AE" w:rsidR="4DD71CB4">
          <w:rPr>
            <w:rStyle w:val="Hyperlink"/>
            <w:noProof w:val="0"/>
            <w:lang w:val="en-US"/>
          </w:rPr>
          <w:t>2009-BEGPW-HICSS-Insider.pdf?</w:t>
        </w:r>
      </w:hyperlink>
    </w:p>
    <w:p w:rsidR="7EDEEAD0" w:rsidP="732EE1AE" w:rsidRDefault="7EDEEAD0" w14:paraId="23CD33BC" w14:textId="32C0F614">
      <w:pPr>
        <w:pStyle w:val="ListParagraph"/>
        <w:numPr>
          <w:ilvl w:val="0"/>
          <w:numId w:val="45"/>
        </w:numPr>
        <w:spacing w:before="240" w:beforeAutospacing="off" w:after="240" w:afterAutospacing="off"/>
        <w:rPr>
          <w:noProof w:val="0"/>
          <w:lang w:val="en-US"/>
        </w:rPr>
      </w:pPr>
      <w:r w:rsidRPr="732EE1AE" w:rsidR="7EDEEAD0">
        <w:rPr>
          <w:i w:val="1"/>
          <w:iCs w:val="1"/>
          <w:noProof w:val="0"/>
          <w:lang w:val="en-US"/>
        </w:rPr>
        <w:t>Case study: Distributed Denial of Service attacks (DDoS)</w:t>
      </w:r>
      <w:r w:rsidRPr="732EE1AE" w:rsidR="7EDEEAD0">
        <w:rPr>
          <w:noProof w:val="0"/>
          <w:lang w:val="en-US"/>
        </w:rPr>
        <w:t xml:space="preserve"> (June 2020). The Engine Room. Retrieved from</w:t>
      </w:r>
      <w:hyperlink r:id="Ra06c167b3b084f4d">
        <w:r w:rsidRPr="732EE1AE" w:rsidR="253E68B9">
          <w:rPr>
            <w:rStyle w:val="Hyperlink"/>
            <w:noProof w:val="0"/>
            <w:lang w:val="en-US"/>
          </w:rPr>
          <w:t>OrgSec-Case-study-DDoS-attacks-June-2020.pdf</w:t>
        </w:r>
      </w:hyperlink>
    </w:p>
    <w:p w:rsidR="7EDEEAD0" w:rsidP="732EE1AE" w:rsidRDefault="7EDEEAD0" w14:paraId="7948068B" w14:textId="702AA196">
      <w:pPr>
        <w:pStyle w:val="ListParagraph"/>
        <w:numPr>
          <w:ilvl w:val="0"/>
          <w:numId w:val="45"/>
        </w:numPr>
        <w:spacing w:before="240" w:beforeAutospacing="off" w:after="240" w:afterAutospacing="off"/>
        <w:rPr>
          <w:noProof w:val="0"/>
          <w:lang w:val="en-US"/>
        </w:rPr>
      </w:pPr>
      <w:r w:rsidRPr="732EE1AE" w:rsidR="7EDEEAD0">
        <w:rPr>
          <w:i w:val="1"/>
          <w:iCs w:val="1"/>
          <w:noProof w:val="0"/>
          <w:lang w:val="en-US"/>
        </w:rPr>
        <w:t>Phishing Attack: A Case Study and their Prevention Techniques</w:t>
      </w:r>
      <w:r w:rsidRPr="732EE1AE" w:rsidR="7EDEEAD0">
        <w:rPr>
          <w:noProof w:val="0"/>
          <w:lang w:val="en-US"/>
        </w:rPr>
        <w:t xml:space="preserve">. IJFMR (2024). Retrieved from </w:t>
      </w:r>
      <w:hyperlink r:id="R31f3b8d075ff4c6a">
        <w:r w:rsidRPr="732EE1AE" w:rsidR="61E859DE">
          <w:rPr>
            <w:rStyle w:val="Hyperlink"/>
            <w:noProof w:val="0"/>
            <w:lang w:val="en-US"/>
          </w:rPr>
          <w:t>29087.pdf</w:t>
        </w:r>
      </w:hyperlink>
    </w:p>
    <w:p w:rsidR="7EDEEAD0" w:rsidP="732EE1AE" w:rsidRDefault="7EDEEAD0" w14:paraId="4A32F8AC" w14:textId="2D91E505">
      <w:pPr>
        <w:pStyle w:val="ListParagraph"/>
        <w:numPr>
          <w:ilvl w:val="0"/>
          <w:numId w:val="45"/>
        </w:numPr>
        <w:spacing w:before="240" w:beforeAutospacing="off" w:after="240" w:afterAutospacing="off"/>
        <w:rPr>
          <w:noProof w:val="0"/>
          <w:lang w:val="en-US"/>
        </w:rPr>
      </w:pPr>
      <w:r w:rsidRPr="732EE1AE" w:rsidR="7EDEEAD0">
        <w:rPr>
          <w:noProof w:val="0"/>
          <w:lang w:val="en-US"/>
        </w:rPr>
        <w:t xml:space="preserve">Althobaiti, K. (2021). </w:t>
      </w:r>
      <w:r w:rsidRPr="732EE1AE" w:rsidR="7EDEEAD0">
        <w:rPr>
          <w:i w:val="1"/>
          <w:iCs w:val="1"/>
          <w:noProof w:val="0"/>
          <w:lang w:val="en-US"/>
        </w:rPr>
        <w:t>A Case Study of Phishing Incident Response in a University</w:t>
      </w:r>
      <w:r w:rsidRPr="732EE1AE" w:rsidR="7EDEEAD0">
        <w:rPr>
          <w:noProof w:val="0"/>
          <w:lang w:val="en-US"/>
        </w:rPr>
        <w:t xml:space="preserve">. Retrieved from </w:t>
      </w:r>
      <w:hyperlink r:id="Rba80100f4ac54477">
        <w:r w:rsidRPr="732EE1AE" w:rsidR="17B18E76">
          <w:rPr>
            <w:rStyle w:val="Hyperlink"/>
            <w:noProof w:val="0"/>
            <w:lang w:val="en-US"/>
          </w:rPr>
          <w:t>A Case Study of Phishing Incident Response in an Educational Organization</w:t>
        </w:r>
      </w:hyperlink>
    </w:p>
    <w:p w:rsidR="7EDEEAD0" w:rsidP="732EE1AE" w:rsidRDefault="7EDEEAD0" w14:paraId="14B1B71D" w14:textId="15DFBE4E">
      <w:pPr>
        <w:pStyle w:val="ListParagraph"/>
        <w:numPr>
          <w:ilvl w:val="0"/>
          <w:numId w:val="45"/>
        </w:numPr>
        <w:spacing w:before="240" w:beforeAutospacing="off" w:after="240" w:afterAutospacing="off"/>
        <w:rPr>
          <w:noProof w:val="0"/>
          <w:lang w:val="en-US"/>
        </w:rPr>
      </w:pPr>
      <w:r w:rsidRPr="732EE1AE" w:rsidR="7EDEEAD0">
        <w:rPr>
          <w:noProof w:val="0"/>
          <w:lang w:val="en-US"/>
        </w:rPr>
        <w:t xml:space="preserve">Kont, M. et al. (2018). </w:t>
      </w:r>
      <w:r w:rsidRPr="732EE1AE" w:rsidR="7EDEEAD0">
        <w:rPr>
          <w:i w:val="1"/>
          <w:iCs w:val="1"/>
          <w:noProof w:val="0"/>
          <w:lang w:val="en-US"/>
        </w:rPr>
        <w:t>Insider Threat Detection Study</w:t>
      </w:r>
      <w:r w:rsidRPr="732EE1AE" w:rsidR="7EDEEAD0">
        <w:rPr>
          <w:noProof w:val="0"/>
          <w:lang w:val="en-US"/>
        </w:rPr>
        <w:t xml:space="preserve">. CCDCOE. Retrieved from </w:t>
      </w:r>
      <w:hyperlink r:id="R4a06147ba2054af4">
        <w:r w:rsidRPr="732EE1AE" w:rsidR="00E21F23">
          <w:rPr>
            <w:rStyle w:val="Hyperlink"/>
            <w:noProof w:val="0"/>
            <w:lang w:val="en-US"/>
          </w:rPr>
          <w:t>Insider_Threat_Study_CCDCOE.pdf</w:t>
        </w:r>
      </w:hyperlink>
    </w:p>
    <w:p w:rsidR="732EE1AE" w:rsidP="732EE1AE" w:rsidRDefault="732EE1AE" w14:paraId="1E6148B1" w14:textId="5B205243">
      <w:pPr>
        <w:pStyle w:val="Normal"/>
        <w:spacing w:before="240" w:beforeAutospacing="off" w:after="240" w:afterAutospacing="off"/>
        <w:ind w:left="0"/>
        <w:rPr>
          <w:sz w:val="22"/>
          <w:szCs w:val="22"/>
        </w:rPr>
      </w:pPr>
    </w:p>
    <w:p w:rsidR="732EE1AE" w:rsidP="732EE1AE" w:rsidRDefault="732EE1AE" w14:paraId="116BA3C4" w14:textId="3F2A08EA">
      <w:pPr>
        <w:pStyle w:val="Normal"/>
        <w:spacing w:before="240" w:beforeAutospacing="off" w:after="240" w:afterAutospacing="off"/>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p>
    <w:p w:rsidR="732EE1AE" w:rsidP="732EE1AE" w:rsidRDefault="732EE1AE" w14:paraId="031643FA" w14:textId="7C32FADB">
      <w:pPr>
        <w:rPr>
          <w:rFonts w:ascii="Calibri" w:hAnsi="Calibri" w:eastAsia="Calibri" w:cs="Calibri" w:asciiTheme="majorAscii" w:hAnsiTheme="majorAscii" w:eastAsiaTheme="majorAscii" w:cstheme="majorAscii"/>
          <w:b w:val="0"/>
          <w:bCs w:val="0"/>
          <w:i w:val="0"/>
          <w:iCs w:val="0"/>
          <w:caps w:val="0"/>
          <w:smallCaps w:val="0"/>
          <w:noProof w:val="0"/>
          <w:color w:val="auto"/>
          <w:sz w:val="28"/>
          <w:szCs w:val="28"/>
          <w:lang w:val="en-US"/>
        </w:rPr>
      </w:pPr>
    </w:p>
    <w:p w:rsidR="732EE1AE" w:rsidP="732EE1AE" w:rsidRDefault="732EE1AE" w14:paraId="6A3DC47C" w14:textId="554A0F04">
      <w:pPr>
        <w:pStyle w:val="Normal"/>
        <w:spacing w:before="240" w:beforeAutospacing="off" w:after="240" w:afterAutospacing="off"/>
        <w:jc w:val="left"/>
        <w:rPr>
          <w:rFonts w:ascii="Calibri" w:hAnsi="Calibri" w:eastAsia="Calibri" w:cs="Calibri" w:asciiTheme="majorAscii" w:hAnsiTheme="majorAscii" w:eastAsiaTheme="majorAscii" w:cstheme="majorAscii"/>
          <w:noProof w:val="0"/>
          <w:color w:val="auto"/>
          <w:sz w:val="28"/>
          <w:szCs w:val="28"/>
          <w:lang w:val="en-US"/>
        </w:rPr>
      </w:pPr>
    </w:p>
    <w:p w:rsidR="732EE1AE" w:rsidP="732EE1AE" w:rsidRDefault="732EE1AE" w14:paraId="679B5590" w14:textId="48471FFC">
      <w:pPr>
        <w:pStyle w:val="Normal"/>
        <w:jc w:val="center"/>
        <w:rPr>
          <w:rFonts w:ascii="Calibri" w:hAnsi="Calibri" w:eastAsia="Calibri" w:cs="Calibri" w:asciiTheme="majorAscii" w:hAnsiTheme="majorAscii" w:eastAsiaTheme="majorAscii" w:cstheme="majorAscii"/>
          <w:b w:val="1"/>
          <w:bCs w:val="1"/>
          <w:noProof w:val="0"/>
          <w:color w:val="auto"/>
          <w:sz w:val="28"/>
          <w:szCs w:val="28"/>
          <w:lang w:val="en-US"/>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44">
    <w:nsid w:val="32c25d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7ac12d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823ba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26d4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bcae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758f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458dd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83937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4176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7498d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d1cd5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48a04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5324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de515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7896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0432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6e926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5bbdd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a776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f86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a52c7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18a2d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e06d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e5283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a049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77f0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df2e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044c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75532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4e6f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8304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b80ae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a8c92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64eba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5812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0637a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21F23"/>
    <w:rsid w:val="00FC693F"/>
    <w:rsid w:val="00FED341"/>
    <w:rsid w:val="02A32117"/>
    <w:rsid w:val="03661749"/>
    <w:rsid w:val="0386688B"/>
    <w:rsid w:val="0BD0B8DE"/>
    <w:rsid w:val="0CBDE2E3"/>
    <w:rsid w:val="119FDEE6"/>
    <w:rsid w:val="17B18E76"/>
    <w:rsid w:val="1AD10196"/>
    <w:rsid w:val="1CB5E90F"/>
    <w:rsid w:val="24B3C48F"/>
    <w:rsid w:val="253E68B9"/>
    <w:rsid w:val="296ADF90"/>
    <w:rsid w:val="2B45C57B"/>
    <w:rsid w:val="2C8BB9FF"/>
    <w:rsid w:val="30B776D6"/>
    <w:rsid w:val="3535D9AE"/>
    <w:rsid w:val="36B070F3"/>
    <w:rsid w:val="3B8B1820"/>
    <w:rsid w:val="415B7A29"/>
    <w:rsid w:val="43418316"/>
    <w:rsid w:val="436A2EA1"/>
    <w:rsid w:val="449784E7"/>
    <w:rsid w:val="45D9C79F"/>
    <w:rsid w:val="48E38E0D"/>
    <w:rsid w:val="4A7C860B"/>
    <w:rsid w:val="4CB6031E"/>
    <w:rsid w:val="4DD71CB4"/>
    <w:rsid w:val="527B29A1"/>
    <w:rsid w:val="59D7A4B2"/>
    <w:rsid w:val="5C4CC1AA"/>
    <w:rsid w:val="5D391F90"/>
    <w:rsid w:val="5EB90B34"/>
    <w:rsid w:val="61E859DE"/>
    <w:rsid w:val="6AC5019D"/>
    <w:rsid w:val="6B21146C"/>
    <w:rsid w:val="727F9674"/>
    <w:rsid w:val="732EE1AE"/>
    <w:rsid w:val="73F753BA"/>
    <w:rsid w:val="7599F855"/>
    <w:rsid w:val="7862231B"/>
    <w:rsid w:val="789930B6"/>
    <w:rsid w:val="7E2CBBAE"/>
    <w:rsid w:val="7EDEEA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1F4D38D-E510-4133-A44C-1D56911887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732EE1AE"/>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yperlink" Target="https://nvlpubs.nist.gov/nistpubs/SpecialPublications/NIST.SP.800-61r2.pdf" TargetMode="External" Id="R36f19b477e31463b" /><Relationship Type="http://schemas.openxmlformats.org/officeDocument/2006/relationships/hyperlink" Target="https://www.iso.org/standard/60803.html" TargetMode="External" Id="R7101d9f1cfee4a82" /><Relationship Type="http://schemas.openxmlformats.org/officeDocument/2006/relationships/hyperlink" Target="https://www.sans.org/white-papers/incident-handlers-handbook/" TargetMode="External" Id="R81ba09d692f64a46" /><Relationship Type="http://schemas.openxmlformats.org/officeDocument/2006/relationships/hyperlink" Target="https://www.cs.ucdavis.edu/~peisert/research/2009-BEGPW-HICSS-Insider.pdf" TargetMode="External" Id="R30fcd9ea06b349ca" /><Relationship Type="http://schemas.openxmlformats.org/officeDocument/2006/relationships/hyperlink" Target="https://www.theengineroom.org/wp-content/uploads/2020/08/OrgSec-Case-study-DDoS-attacks-June-2020.pdf?" TargetMode="External" Id="Ra06c167b3b084f4d" /><Relationship Type="http://schemas.openxmlformats.org/officeDocument/2006/relationships/hyperlink" Target="https://www.ijfmr.com/papers/2024/5/29087.pdf?" TargetMode="External" Id="R31f3b8d075ff4c6a" /><Relationship Type="http://schemas.openxmlformats.org/officeDocument/2006/relationships/hyperlink" Target="https://tulipslab.org/papers/althobaiti2021cscw.pdf?" TargetMode="External" Id="Rba80100f4ac54477" /><Relationship Type="http://schemas.openxmlformats.org/officeDocument/2006/relationships/hyperlink" Target="https://ccdcoe.org/uploads/2018/10/Insider_Threat_Study_CCDCOE.pdf?" TargetMode="External" Id="R4a06147ba2054af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shehab eldin hesham</lastModifiedBy>
  <revision>2</revision>
  <dcterms:created xsi:type="dcterms:W3CDTF">2013-12-23T23:15:00.0000000Z</dcterms:created>
  <dcterms:modified xsi:type="dcterms:W3CDTF">2025-10-13T18:02:08.6555672Z</dcterms:modified>
  <category/>
</coreProperties>
</file>