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CD8" w:rsidRDefault="00524FD6">
      <w:pPr>
        <w:rPr>
          <w:rFonts w:ascii="Times New Roman" w:hAnsi="Times New Roman" w:cs="Times New Roman"/>
          <w:color w:val="5F5F6F"/>
          <w:sz w:val="24"/>
          <w:szCs w:val="27"/>
          <w:shd w:val="clear" w:color="auto" w:fill="FFFFFF"/>
        </w:rPr>
      </w:pPr>
      <w:r w:rsidRPr="00D332A4">
        <w:rPr>
          <w:rFonts w:ascii="Times New Roman" w:hAnsi="Times New Roman" w:cs="Times New Roman"/>
          <w:color w:val="5F5F6F"/>
          <w:sz w:val="24"/>
          <w:szCs w:val="27"/>
          <w:shd w:val="clear" w:color="auto" w:fill="FFFFFF"/>
        </w:rPr>
        <w:t>Association rule mining is a technique to identify underlying relations between different items. </w:t>
      </w:r>
    </w:p>
    <w:p w:rsidR="00D332A4" w:rsidRDefault="00D332A4">
      <w:pPr>
        <w:rPr>
          <w:rFonts w:ascii="Nunito" w:hAnsi="Nunito"/>
          <w:color w:val="5F5F6F"/>
          <w:sz w:val="27"/>
          <w:szCs w:val="27"/>
          <w:shd w:val="clear" w:color="auto" w:fill="FFFFFF"/>
        </w:rPr>
      </w:pPr>
      <w:r>
        <w:rPr>
          <w:rFonts w:ascii="Nunito" w:hAnsi="Nunito"/>
          <w:color w:val="5F5F6F"/>
          <w:sz w:val="27"/>
          <w:szCs w:val="27"/>
          <w:shd w:val="clear" w:color="auto" w:fill="FFFFFF"/>
        </w:rPr>
        <w:t>Different statistical algorithms have been developed to implement association rule mining, and Apriori is one such algorithm.</w:t>
      </w:r>
    </w:p>
    <w:p w:rsidR="00033A16" w:rsidRPr="00033A16" w:rsidRDefault="00033A16" w:rsidP="00033A16">
      <w:pPr>
        <w:shd w:val="clear" w:color="auto" w:fill="FFFFFF"/>
        <w:spacing w:before="750" w:after="150" w:line="240" w:lineRule="auto"/>
        <w:outlineLvl w:val="3"/>
        <w:rPr>
          <w:rFonts w:ascii="Nunito" w:eastAsia="Times New Roman" w:hAnsi="Nunito" w:cs="Times New Roman"/>
          <w:b/>
          <w:bCs/>
          <w:color w:val="303030"/>
          <w:sz w:val="36"/>
          <w:szCs w:val="36"/>
        </w:rPr>
      </w:pPr>
      <w:r w:rsidRPr="00033A16">
        <w:rPr>
          <w:rFonts w:ascii="Nunito" w:eastAsia="Times New Roman" w:hAnsi="Nunito" w:cs="Times New Roman"/>
          <w:b/>
          <w:bCs/>
          <w:color w:val="303030"/>
          <w:sz w:val="36"/>
          <w:szCs w:val="36"/>
        </w:rPr>
        <w:t>Theory of Apriori Algorithm</w:t>
      </w:r>
    </w:p>
    <w:p w:rsidR="00033A16" w:rsidRPr="00033A16" w:rsidRDefault="00033A16" w:rsidP="00033A16">
      <w:pPr>
        <w:shd w:val="clear" w:color="auto" w:fill="FFFFFF"/>
        <w:spacing w:after="450" w:line="240" w:lineRule="auto"/>
        <w:rPr>
          <w:rFonts w:ascii="Nunito" w:eastAsia="Times New Roman" w:hAnsi="Nunito" w:cs="Times New Roman"/>
          <w:color w:val="5F5F6F"/>
          <w:sz w:val="27"/>
          <w:szCs w:val="27"/>
        </w:rPr>
      </w:pPr>
      <w:r w:rsidRPr="00033A16">
        <w:rPr>
          <w:rFonts w:ascii="Nunito" w:eastAsia="Times New Roman" w:hAnsi="Nunito" w:cs="Times New Roman"/>
          <w:color w:val="5F5F6F"/>
          <w:sz w:val="27"/>
          <w:szCs w:val="27"/>
        </w:rPr>
        <w:t>There are three major components of Apriori algorithm:</w:t>
      </w:r>
    </w:p>
    <w:p w:rsidR="00033A16" w:rsidRPr="00033A16" w:rsidRDefault="00033A16" w:rsidP="00033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5F5F6F"/>
          <w:sz w:val="27"/>
          <w:szCs w:val="27"/>
        </w:rPr>
      </w:pPr>
      <w:r w:rsidRPr="00033A16">
        <w:rPr>
          <w:rFonts w:ascii="Nunito" w:eastAsia="Times New Roman" w:hAnsi="Nunito" w:cs="Times New Roman"/>
          <w:color w:val="5F5F6F"/>
          <w:sz w:val="27"/>
          <w:szCs w:val="27"/>
        </w:rPr>
        <w:t>Support</w:t>
      </w:r>
    </w:p>
    <w:p w:rsidR="00033A16" w:rsidRPr="00033A16" w:rsidRDefault="00033A16" w:rsidP="00033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5F5F6F"/>
          <w:sz w:val="27"/>
          <w:szCs w:val="27"/>
        </w:rPr>
      </w:pPr>
      <w:r w:rsidRPr="00033A16">
        <w:rPr>
          <w:rFonts w:ascii="Nunito" w:eastAsia="Times New Roman" w:hAnsi="Nunito" w:cs="Times New Roman"/>
          <w:color w:val="5F5F6F"/>
          <w:sz w:val="27"/>
          <w:szCs w:val="27"/>
        </w:rPr>
        <w:t>Confidence</w:t>
      </w:r>
    </w:p>
    <w:p w:rsidR="00033A16" w:rsidRPr="00033A16" w:rsidRDefault="00033A16" w:rsidP="00033A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5F5F6F"/>
          <w:sz w:val="27"/>
          <w:szCs w:val="27"/>
        </w:rPr>
      </w:pPr>
      <w:r w:rsidRPr="00033A16">
        <w:rPr>
          <w:rFonts w:ascii="Nunito" w:eastAsia="Times New Roman" w:hAnsi="Nunito" w:cs="Times New Roman"/>
          <w:color w:val="5F5F6F"/>
          <w:sz w:val="27"/>
          <w:szCs w:val="27"/>
        </w:rPr>
        <w:t>Lift</w:t>
      </w:r>
    </w:p>
    <w:p w:rsidR="00AE19D8" w:rsidRDefault="00AE19D8" w:rsidP="00AE19D8">
      <w:pPr>
        <w:pStyle w:val="Heading5"/>
        <w:shd w:val="clear" w:color="auto" w:fill="FFFFFF"/>
        <w:spacing w:before="750" w:after="150"/>
        <w:rPr>
          <w:rFonts w:ascii="Nunito" w:hAnsi="Nunito"/>
          <w:color w:val="303030"/>
          <w:sz w:val="24"/>
          <w:szCs w:val="24"/>
        </w:rPr>
      </w:pPr>
      <w:r>
        <w:rPr>
          <w:rFonts w:ascii="Nunito" w:hAnsi="Nunito"/>
          <w:color w:val="303030"/>
          <w:sz w:val="24"/>
          <w:szCs w:val="24"/>
        </w:rPr>
        <w:t>Support</w:t>
      </w:r>
    </w:p>
    <w:p w:rsidR="00AE19D8" w:rsidRDefault="00AE19D8" w:rsidP="00AE19D8">
      <w:pPr>
        <w:pStyle w:val="NormalWeb"/>
        <w:shd w:val="clear" w:color="auto" w:fill="FFFFFF"/>
        <w:spacing w:before="0" w:beforeAutospacing="0" w:after="450" w:afterAutospacing="0"/>
        <w:rPr>
          <w:rFonts w:ascii="Nunito" w:hAnsi="Nunito"/>
          <w:color w:val="5F5F6F"/>
          <w:sz w:val="27"/>
          <w:szCs w:val="27"/>
        </w:rPr>
      </w:pPr>
      <w:r>
        <w:rPr>
          <w:rFonts w:ascii="Nunito" w:hAnsi="Nunito"/>
          <w:color w:val="5F5F6F"/>
          <w:sz w:val="27"/>
          <w:szCs w:val="27"/>
        </w:rPr>
        <w:t>Support refers to the default popularity of an item and can be calculated by finding number of transactions containing a particular item divided by total number of transactions.</w:t>
      </w:r>
    </w:p>
    <w:p w:rsidR="00A72904" w:rsidRDefault="00CD7083">
      <w:pPr>
        <w:rPr>
          <w:rFonts w:ascii="Consolas" w:hAnsi="Consolas"/>
          <w:color w:val="ABB2BF"/>
          <w:sz w:val="20"/>
          <w:szCs w:val="20"/>
          <w:shd w:val="clear" w:color="auto" w:fill="282C34"/>
        </w:rPr>
      </w:pPr>
      <w:r>
        <w:rPr>
          <w:rFonts w:ascii="Consolas" w:hAnsi="Consolas"/>
          <w:color w:val="ABB2BF"/>
          <w:sz w:val="20"/>
          <w:szCs w:val="20"/>
          <w:shd w:val="clear" w:color="auto" w:fill="282C34"/>
        </w:rPr>
        <w:t>Support(B) = (Transactions containing (B))/(Total Transactions)</w:t>
      </w:r>
    </w:p>
    <w:p w:rsidR="00366C39" w:rsidRDefault="00366C39" w:rsidP="00366C39">
      <w:pPr>
        <w:pStyle w:val="Heading5"/>
        <w:shd w:val="clear" w:color="auto" w:fill="FFFFFF"/>
        <w:spacing w:before="750" w:after="150"/>
        <w:rPr>
          <w:rFonts w:ascii="Nunito" w:hAnsi="Nunito"/>
          <w:color w:val="303030"/>
          <w:sz w:val="24"/>
          <w:szCs w:val="24"/>
        </w:rPr>
      </w:pPr>
      <w:r>
        <w:rPr>
          <w:rFonts w:ascii="Nunito" w:hAnsi="Nunito"/>
          <w:color w:val="303030"/>
          <w:sz w:val="24"/>
          <w:szCs w:val="24"/>
        </w:rPr>
        <w:t>Confidence</w:t>
      </w:r>
    </w:p>
    <w:p w:rsidR="00366C39" w:rsidRDefault="00366C39" w:rsidP="00366C39">
      <w:pPr>
        <w:pStyle w:val="NormalWeb"/>
        <w:shd w:val="clear" w:color="auto" w:fill="FFFFFF"/>
        <w:spacing w:before="0" w:beforeAutospacing="0" w:after="450" w:afterAutospacing="0"/>
        <w:rPr>
          <w:rFonts w:ascii="Nunito" w:hAnsi="Nunito"/>
          <w:color w:val="5F5F6F"/>
          <w:sz w:val="27"/>
          <w:szCs w:val="27"/>
        </w:rPr>
      </w:pPr>
      <w:r>
        <w:rPr>
          <w:rFonts w:ascii="Nunito" w:hAnsi="Nunito"/>
          <w:color w:val="5F5F6F"/>
          <w:sz w:val="27"/>
          <w:szCs w:val="27"/>
        </w:rPr>
        <w:t>Confidence refers to the likelihood that an item B is also bought if item A is bought. It can be calculated by finding the number of transactions where A and B are bought together, divided by total number of transactions where A is bought. Mathematically, it can be represented as:</w:t>
      </w:r>
    </w:p>
    <w:p w:rsidR="00A72904" w:rsidRDefault="00E667C8" w:rsidP="00973F51">
      <w:pPr>
        <w:rPr>
          <w:shd w:val="clear" w:color="auto" w:fill="282C34"/>
        </w:rPr>
      </w:pPr>
      <w:r>
        <w:rPr>
          <w:shd w:val="clear" w:color="auto" w:fill="282C34"/>
        </w:rPr>
        <w:t xml:space="preserve">Confidence(A→B) = (Transactions containing both (A </w:t>
      </w:r>
      <w:r>
        <w:rPr>
          <w:rStyle w:val="hljs-keyword"/>
          <w:rFonts w:ascii="Consolas" w:hAnsi="Consolas"/>
          <w:color w:val="C678DD"/>
          <w:sz w:val="20"/>
          <w:szCs w:val="20"/>
        </w:rPr>
        <w:t>and</w:t>
      </w:r>
      <w:r>
        <w:rPr>
          <w:shd w:val="clear" w:color="auto" w:fill="282C34"/>
        </w:rPr>
        <w:t xml:space="preserve"> B))/(Transactions containing A)</w:t>
      </w:r>
    </w:p>
    <w:p w:rsidR="00973F51" w:rsidRDefault="00973F51" w:rsidP="00973F51">
      <w:pPr>
        <w:rPr>
          <w:shd w:val="clear" w:color="auto" w:fill="282C34"/>
        </w:rPr>
      </w:pPr>
    </w:p>
    <w:p w:rsidR="00851143" w:rsidRDefault="00851143" w:rsidP="00851143">
      <w:pPr>
        <w:pStyle w:val="Heading5"/>
        <w:shd w:val="clear" w:color="auto" w:fill="FFFFFF"/>
        <w:spacing w:before="750" w:after="150"/>
        <w:rPr>
          <w:rFonts w:ascii="Nunito" w:hAnsi="Nunito"/>
          <w:color w:val="303030"/>
          <w:sz w:val="24"/>
          <w:szCs w:val="24"/>
        </w:rPr>
      </w:pPr>
      <w:r>
        <w:rPr>
          <w:rFonts w:ascii="Nunito" w:hAnsi="Nunito"/>
          <w:color w:val="303030"/>
          <w:sz w:val="24"/>
          <w:szCs w:val="24"/>
        </w:rPr>
        <w:lastRenderedPageBreak/>
        <w:t>Lift</w:t>
      </w:r>
    </w:p>
    <w:p w:rsidR="00851143" w:rsidRPr="00FC77B9" w:rsidRDefault="00851143" w:rsidP="00851143">
      <w:pPr>
        <w:pStyle w:val="NormalWeb"/>
        <w:shd w:val="clear" w:color="auto" w:fill="FFFFFF"/>
        <w:spacing w:before="0" w:beforeAutospacing="0" w:after="450" w:afterAutospacing="0"/>
        <w:rPr>
          <w:rFonts w:ascii="Nunito" w:hAnsi="Nunito"/>
          <w:color w:val="5F5F6F"/>
          <w:sz w:val="27"/>
          <w:szCs w:val="27"/>
        </w:rPr>
      </w:pPr>
      <w:r w:rsidRPr="00FC77B9">
        <w:rPr>
          <w:rStyle w:val="HTMLCode"/>
          <w:rFonts w:ascii="Consolas" w:hAnsi="Consolas"/>
          <w:color w:val="C7254E"/>
          <w:sz w:val="27"/>
          <w:szCs w:val="27"/>
          <w:shd w:val="clear" w:color="auto" w:fill="F9F2F4"/>
        </w:rPr>
        <w:t>Lift(A -&gt; B)</w:t>
      </w:r>
      <w:r w:rsidRPr="00FC77B9">
        <w:rPr>
          <w:rFonts w:ascii="Nunito" w:hAnsi="Nunito"/>
          <w:color w:val="5F5F6F"/>
          <w:sz w:val="27"/>
          <w:szCs w:val="27"/>
        </w:rPr>
        <w:t> refers to the increase in the ratio of sale of B when A is sold. Lift(A –&gt; B) can be calculated by dividing </w:t>
      </w:r>
      <w:r w:rsidRPr="00FC77B9">
        <w:rPr>
          <w:rStyle w:val="HTMLCode"/>
          <w:rFonts w:ascii="Consolas" w:hAnsi="Consolas"/>
          <w:color w:val="C7254E"/>
          <w:sz w:val="27"/>
          <w:szCs w:val="27"/>
          <w:shd w:val="clear" w:color="auto" w:fill="F9F2F4"/>
        </w:rPr>
        <w:t>Confidence(A -&gt; B)</w:t>
      </w:r>
      <w:r w:rsidRPr="00FC77B9">
        <w:rPr>
          <w:rFonts w:ascii="Nunito" w:hAnsi="Nunito"/>
          <w:color w:val="5F5F6F"/>
          <w:sz w:val="27"/>
          <w:szCs w:val="27"/>
        </w:rPr>
        <w:t> divided by </w:t>
      </w:r>
      <w:r w:rsidRPr="00FC77B9">
        <w:rPr>
          <w:rStyle w:val="HTMLCode"/>
          <w:rFonts w:ascii="Consolas" w:hAnsi="Consolas"/>
          <w:color w:val="C7254E"/>
          <w:sz w:val="27"/>
          <w:szCs w:val="27"/>
          <w:shd w:val="clear" w:color="auto" w:fill="F9F2F4"/>
        </w:rPr>
        <w:t>Support(B)</w:t>
      </w:r>
      <w:r w:rsidRPr="00FC77B9">
        <w:rPr>
          <w:rFonts w:ascii="Nunito" w:hAnsi="Nunito"/>
          <w:color w:val="5F5F6F"/>
          <w:sz w:val="27"/>
          <w:szCs w:val="27"/>
        </w:rPr>
        <w:t>. Mathematically it can be represented as:</w:t>
      </w:r>
    </w:p>
    <w:p w:rsidR="00110652" w:rsidRDefault="00110652" w:rsidP="00851143">
      <w:pPr>
        <w:pStyle w:val="NormalWeb"/>
        <w:shd w:val="clear" w:color="auto" w:fill="FFFFFF"/>
        <w:spacing w:before="0" w:beforeAutospacing="0" w:after="450" w:afterAutospacing="0"/>
        <w:rPr>
          <w:rFonts w:ascii="Consolas" w:hAnsi="Consolas"/>
          <w:color w:val="ABB2BF"/>
          <w:sz w:val="20"/>
          <w:szCs w:val="20"/>
          <w:shd w:val="clear" w:color="auto" w:fill="282C34"/>
        </w:rPr>
      </w:pPr>
      <w:r>
        <w:rPr>
          <w:rFonts w:ascii="Consolas" w:hAnsi="Consolas"/>
          <w:color w:val="ABB2BF"/>
          <w:sz w:val="20"/>
          <w:szCs w:val="20"/>
          <w:shd w:val="clear" w:color="auto" w:fill="282C34"/>
        </w:rPr>
        <w:t>Lift(A→B) = (Confidence (A→B))/(Support (B))</w:t>
      </w:r>
    </w:p>
    <w:p w:rsidR="00A0087D" w:rsidRDefault="00A0087D" w:rsidP="00851143">
      <w:pPr>
        <w:pStyle w:val="NormalWeb"/>
        <w:shd w:val="clear" w:color="auto" w:fill="FFFFFF"/>
        <w:spacing w:before="0" w:beforeAutospacing="0" w:after="450" w:afterAutospacing="0"/>
        <w:rPr>
          <w:rFonts w:ascii="Consolas" w:hAnsi="Consolas"/>
          <w:color w:val="ABB2BF"/>
          <w:sz w:val="20"/>
          <w:szCs w:val="20"/>
          <w:shd w:val="clear" w:color="auto" w:fill="282C34"/>
        </w:rPr>
      </w:pPr>
    </w:p>
    <w:p w:rsidR="00A0087D" w:rsidRDefault="00A0087D" w:rsidP="00851143">
      <w:pPr>
        <w:pStyle w:val="NormalWeb"/>
        <w:shd w:val="clear" w:color="auto" w:fill="FFFFFF"/>
        <w:spacing w:before="0" w:beforeAutospacing="0" w:after="450" w:afterAutospacing="0"/>
        <w:rPr>
          <w:rFonts w:ascii="Nunito" w:hAnsi="Nunito"/>
          <w:color w:val="5F5F6F"/>
          <w:sz w:val="27"/>
          <w:szCs w:val="27"/>
        </w:rPr>
      </w:pPr>
      <w:bookmarkStart w:id="0" w:name="_GoBack"/>
      <w:bookmarkEnd w:id="0"/>
    </w:p>
    <w:p w:rsidR="00973F51" w:rsidRDefault="00973F51" w:rsidP="00973F51">
      <w:pPr>
        <w:rPr>
          <w:rFonts w:ascii="Nunito" w:hAnsi="Nunito"/>
          <w:color w:val="5F5F6F"/>
          <w:sz w:val="27"/>
          <w:szCs w:val="27"/>
          <w:shd w:val="clear" w:color="auto" w:fill="FFFFFF"/>
        </w:rPr>
      </w:pPr>
    </w:p>
    <w:p w:rsidR="00A615E9" w:rsidRPr="00D332A4" w:rsidRDefault="00A615E9">
      <w:pPr>
        <w:rPr>
          <w:rFonts w:ascii="Times New Roman" w:hAnsi="Times New Roman" w:cs="Times New Roman"/>
          <w:sz w:val="20"/>
        </w:rPr>
      </w:pPr>
    </w:p>
    <w:sectPr w:rsidR="00A615E9" w:rsidRPr="00D3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Nunito">
    <w:panose1 w:val="02000503030000020003"/>
    <w:charset w:val="00"/>
    <w:family w:val="auto"/>
    <w:pitch w:val="variable"/>
    <w:sig w:usb0="800000EF" w:usb1="5000204B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F83611"/>
    <w:multiLevelType w:val="multilevel"/>
    <w:tmpl w:val="BA2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FD6"/>
    <w:rsid w:val="00033A16"/>
    <w:rsid w:val="00110652"/>
    <w:rsid w:val="00366C39"/>
    <w:rsid w:val="00524FD6"/>
    <w:rsid w:val="00851143"/>
    <w:rsid w:val="00951AE1"/>
    <w:rsid w:val="00973F51"/>
    <w:rsid w:val="00A0087D"/>
    <w:rsid w:val="00A615E9"/>
    <w:rsid w:val="00A72904"/>
    <w:rsid w:val="00AE19D8"/>
    <w:rsid w:val="00CD7083"/>
    <w:rsid w:val="00D332A4"/>
    <w:rsid w:val="00E667C8"/>
    <w:rsid w:val="00FB0A75"/>
    <w:rsid w:val="00FC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DC51"/>
  <w15:chartTrackingRefBased/>
  <w15:docId w15:val="{D6C0F136-D47E-495A-A2FF-E4FD382B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33A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33A1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3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D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ljs-keyword">
    <w:name w:val="hljs-keyword"/>
    <w:basedOn w:val="DefaultParagraphFont"/>
    <w:rsid w:val="00E667C8"/>
  </w:style>
  <w:style w:type="character" w:styleId="HTMLCode">
    <w:name w:val="HTML Code"/>
    <w:basedOn w:val="DefaultParagraphFont"/>
    <w:uiPriority w:val="99"/>
    <w:semiHidden/>
    <w:unhideWhenUsed/>
    <w:rsid w:val="00851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Yasmaester</dc:creator>
  <cp:keywords/>
  <dc:description/>
  <cp:lastModifiedBy>Yasmaester</cp:lastModifiedBy>
  <cp:revision>15</cp:revision>
  <dcterms:created xsi:type="dcterms:W3CDTF">2018-12-09T00:26:00Z</dcterms:created>
  <dcterms:modified xsi:type="dcterms:W3CDTF">2018-12-09T00:41:00Z</dcterms:modified>
</cp:coreProperties>
</file>