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CFA8" w14:textId="77777777" w:rsidR="00C248B7" w:rsidRPr="001D1863" w:rsidRDefault="009820E1">
      <w:pPr>
        <w:pStyle w:val="Normal1"/>
        <w:jc w:val="both"/>
        <w:rPr>
          <w:rFonts w:ascii="Times New Roman" w:eastAsia="Times New Roman" w:hAnsi="Times New Roman" w:cs="Times New Roman"/>
          <w:b/>
          <w:color w:val="000000" w:themeColor="text1"/>
          <w:sz w:val="28"/>
          <w:szCs w:val="28"/>
          <w:u w:val="single"/>
        </w:rPr>
      </w:pPr>
      <w:r w:rsidRPr="001D1863">
        <w:rPr>
          <w:rFonts w:ascii="Times New Roman" w:eastAsia="Times New Roman" w:hAnsi="Times New Roman" w:cs="Times New Roman"/>
          <w:b/>
          <w:color w:val="000000" w:themeColor="text1"/>
          <w:sz w:val="28"/>
          <w:szCs w:val="28"/>
          <w:u w:val="single"/>
        </w:rPr>
        <w:t>Capsule Proposal</w:t>
      </w:r>
    </w:p>
    <w:p w14:paraId="5E3D117B" w14:textId="4B1CC86E" w:rsidR="001D1863" w:rsidRDefault="001D1863">
      <w:pPr>
        <w:pStyle w:val="Normal1"/>
        <w:jc w:val="both"/>
        <w:rPr>
          <w:b/>
          <w:sz w:val="20"/>
          <w:szCs w:val="20"/>
        </w:rPr>
      </w:pPr>
    </w:p>
    <w:p w14:paraId="5EFDB9B0" w14:textId="108B4CBA" w:rsidR="00D81E6F" w:rsidRPr="007F475B" w:rsidRDefault="00D81E6F" w:rsidP="00D81E6F">
      <w:pPr>
        <w:pStyle w:val="Normal1"/>
        <w:jc w:val="both"/>
        <w:rPr>
          <w:rFonts w:eastAsia="Times New Roman"/>
          <w:b/>
          <w:color w:val="000000" w:themeColor="text1"/>
          <w:sz w:val="28"/>
        </w:rPr>
      </w:pPr>
      <w:r w:rsidRPr="007F475B">
        <w:rPr>
          <w:b/>
          <w:color w:val="000000" w:themeColor="text1"/>
          <w:sz w:val="24"/>
          <w:szCs w:val="20"/>
        </w:rPr>
        <w:t>Assessing the Use of Triglyceride Glucose (</w:t>
      </w:r>
      <w:proofErr w:type="spellStart"/>
      <w:r w:rsidRPr="007F475B">
        <w:rPr>
          <w:b/>
          <w:color w:val="000000" w:themeColor="text1"/>
          <w:sz w:val="24"/>
          <w:szCs w:val="20"/>
        </w:rPr>
        <w:t>TyG</w:t>
      </w:r>
      <w:proofErr w:type="spellEnd"/>
      <w:r w:rsidRPr="007F475B">
        <w:rPr>
          <w:b/>
          <w:color w:val="000000" w:themeColor="text1"/>
          <w:sz w:val="24"/>
          <w:szCs w:val="20"/>
        </w:rPr>
        <w:t>) Index for Early Prediction of Gestational Diabetes in Filipino Women: A Prospective Cohort Study</w:t>
      </w:r>
    </w:p>
    <w:p w14:paraId="46C9755F" w14:textId="62472D8E" w:rsidR="00D81E6F" w:rsidRPr="007F475B" w:rsidRDefault="00D81E6F" w:rsidP="00D81E6F">
      <w:pPr>
        <w:pStyle w:val="Normal1"/>
        <w:jc w:val="both"/>
        <w:rPr>
          <w:rFonts w:ascii="Times New Roman" w:eastAsia="Times New Roman" w:hAnsi="Times New Roman" w:cs="Times New Roman"/>
          <w:b/>
          <w:color w:val="000000" w:themeColor="text1"/>
          <w:vertAlign w:val="superscript"/>
        </w:rPr>
      </w:pPr>
      <w:proofErr w:type="spellStart"/>
      <w:r w:rsidRPr="007F475B">
        <w:rPr>
          <w:rFonts w:ascii="Times New Roman" w:eastAsia="Times New Roman" w:hAnsi="Times New Roman" w:cs="Times New Roman"/>
          <w:b/>
          <w:color w:val="000000" w:themeColor="text1"/>
        </w:rPr>
        <w:t>Sulit</w:t>
      </w:r>
      <w:proofErr w:type="spellEnd"/>
      <w:r w:rsidRPr="007F475B">
        <w:rPr>
          <w:rFonts w:ascii="Times New Roman" w:eastAsia="Times New Roman" w:hAnsi="Times New Roman" w:cs="Times New Roman"/>
          <w:b/>
          <w:color w:val="000000" w:themeColor="text1"/>
        </w:rPr>
        <w:t>, Jaqueline Alca</w:t>
      </w:r>
      <w:r w:rsidRPr="007F475B">
        <w:rPr>
          <w:rFonts w:ascii="Times New Roman" w:eastAsia="Times New Roman" w:hAnsi="Times New Roman" w:cs="Times New Roman"/>
          <w:b/>
          <w:color w:val="000000" w:themeColor="text1"/>
        </w:rPr>
        <w:t xml:space="preserve">ide, </w:t>
      </w:r>
      <w:r w:rsidRPr="007F475B">
        <w:rPr>
          <w:rFonts w:ascii="Times New Roman" w:eastAsia="Times New Roman" w:hAnsi="Times New Roman" w:cs="Times New Roman"/>
          <w:b/>
          <w:color w:val="000000" w:themeColor="text1"/>
        </w:rPr>
        <w:t xml:space="preserve"> </w:t>
      </w:r>
      <w:r w:rsidRPr="007F475B">
        <w:rPr>
          <w:rFonts w:ascii="Times New Roman" w:eastAsia="Times New Roman" w:hAnsi="Times New Roman" w:cs="Times New Roman"/>
          <w:b/>
          <w:color w:val="000000" w:themeColor="text1"/>
        </w:rPr>
        <w:t xml:space="preserve">Dela Paz- </w:t>
      </w:r>
      <w:r w:rsidRPr="007F475B">
        <w:rPr>
          <w:rFonts w:ascii="Times New Roman" w:eastAsia="Times New Roman" w:hAnsi="Times New Roman" w:cs="Times New Roman"/>
          <w:b/>
          <w:color w:val="000000" w:themeColor="text1"/>
        </w:rPr>
        <w:t>Pacheco, Elizabeth</w:t>
      </w:r>
    </w:p>
    <w:p w14:paraId="39A88E96" w14:textId="77777777" w:rsidR="00D81E6F" w:rsidRPr="007F475B" w:rsidRDefault="00D81E6F" w:rsidP="00D81E6F">
      <w:pPr>
        <w:pStyle w:val="Normal1"/>
        <w:jc w:val="both"/>
        <w:rPr>
          <w:rFonts w:ascii="Times New Roman" w:eastAsia="Times New Roman" w:hAnsi="Times New Roman" w:cs="Times New Roman"/>
          <w:b/>
          <w:color w:val="000000" w:themeColor="text1"/>
        </w:rPr>
      </w:pPr>
      <w:r w:rsidRPr="007F475B">
        <w:rPr>
          <w:rFonts w:ascii="Times New Roman" w:eastAsia="Times New Roman" w:hAnsi="Times New Roman" w:cs="Times New Roman"/>
          <w:b/>
          <w:color w:val="000000" w:themeColor="text1"/>
        </w:rPr>
        <w:t>The Medical City, Ortigas Avenue, Pasig City</w:t>
      </w:r>
    </w:p>
    <w:p w14:paraId="5153D2DE" w14:textId="77777777" w:rsidR="00C248B7" w:rsidRDefault="009820E1">
      <w:pPr>
        <w:pStyle w:val="Normal1"/>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17CD6DE3" w14:textId="5FAB82BE" w:rsidR="00C248B7" w:rsidRDefault="009820E1">
      <w:pPr>
        <w:pStyle w:val="Normal1"/>
        <w:jc w:val="both"/>
        <w:rPr>
          <w:rFonts w:ascii="Times New Roman" w:eastAsia="Times New Roman" w:hAnsi="Times New Roman" w:cs="Times New Roman"/>
          <w:b/>
          <w:u w:val="single"/>
        </w:rPr>
      </w:pPr>
      <w:r w:rsidRPr="00E93F13">
        <w:rPr>
          <w:rFonts w:ascii="Times New Roman" w:eastAsia="Times New Roman" w:hAnsi="Times New Roman" w:cs="Times New Roman"/>
          <w:b/>
          <w:u w:val="single"/>
        </w:rPr>
        <w:t>RESEARCH QUESTION</w:t>
      </w:r>
    </w:p>
    <w:p w14:paraId="2A5EC2D5" w14:textId="58A8DE21" w:rsidR="00CD12D3" w:rsidRPr="007F475B" w:rsidRDefault="00D81E6F" w:rsidP="00CD12D3">
      <w:pPr>
        <w:pStyle w:val="Normal1"/>
        <w:jc w:val="both"/>
        <w:rPr>
          <w:rFonts w:ascii="Times New Roman" w:eastAsia="Times New Roman" w:hAnsi="Times New Roman" w:cs="Times New Roman"/>
          <w:bCs/>
          <w:color w:val="000000" w:themeColor="text1"/>
        </w:rPr>
      </w:pPr>
      <w:r w:rsidRPr="007F475B">
        <w:rPr>
          <w:rFonts w:ascii="Times New Roman" w:eastAsia="Times New Roman" w:hAnsi="Times New Roman" w:cs="Times New Roman"/>
          <w:bCs/>
          <w:color w:val="000000" w:themeColor="text1"/>
        </w:rPr>
        <w:t>Among Pregnant Filipino Women, does measuring Triglyceride Glucose (</w:t>
      </w:r>
      <w:proofErr w:type="spellStart"/>
      <w:r w:rsidRPr="007F475B">
        <w:rPr>
          <w:rFonts w:ascii="Times New Roman" w:eastAsia="Times New Roman" w:hAnsi="Times New Roman" w:cs="Times New Roman"/>
          <w:bCs/>
          <w:color w:val="000000" w:themeColor="text1"/>
        </w:rPr>
        <w:t>TyG</w:t>
      </w:r>
      <w:proofErr w:type="spellEnd"/>
      <w:r w:rsidRPr="007F475B">
        <w:rPr>
          <w:rFonts w:ascii="Times New Roman" w:eastAsia="Times New Roman" w:hAnsi="Times New Roman" w:cs="Times New Roman"/>
          <w:bCs/>
          <w:color w:val="000000" w:themeColor="text1"/>
        </w:rPr>
        <w:t xml:space="preserve">) Index during first trimester </w:t>
      </w:r>
      <w:r w:rsidR="00CD12D3" w:rsidRPr="007F475B">
        <w:rPr>
          <w:rFonts w:ascii="Times New Roman" w:eastAsia="Times New Roman" w:hAnsi="Times New Roman" w:cs="Times New Roman"/>
          <w:bCs/>
          <w:color w:val="000000" w:themeColor="text1"/>
        </w:rPr>
        <w:t xml:space="preserve">have a predictive value </w:t>
      </w:r>
      <w:r w:rsidR="00CD12D3" w:rsidRPr="007F475B">
        <w:rPr>
          <w:rFonts w:ascii="Times New Roman" w:eastAsia="Times New Roman" w:hAnsi="Times New Roman" w:cs="Times New Roman"/>
          <w:bCs/>
          <w:color w:val="000000" w:themeColor="text1"/>
        </w:rPr>
        <w:t>in identifying and assessing the risk of gestational diabetes?</w:t>
      </w:r>
    </w:p>
    <w:p w14:paraId="668ED792" w14:textId="5192DD76" w:rsidR="00C248B7" w:rsidRDefault="00C248B7">
      <w:pPr>
        <w:pStyle w:val="Normal1"/>
        <w:jc w:val="both"/>
        <w:rPr>
          <w:rFonts w:ascii="Times New Roman" w:eastAsia="Times New Roman" w:hAnsi="Times New Roman" w:cs="Times New Roman"/>
          <w:b/>
        </w:rPr>
      </w:pPr>
    </w:p>
    <w:p w14:paraId="5CA81EBD" w14:textId="39F6BA6A" w:rsidR="00F05406" w:rsidRDefault="00F05406" w:rsidP="00F05406">
      <w:pPr>
        <w:pStyle w:val="Normal1"/>
        <w:jc w:val="both"/>
        <w:rPr>
          <w:rFonts w:ascii="Times New Roman" w:eastAsia="Times New Roman" w:hAnsi="Times New Roman" w:cs="Times New Roman"/>
          <w:b/>
          <w:u w:val="single"/>
        </w:rPr>
      </w:pPr>
      <w:r w:rsidRPr="00E93F13">
        <w:rPr>
          <w:rFonts w:ascii="Times New Roman" w:eastAsia="Times New Roman" w:hAnsi="Times New Roman" w:cs="Times New Roman"/>
          <w:b/>
          <w:u w:val="single"/>
        </w:rPr>
        <w:t xml:space="preserve">RESEARCH </w:t>
      </w:r>
      <w:r>
        <w:rPr>
          <w:rFonts w:ascii="Times New Roman" w:eastAsia="Times New Roman" w:hAnsi="Times New Roman" w:cs="Times New Roman"/>
          <w:b/>
          <w:u w:val="single"/>
        </w:rPr>
        <w:t>TOPIC</w:t>
      </w:r>
    </w:p>
    <w:p w14:paraId="0A46E411" w14:textId="267F3EFD" w:rsidR="00F05406" w:rsidRPr="007F475B" w:rsidRDefault="00F05406">
      <w:pPr>
        <w:pStyle w:val="Normal1"/>
        <w:jc w:val="both"/>
        <w:rPr>
          <w:rFonts w:ascii="Times New Roman" w:eastAsia="Times New Roman" w:hAnsi="Times New Roman" w:cs="Times New Roman"/>
          <w:bCs/>
          <w:color w:val="000000" w:themeColor="text1"/>
        </w:rPr>
      </w:pPr>
      <w:r w:rsidRPr="007F475B">
        <w:rPr>
          <w:rFonts w:ascii="Times New Roman" w:eastAsia="Times New Roman" w:hAnsi="Times New Roman" w:cs="Times New Roman"/>
          <w:bCs/>
          <w:color w:val="000000" w:themeColor="text1"/>
        </w:rPr>
        <w:t xml:space="preserve">A Prospective Cohort Study on </w:t>
      </w:r>
      <w:r w:rsidR="00D00E71" w:rsidRPr="007F475B">
        <w:rPr>
          <w:rFonts w:ascii="Times New Roman" w:eastAsia="Times New Roman" w:hAnsi="Times New Roman" w:cs="Times New Roman"/>
          <w:bCs/>
          <w:color w:val="000000" w:themeColor="text1"/>
        </w:rPr>
        <w:t xml:space="preserve">the </w:t>
      </w:r>
      <w:r w:rsidRPr="007F475B">
        <w:rPr>
          <w:rFonts w:ascii="Times New Roman" w:eastAsia="Times New Roman" w:hAnsi="Times New Roman" w:cs="Times New Roman"/>
          <w:bCs/>
          <w:color w:val="000000" w:themeColor="text1"/>
        </w:rPr>
        <w:t>Use of Triglyceride Glucose (</w:t>
      </w:r>
      <w:proofErr w:type="spellStart"/>
      <w:r w:rsidRPr="007F475B">
        <w:rPr>
          <w:rFonts w:ascii="Times New Roman" w:eastAsia="Times New Roman" w:hAnsi="Times New Roman" w:cs="Times New Roman"/>
          <w:bCs/>
          <w:color w:val="000000" w:themeColor="text1"/>
        </w:rPr>
        <w:t>TyG</w:t>
      </w:r>
      <w:proofErr w:type="spellEnd"/>
      <w:r w:rsidRPr="007F475B">
        <w:rPr>
          <w:rFonts w:ascii="Times New Roman" w:eastAsia="Times New Roman" w:hAnsi="Times New Roman" w:cs="Times New Roman"/>
          <w:bCs/>
          <w:color w:val="000000" w:themeColor="text1"/>
        </w:rPr>
        <w:t xml:space="preserve">) Index </w:t>
      </w:r>
      <w:r w:rsidRPr="007F475B">
        <w:rPr>
          <w:rFonts w:ascii="Times New Roman" w:eastAsia="Times New Roman" w:hAnsi="Times New Roman" w:cs="Times New Roman"/>
          <w:bCs/>
          <w:color w:val="000000" w:themeColor="text1"/>
        </w:rPr>
        <w:t>during</w:t>
      </w:r>
      <w:r w:rsidR="00D00E71" w:rsidRPr="007F475B">
        <w:rPr>
          <w:rFonts w:ascii="Times New Roman" w:eastAsia="Times New Roman" w:hAnsi="Times New Roman" w:cs="Times New Roman"/>
          <w:bCs/>
          <w:color w:val="000000" w:themeColor="text1"/>
        </w:rPr>
        <w:t xml:space="preserve"> the</w:t>
      </w:r>
      <w:r w:rsidRPr="007F475B">
        <w:rPr>
          <w:rFonts w:ascii="Times New Roman" w:eastAsia="Times New Roman" w:hAnsi="Times New Roman" w:cs="Times New Roman"/>
          <w:bCs/>
          <w:color w:val="000000" w:themeColor="text1"/>
        </w:rPr>
        <w:t xml:space="preserve"> First Trimester</w:t>
      </w:r>
      <w:r w:rsidRPr="007F475B">
        <w:rPr>
          <w:rFonts w:ascii="Times New Roman" w:eastAsia="Times New Roman" w:hAnsi="Times New Roman" w:cs="Times New Roman"/>
          <w:bCs/>
          <w:color w:val="000000" w:themeColor="text1"/>
        </w:rPr>
        <w:t xml:space="preserve"> for Early Prediction of Gestational Diabetes Mellitus among Filipino Women in a tertiary hospital in the Philippines from April 2024 to December 2024. </w:t>
      </w:r>
    </w:p>
    <w:p w14:paraId="1E12543E" w14:textId="77777777" w:rsidR="00F05406" w:rsidRPr="00F05406" w:rsidRDefault="00F05406">
      <w:pPr>
        <w:pStyle w:val="Normal1"/>
        <w:jc w:val="both"/>
        <w:rPr>
          <w:rFonts w:ascii="Times New Roman" w:eastAsia="Times New Roman" w:hAnsi="Times New Roman" w:cs="Times New Roman"/>
          <w:bCs/>
        </w:rPr>
      </w:pPr>
    </w:p>
    <w:p w14:paraId="7ADC816B" w14:textId="0EFD8977" w:rsidR="00242CA3" w:rsidRDefault="009820E1">
      <w:pPr>
        <w:pStyle w:val="Normal1"/>
        <w:jc w:val="both"/>
        <w:rPr>
          <w:rFonts w:ascii="Times New Roman" w:eastAsia="Times New Roman" w:hAnsi="Times New Roman" w:cs="Times New Roman"/>
          <w:b/>
          <w:u w:val="single"/>
        </w:rPr>
      </w:pPr>
      <w:r w:rsidRPr="00E93F13">
        <w:rPr>
          <w:rFonts w:ascii="Times New Roman" w:eastAsia="Times New Roman" w:hAnsi="Times New Roman" w:cs="Times New Roman"/>
          <w:b/>
          <w:u w:val="single"/>
        </w:rPr>
        <w:t>BACKGROUND OF THE STUDY</w:t>
      </w:r>
    </w:p>
    <w:p w14:paraId="11A493F3" w14:textId="4B3BD863" w:rsidR="00E84015" w:rsidRDefault="00E84015" w:rsidP="00E84015">
      <w:pPr>
        <w:pStyle w:val="Normal1"/>
        <w:jc w:val="both"/>
        <w:rPr>
          <w:rFonts w:ascii="Times New Roman" w:eastAsia="Times New Roman" w:hAnsi="Times New Roman" w:cs="Times New Roman"/>
        </w:rPr>
      </w:pPr>
      <w:r w:rsidRPr="00FE1333">
        <w:rPr>
          <w:rFonts w:ascii="Times New Roman" w:eastAsia="Times New Roman" w:hAnsi="Times New Roman" w:cs="Times New Roman"/>
        </w:rPr>
        <w:t>G</w:t>
      </w:r>
      <w:r>
        <w:rPr>
          <w:rFonts w:ascii="Times New Roman" w:eastAsia="Times New Roman" w:hAnsi="Times New Roman" w:cs="Times New Roman"/>
        </w:rPr>
        <w:t xml:space="preserve">estational </w:t>
      </w:r>
      <w:r w:rsidRPr="00FE1333">
        <w:rPr>
          <w:rFonts w:ascii="Times New Roman" w:eastAsia="Times New Roman" w:hAnsi="Times New Roman" w:cs="Times New Roman"/>
        </w:rPr>
        <w:t>D</w:t>
      </w:r>
      <w:r>
        <w:rPr>
          <w:rFonts w:ascii="Times New Roman" w:eastAsia="Times New Roman" w:hAnsi="Times New Roman" w:cs="Times New Roman"/>
        </w:rPr>
        <w:t xml:space="preserve">iabetes </w:t>
      </w:r>
      <w:r w:rsidRPr="00FE1333">
        <w:rPr>
          <w:rFonts w:ascii="Times New Roman" w:eastAsia="Times New Roman" w:hAnsi="Times New Roman" w:cs="Times New Roman"/>
        </w:rPr>
        <w:t>M</w:t>
      </w:r>
      <w:r>
        <w:rPr>
          <w:rFonts w:ascii="Times New Roman" w:eastAsia="Times New Roman" w:hAnsi="Times New Roman" w:cs="Times New Roman"/>
        </w:rPr>
        <w:t>ellitus (GDM),</w:t>
      </w:r>
      <w:r w:rsidRPr="00FE1333">
        <w:rPr>
          <w:rFonts w:ascii="Times New Roman" w:eastAsia="Times New Roman" w:hAnsi="Times New Roman" w:cs="Times New Roman"/>
        </w:rPr>
        <w:t xml:space="preserve"> the most common</w:t>
      </w:r>
      <w:r>
        <w:rPr>
          <w:rFonts w:ascii="Times New Roman" w:eastAsia="Times New Roman" w:hAnsi="Times New Roman" w:cs="Times New Roman"/>
        </w:rPr>
        <w:t xml:space="preserve"> </w:t>
      </w:r>
      <w:r w:rsidRPr="00FE1333">
        <w:rPr>
          <w:rFonts w:ascii="Times New Roman" w:eastAsia="Times New Roman" w:hAnsi="Times New Roman" w:cs="Times New Roman"/>
        </w:rPr>
        <w:t>medical disorder in pregnancy, is defined as glucose</w:t>
      </w:r>
      <w:r>
        <w:rPr>
          <w:rFonts w:ascii="Times New Roman" w:eastAsia="Times New Roman" w:hAnsi="Times New Roman" w:cs="Times New Roman"/>
        </w:rPr>
        <w:t xml:space="preserve"> </w:t>
      </w:r>
      <w:r w:rsidRPr="00FE1333">
        <w:rPr>
          <w:rFonts w:ascii="Times New Roman" w:eastAsia="Times New Roman" w:hAnsi="Times New Roman" w:cs="Times New Roman"/>
        </w:rPr>
        <w:t>intolerance resulting in hyperglycemia that begins or is</w:t>
      </w:r>
      <w:r>
        <w:rPr>
          <w:rFonts w:ascii="Times New Roman" w:eastAsia="Times New Roman" w:hAnsi="Times New Roman" w:cs="Times New Roman"/>
        </w:rPr>
        <w:t xml:space="preserve"> </w:t>
      </w:r>
      <w:r w:rsidRPr="00FE1333">
        <w:rPr>
          <w:rFonts w:ascii="Times New Roman" w:eastAsia="Times New Roman" w:hAnsi="Times New Roman" w:cs="Times New Roman"/>
        </w:rPr>
        <w:t xml:space="preserve">first diagnosed during pregnancy </w:t>
      </w:r>
      <w:r w:rsidRPr="00FE1333">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Pr="00A41E19">
        <w:rPr>
          <w:rFonts w:ascii="Times New Roman" w:eastAsia="Times New Roman" w:hAnsi="Times New Roman" w:cs="Times New Roman"/>
        </w:rPr>
        <w:t xml:space="preserve">GDM </w:t>
      </w:r>
      <w:r w:rsidRPr="00986667">
        <w:rPr>
          <w:rFonts w:ascii="Times New Roman" w:eastAsia="Times New Roman" w:hAnsi="Times New Roman" w:cs="Times New Roman"/>
        </w:rPr>
        <w:t>poses significant health risks to both mothers and infants, with implications extending beyond the perinatal period</w:t>
      </w:r>
      <w:r w:rsidR="00411E97">
        <w:rPr>
          <w:rFonts w:ascii="Times New Roman" w:eastAsia="Times New Roman" w:hAnsi="Times New Roman" w:cs="Times New Roman"/>
        </w:rPr>
        <w:t xml:space="preserve"> </w:t>
      </w:r>
      <w:r w:rsidR="002C6662">
        <w:rPr>
          <w:rFonts w:ascii="Times New Roman" w:eastAsia="Times New Roman" w:hAnsi="Times New Roman" w:cs="Times New Roman"/>
          <w:vertAlign w:val="superscript"/>
        </w:rPr>
        <w:t>[</w:t>
      </w:r>
      <w:r w:rsidR="00411E97" w:rsidRPr="00FE1333">
        <w:rPr>
          <w:rFonts w:ascii="Times New Roman" w:eastAsia="Times New Roman" w:hAnsi="Times New Roman" w:cs="Times New Roman"/>
          <w:vertAlign w:val="superscript"/>
        </w:rPr>
        <w:t>1</w:t>
      </w:r>
      <w:r w:rsidR="002C6662">
        <w:rPr>
          <w:rFonts w:ascii="Times New Roman" w:eastAsia="Times New Roman" w:hAnsi="Times New Roman" w:cs="Times New Roman"/>
          <w:vertAlign w:val="superscript"/>
        </w:rPr>
        <w:t>]</w:t>
      </w:r>
      <w:r w:rsidR="00411E97" w:rsidRPr="00FE1333">
        <w:rPr>
          <w:rFonts w:ascii="Times New Roman" w:eastAsia="Times New Roman" w:hAnsi="Times New Roman" w:cs="Times New Roman"/>
          <w:vertAlign w:val="superscript"/>
        </w:rPr>
        <w:t>.</w:t>
      </w:r>
      <w:r w:rsidR="00411E97">
        <w:rPr>
          <w:rFonts w:ascii="Times New Roman" w:eastAsia="Times New Roman" w:hAnsi="Times New Roman" w:cs="Times New Roman"/>
        </w:rPr>
        <w:t xml:space="preserve"> </w:t>
      </w:r>
      <w:r w:rsidRPr="00986667">
        <w:rPr>
          <w:rFonts w:ascii="Times New Roman" w:eastAsia="Times New Roman" w:hAnsi="Times New Roman" w:cs="Times New Roman"/>
        </w:rPr>
        <w:t xml:space="preserve"> </w:t>
      </w:r>
    </w:p>
    <w:p w14:paraId="45C61346" w14:textId="60596919" w:rsidR="00242CA3" w:rsidRDefault="00242CA3">
      <w:pPr>
        <w:pStyle w:val="Normal1"/>
        <w:jc w:val="both"/>
        <w:rPr>
          <w:rFonts w:ascii="Times New Roman" w:eastAsia="Times New Roman" w:hAnsi="Times New Roman" w:cs="Times New Roman"/>
          <w:b/>
          <w:u w:val="single"/>
        </w:rPr>
      </w:pPr>
    </w:p>
    <w:p w14:paraId="2C0B5C53" w14:textId="53AC8A0E" w:rsidR="006C2CA8" w:rsidRPr="006C2CA8" w:rsidRDefault="00A52CBD" w:rsidP="006C2CA8">
      <w:pPr>
        <w:pStyle w:val="Normal1"/>
        <w:jc w:val="both"/>
        <w:rPr>
          <w:rFonts w:ascii="Times New Roman" w:eastAsia="Times New Roman" w:hAnsi="Times New Roman" w:cs="Times New Roman"/>
          <w:bCs/>
        </w:rPr>
      </w:pPr>
      <w:r w:rsidRPr="00FE1333">
        <w:rPr>
          <w:rFonts w:ascii="Times New Roman" w:eastAsia="Times New Roman" w:hAnsi="Times New Roman" w:cs="Times New Roman"/>
        </w:rPr>
        <w:t>GDM</w:t>
      </w:r>
      <w:r w:rsidR="00442E28" w:rsidRPr="00442E28">
        <w:rPr>
          <w:rFonts w:ascii="Times New Roman" w:eastAsia="Times New Roman" w:hAnsi="Times New Roman" w:cs="Times New Roman"/>
          <w:bCs/>
        </w:rPr>
        <w:t xml:space="preserve"> is believed</w:t>
      </w:r>
      <w:r w:rsidR="00442E28">
        <w:rPr>
          <w:rFonts w:ascii="Times New Roman" w:eastAsia="Times New Roman" w:hAnsi="Times New Roman" w:cs="Times New Roman"/>
          <w:bCs/>
        </w:rPr>
        <w:t xml:space="preserve"> </w:t>
      </w:r>
      <w:r w:rsidR="00442E28" w:rsidRPr="00442E28">
        <w:rPr>
          <w:rFonts w:ascii="Times New Roman" w:eastAsia="Times New Roman" w:hAnsi="Times New Roman" w:cs="Times New Roman"/>
          <w:bCs/>
        </w:rPr>
        <w:t>to result from pancreatic beta-cell dysfunction in women with preexisting insulin</w:t>
      </w:r>
      <w:r w:rsidR="00FE1333">
        <w:rPr>
          <w:rFonts w:ascii="Times New Roman" w:eastAsia="Times New Roman" w:hAnsi="Times New Roman" w:cs="Times New Roman"/>
          <w:bCs/>
        </w:rPr>
        <w:t xml:space="preserve"> </w:t>
      </w:r>
      <w:r w:rsidR="00EF226D">
        <w:rPr>
          <w:rFonts w:ascii="Times New Roman" w:eastAsia="Times New Roman" w:hAnsi="Times New Roman" w:cs="Times New Roman"/>
          <w:bCs/>
        </w:rPr>
        <w:t>r</w:t>
      </w:r>
      <w:r w:rsidR="00442E28" w:rsidRPr="00442E28">
        <w:rPr>
          <w:rFonts w:ascii="Times New Roman" w:eastAsia="Times New Roman" w:hAnsi="Times New Roman" w:cs="Times New Roman"/>
          <w:bCs/>
        </w:rPr>
        <w:t>esistance</w:t>
      </w:r>
      <w:r w:rsidR="002C6662">
        <w:rPr>
          <w:rFonts w:ascii="Times New Roman" w:eastAsia="Times New Roman" w:hAnsi="Times New Roman" w:cs="Times New Roman"/>
          <w:bCs/>
          <w:vertAlign w:val="superscript"/>
        </w:rPr>
        <w:t>[2]</w:t>
      </w:r>
      <w:r w:rsidR="00EF226D" w:rsidRPr="00EF226D">
        <w:rPr>
          <w:rFonts w:ascii="Times New Roman" w:eastAsia="Times New Roman" w:hAnsi="Times New Roman" w:cs="Times New Roman"/>
          <w:bCs/>
          <w:vertAlign w:val="superscript"/>
        </w:rPr>
        <w:t>.</w:t>
      </w:r>
      <w:r w:rsidR="00EF226D">
        <w:rPr>
          <w:rFonts w:ascii="Times New Roman" w:eastAsia="Times New Roman" w:hAnsi="Times New Roman" w:cs="Times New Roman"/>
          <w:bCs/>
        </w:rPr>
        <w:t xml:space="preserve"> </w:t>
      </w:r>
      <w:r w:rsidR="00442E28" w:rsidRPr="00442E28">
        <w:rPr>
          <w:rFonts w:ascii="Times New Roman" w:eastAsia="Times New Roman" w:hAnsi="Times New Roman" w:cs="Times New Roman"/>
          <w:bCs/>
        </w:rPr>
        <w:t>In particular, defects in beta-cell adaptive mechanisms (through</w:t>
      </w:r>
      <w:r w:rsidR="00442E28">
        <w:rPr>
          <w:rFonts w:ascii="Times New Roman" w:eastAsia="Times New Roman" w:hAnsi="Times New Roman" w:cs="Times New Roman"/>
          <w:bCs/>
        </w:rPr>
        <w:t xml:space="preserve"> </w:t>
      </w:r>
      <w:r w:rsidR="00442E28" w:rsidRPr="00442E28">
        <w:rPr>
          <w:rFonts w:ascii="Times New Roman" w:eastAsia="Times New Roman" w:hAnsi="Times New Roman" w:cs="Times New Roman"/>
          <w:bCs/>
        </w:rPr>
        <w:t>which pancreatic islets adapt to the increased gestational insulin demand) lead to</w:t>
      </w:r>
      <w:r w:rsidR="00442E28">
        <w:rPr>
          <w:rFonts w:ascii="Times New Roman" w:eastAsia="Times New Roman" w:hAnsi="Times New Roman" w:cs="Times New Roman"/>
          <w:bCs/>
        </w:rPr>
        <w:t xml:space="preserve"> </w:t>
      </w:r>
      <w:r w:rsidR="00442E28" w:rsidRPr="00442E28">
        <w:rPr>
          <w:rFonts w:ascii="Times New Roman" w:eastAsia="Times New Roman" w:hAnsi="Times New Roman" w:cs="Times New Roman"/>
          <w:bCs/>
        </w:rPr>
        <w:t xml:space="preserve">the development of GDM. </w:t>
      </w:r>
      <w:r w:rsidR="006C2CA8" w:rsidRPr="006C2CA8">
        <w:rPr>
          <w:rFonts w:ascii="Times New Roman" w:eastAsia="Times New Roman" w:hAnsi="Times New Roman" w:cs="Times New Roman"/>
        </w:rPr>
        <w:t>GDM is associated with an increased risk of fetal complications (macrosomia,</w:t>
      </w:r>
      <w:r w:rsidR="006C2CA8">
        <w:rPr>
          <w:rFonts w:ascii="Times New Roman" w:eastAsia="Times New Roman" w:hAnsi="Times New Roman" w:cs="Times New Roman"/>
        </w:rPr>
        <w:t xml:space="preserve"> </w:t>
      </w:r>
      <w:r w:rsidR="006C2CA8" w:rsidRPr="006C2CA8">
        <w:rPr>
          <w:rFonts w:ascii="Times New Roman" w:eastAsia="Times New Roman" w:hAnsi="Times New Roman" w:cs="Times New Roman"/>
        </w:rPr>
        <w:t>polyhydramnios, neonatal hypoglycemia, shoulder dystocia, respiratory-distress</w:t>
      </w:r>
      <w:r w:rsidR="006C2CA8">
        <w:rPr>
          <w:rFonts w:ascii="Times New Roman" w:eastAsia="Times New Roman" w:hAnsi="Times New Roman" w:cs="Times New Roman"/>
        </w:rPr>
        <w:t xml:space="preserve"> </w:t>
      </w:r>
      <w:r w:rsidR="006C2CA8" w:rsidRPr="006C2CA8">
        <w:rPr>
          <w:rFonts w:ascii="Times New Roman" w:eastAsia="Times New Roman" w:hAnsi="Times New Roman" w:cs="Times New Roman"/>
        </w:rPr>
        <w:t>syndrome, increased perinatal mortality) and maternal complications (hypertension,</w:t>
      </w:r>
      <w:r w:rsidR="006C2CA8">
        <w:rPr>
          <w:rFonts w:ascii="Times New Roman" w:eastAsia="Times New Roman" w:hAnsi="Times New Roman" w:cs="Times New Roman"/>
        </w:rPr>
        <w:t xml:space="preserve"> </w:t>
      </w:r>
      <w:r w:rsidR="006C2CA8" w:rsidRPr="006C2CA8">
        <w:rPr>
          <w:rFonts w:ascii="Times New Roman" w:eastAsia="Times New Roman" w:hAnsi="Times New Roman" w:cs="Times New Roman"/>
        </w:rPr>
        <w:t xml:space="preserve">preeclampsia, increased risk of cesarean delivery) </w:t>
      </w:r>
      <w:r w:rsidR="006C2CA8" w:rsidRPr="006C2CA8">
        <w:rPr>
          <w:rFonts w:ascii="Times New Roman" w:eastAsia="Times New Roman" w:hAnsi="Times New Roman" w:cs="Times New Roman"/>
          <w:vertAlign w:val="superscript"/>
        </w:rPr>
        <w:t>[</w:t>
      </w:r>
      <w:r w:rsidR="002C6662">
        <w:rPr>
          <w:rFonts w:ascii="Times New Roman" w:eastAsia="Times New Roman" w:hAnsi="Times New Roman" w:cs="Times New Roman"/>
          <w:vertAlign w:val="superscript"/>
        </w:rPr>
        <w:t>3.4</w:t>
      </w:r>
      <w:r w:rsidR="00411E97">
        <w:rPr>
          <w:rFonts w:ascii="Times New Roman" w:eastAsia="Times New Roman" w:hAnsi="Times New Roman" w:cs="Times New Roman"/>
          <w:vertAlign w:val="superscript"/>
        </w:rPr>
        <w:t>]</w:t>
      </w:r>
    </w:p>
    <w:p w14:paraId="3617C3F9" w14:textId="412A07DF" w:rsidR="00A129E4" w:rsidRDefault="00A129E4">
      <w:pPr>
        <w:pStyle w:val="Normal1"/>
        <w:jc w:val="both"/>
        <w:rPr>
          <w:rFonts w:ascii="Times New Roman" w:eastAsia="Times New Roman" w:hAnsi="Times New Roman" w:cs="Times New Roman"/>
        </w:rPr>
      </w:pPr>
    </w:p>
    <w:p w14:paraId="0B650B6E" w14:textId="740C5D51" w:rsidR="00501506" w:rsidRPr="00501506" w:rsidRDefault="00501506" w:rsidP="00501506">
      <w:pPr>
        <w:pStyle w:val="Normal1"/>
        <w:jc w:val="both"/>
        <w:rPr>
          <w:rFonts w:ascii="Times New Roman" w:eastAsia="Times New Roman" w:hAnsi="Times New Roman" w:cs="Times New Roman"/>
        </w:rPr>
      </w:pPr>
      <w:r w:rsidRPr="006C2CA8">
        <w:rPr>
          <w:rFonts w:ascii="Times New Roman" w:eastAsia="Times New Roman" w:hAnsi="Times New Roman" w:cs="Times New Roman"/>
        </w:rPr>
        <w:t>According to the International Association of Diabetes and Pregnancy</w:t>
      </w:r>
      <w:r>
        <w:rPr>
          <w:rFonts w:ascii="Times New Roman" w:eastAsia="Times New Roman" w:hAnsi="Times New Roman" w:cs="Times New Roman"/>
        </w:rPr>
        <w:t xml:space="preserve"> </w:t>
      </w:r>
      <w:r w:rsidRPr="006C2CA8">
        <w:rPr>
          <w:rFonts w:ascii="Times New Roman" w:eastAsia="Times New Roman" w:hAnsi="Times New Roman" w:cs="Times New Roman"/>
        </w:rPr>
        <w:t>Study Groups (IADPSG) criteria,</w:t>
      </w:r>
      <w:r>
        <w:rPr>
          <w:rFonts w:ascii="Times New Roman" w:eastAsia="Times New Roman" w:hAnsi="Times New Roman" w:cs="Times New Roman"/>
        </w:rPr>
        <w:t xml:space="preserve"> s</w:t>
      </w:r>
      <w:r w:rsidRPr="006C2CA8">
        <w:rPr>
          <w:rFonts w:ascii="Times New Roman" w:eastAsia="Times New Roman" w:hAnsi="Times New Roman" w:cs="Times New Roman"/>
        </w:rPr>
        <w:t>creening for GDM should be performed particularly in at-risk women through</w:t>
      </w:r>
      <w:r>
        <w:rPr>
          <w:rFonts w:ascii="Times New Roman" w:eastAsia="Times New Roman" w:hAnsi="Times New Roman" w:cs="Times New Roman"/>
        </w:rPr>
        <w:t xml:space="preserve"> </w:t>
      </w:r>
      <w:r w:rsidRPr="006C2CA8">
        <w:rPr>
          <w:rFonts w:ascii="Times New Roman" w:eastAsia="Times New Roman" w:hAnsi="Times New Roman" w:cs="Times New Roman"/>
        </w:rPr>
        <w:t>a 2-hour, 75-g oral glucose tolerance test (OGTT) performed at 24–28 weeks of</w:t>
      </w:r>
      <w:r>
        <w:rPr>
          <w:rFonts w:ascii="Times New Roman" w:eastAsia="Times New Roman" w:hAnsi="Times New Roman" w:cs="Times New Roman"/>
        </w:rPr>
        <w:t xml:space="preserve"> </w:t>
      </w:r>
      <w:r w:rsidRPr="006C2CA8">
        <w:rPr>
          <w:rFonts w:ascii="Times New Roman" w:eastAsia="Times New Roman" w:hAnsi="Times New Roman" w:cs="Times New Roman"/>
        </w:rPr>
        <w:t>gestation.</w:t>
      </w:r>
      <w:r>
        <w:rPr>
          <w:rFonts w:ascii="Times New Roman" w:eastAsia="Times New Roman" w:hAnsi="Times New Roman" w:cs="Times New Roman"/>
        </w:rPr>
        <w:t xml:space="preserve"> </w:t>
      </w:r>
      <w:r w:rsidRPr="00501506">
        <w:rPr>
          <w:rFonts w:ascii="Times New Roman" w:eastAsia="Times New Roman" w:hAnsi="Times New Roman" w:cs="Times New Roman"/>
        </w:rPr>
        <w:t>However, empirical evidence suggests that by the time GDM is</w:t>
      </w:r>
      <w:r>
        <w:rPr>
          <w:rFonts w:ascii="Times New Roman" w:eastAsia="Times New Roman" w:hAnsi="Times New Roman" w:cs="Times New Roman"/>
        </w:rPr>
        <w:t xml:space="preserve"> </w:t>
      </w:r>
      <w:r w:rsidRPr="00501506">
        <w:rPr>
          <w:rFonts w:ascii="Times New Roman" w:eastAsia="Times New Roman" w:hAnsi="Times New Roman" w:cs="Times New Roman"/>
        </w:rPr>
        <w:t>diagnosed at this stage, both the mother and fetus may have already</w:t>
      </w:r>
    </w:p>
    <w:p w14:paraId="047CDE3E" w14:textId="679D99D7" w:rsidR="00501506" w:rsidRPr="00501506" w:rsidRDefault="00501506" w:rsidP="00501506">
      <w:pPr>
        <w:pStyle w:val="Normal1"/>
        <w:jc w:val="both"/>
        <w:rPr>
          <w:rFonts w:ascii="Times New Roman" w:eastAsia="Times New Roman" w:hAnsi="Times New Roman" w:cs="Times New Roman"/>
        </w:rPr>
      </w:pPr>
      <w:r w:rsidRPr="00501506">
        <w:rPr>
          <w:rFonts w:ascii="Times New Roman" w:eastAsia="Times New Roman" w:hAnsi="Times New Roman" w:cs="Times New Roman"/>
        </w:rPr>
        <w:t>been adversely affected to varying degrees, despite the potential</w:t>
      </w:r>
      <w:r>
        <w:rPr>
          <w:rFonts w:ascii="Times New Roman" w:eastAsia="Times New Roman" w:hAnsi="Times New Roman" w:cs="Times New Roman"/>
        </w:rPr>
        <w:t xml:space="preserve"> </w:t>
      </w:r>
      <w:r w:rsidRPr="00501506">
        <w:rPr>
          <w:rFonts w:ascii="Times New Roman" w:eastAsia="Times New Roman" w:hAnsi="Times New Roman" w:cs="Times New Roman"/>
        </w:rPr>
        <w:t xml:space="preserve">benefits of symptom management </w:t>
      </w:r>
      <w:r>
        <w:rPr>
          <w:rFonts w:ascii="Times New Roman" w:eastAsia="Times New Roman" w:hAnsi="Times New Roman" w:cs="Times New Roman"/>
          <w:vertAlign w:val="superscript"/>
        </w:rPr>
        <w:t>[</w:t>
      </w:r>
      <w:r w:rsidR="002C6662">
        <w:rPr>
          <w:rFonts w:ascii="Times New Roman" w:eastAsia="Times New Roman" w:hAnsi="Times New Roman" w:cs="Times New Roman"/>
          <w:vertAlign w:val="superscript"/>
        </w:rPr>
        <w:t>5,6</w:t>
      </w:r>
      <w:r>
        <w:rPr>
          <w:rFonts w:ascii="Times New Roman" w:eastAsia="Times New Roman" w:hAnsi="Times New Roman" w:cs="Times New Roman"/>
          <w:vertAlign w:val="superscript"/>
        </w:rPr>
        <w:t>]</w:t>
      </w:r>
    </w:p>
    <w:p w14:paraId="70E9C1C9" w14:textId="77777777" w:rsidR="00501506" w:rsidRDefault="00501506">
      <w:pPr>
        <w:pStyle w:val="Normal1"/>
        <w:jc w:val="both"/>
        <w:rPr>
          <w:rFonts w:ascii="Times New Roman" w:eastAsia="Times New Roman" w:hAnsi="Times New Roman" w:cs="Times New Roman"/>
        </w:rPr>
      </w:pPr>
    </w:p>
    <w:p w14:paraId="148F3A04" w14:textId="6F98B37B" w:rsidR="00C340B0" w:rsidRDefault="00C340B0" w:rsidP="00C340B0">
      <w:pPr>
        <w:pStyle w:val="Normal1"/>
        <w:jc w:val="both"/>
        <w:rPr>
          <w:rFonts w:ascii="Times New Roman" w:eastAsia="Times New Roman" w:hAnsi="Times New Roman" w:cs="Times New Roman"/>
          <w:color w:val="000000" w:themeColor="text1"/>
        </w:rPr>
      </w:pPr>
      <w:r w:rsidRPr="00ED08C3">
        <w:rPr>
          <w:rFonts w:ascii="Times New Roman" w:eastAsia="Times New Roman" w:hAnsi="Times New Roman" w:cs="Times New Roman"/>
          <w:color w:val="000000" w:themeColor="text1"/>
        </w:rPr>
        <w:t xml:space="preserve">Early detection of insulin resistance (IR) in pregnant women has been shown to assist in predicting the onset of GDM before clinical diagnosis </w:t>
      </w:r>
      <w:r w:rsidR="002C6662">
        <w:rPr>
          <w:rFonts w:ascii="Times New Roman" w:eastAsia="Times New Roman" w:hAnsi="Times New Roman" w:cs="Times New Roman"/>
          <w:color w:val="000000" w:themeColor="text1"/>
          <w:vertAlign w:val="superscript"/>
        </w:rPr>
        <w:t>[7,8]</w:t>
      </w:r>
      <w:r w:rsidRPr="00DA7133">
        <w:rPr>
          <w:rFonts w:ascii="Times New Roman" w:eastAsia="Times New Roman" w:hAnsi="Times New Roman" w:cs="Times New Roman"/>
          <w:color w:val="000000" w:themeColor="text1"/>
          <w:vertAlign w:val="superscript"/>
        </w:rPr>
        <w:t>.</w:t>
      </w:r>
      <w:r w:rsidRPr="00ED08C3">
        <w:rPr>
          <w:rFonts w:ascii="Times New Roman" w:eastAsia="Times New Roman" w:hAnsi="Times New Roman" w:cs="Times New Roman"/>
          <w:color w:val="000000" w:themeColor="text1"/>
        </w:rPr>
        <w:t xml:space="preserve"> </w:t>
      </w:r>
      <w:r w:rsidRPr="00661EDC">
        <w:rPr>
          <w:rFonts w:ascii="Times New Roman" w:eastAsia="Times New Roman" w:hAnsi="Times New Roman" w:cs="Times New Roman"/>
        </w:rPr>
        <w:t>The evaluation of IR requires sophisticated methods</w:t>
      </w:r>
      <w:r>
        <w:rPr>
          <w:rFonts w:ascii="Times New Roman" w:eastAsia="Times New Roman" w:hAnsi="Times New Roman" w:cs="Times New Roman"/>
        </w:rPr>
        <w:t xml:space="preserve"> </w:t>
      </w:r>
      <w:r w:rsidRPr="00661EDC">
        <w:rPr>
          <w:rFonts w:ascii="Times New Roman" w:eastAsia="Times New Roman" w:hAnsi="Times New Roman" w:cs="Times New Roman"/>
        </w:rPr>
        <w:t>which are not available for use in daily clinical practice.</w:t>
      </w:r>
      <w:r>
        <w:rPr>
          <w:rFonts w:ascii="Times New Roman" w:eastAsia="Times New Roman" w:hAnsi="Times New Roman" w:cs="Times New Roman"/>
          <w:vertAlign w:val="superscript"/>
        </w:rPr>
        <w:t xml:space="preserve"> </w:t>
      </w:r>
      <w:r w:rsidRPr="00661EDC">
        <w:rPr>
          <w:rFonts w:ascii="Times New Roman" w:eastAsia="Times New Roman" w:hAnsi="Times New Roman" w:cs="Times New Roman"/>
        </w:rPr>
        <w:t>Hyper insulinemic-euglycemic clamp</w:t>
      </w:r>
      <w:r w:rsidR="004B5B2E">
        <w:rPr>
          <w:rFonts w:ascii="Times New Roman" w:eastAsia="Times New Roman" w:hAnsi="Times New Roman" w:cs="Times New Roman"/>
        </w:rPr>
        <w:t xml:space="preserve"> (HEC)</w:t>
      </w:r>
      <w:r w:rsidRPr="00661EDC">
        <w:rPr>
          <w:rFonts w:ascii="Times New Roman" w:eastAsia="Times New Roman" w:hAnsi="Times New Roman" w:cs="Times New Roman"/>
        </w:rPr>
        <w:t xml:space="preserve"> is the direct method to</w:t>
      </w:r>
      <w:r>
        <w:rPr>
          <w:rFonts w:ascii="Times New Roman" w:eastAsia="Times New Roman" w:hAnsi="Times New Roman" w:cs="Times New Roman"/>
        </w:rPr>
        <w:t xml:space="preserve"> </w:t>
      </w:r>
      <w:r w:rsidRPr="00661EDC">
        <w:rPr>
          <w:rFonts w:ascii="Times New Roman" w:eastAsia="Times New Roman" w:hAnsi="Times New Roman" w:cs="Times New Roman"/>
        </w:rPr>
        <w:t>measure IR and is considered the ‘‘gold standard’’ procedure,</w:t>
      </w:r>
      <w:r>
        <w:rPr>
          <w:rFonts w:ascii="Times New Roman" w:eastAsia="Times New Roman" w:hAnsi="Times New Roman" w:cs="Times New Roman"/>
        </w:rPr>
        <w:t xml:space="preserve"> </w:t>
      </w:r>
      <w:r w:rsidRPr="00661EDC">
        <w:rPr>
          <w:rFonts w:ascii="Times New Roman" w:eastAsia="Times New Roman" w:hAnsi="Times New Roman" w:cs="Times New Roman"/>
        </w:rPr>
        <w:t>but it is difficult to perform in daily practice. Several</w:t>
      </w:r>
      <w:r>
        <w:rPr>
          <w:rFonts w:ascii="Times New Roman" w:eastAsia="Times New Roman" w:hAnsi="Times New Roman" w:cs="Times New Roman"/>
        </w:rPr>
        <w:t xml:space="preserve"> </w:t>
      </w:r>
      <w:r w:rsidRPr="00661EDC">
        <w:rPr>
          <w:rFonts w:ascii="Times New Roman" w:eastAsia="Times New Roman" w:hAnsi="Times New Roman" w:cs="Times New Roman"/>
        </w:rPr>
        <w:t>surrogate markers have therefore been proposed, including</w:t>
      </w:r>
      <w:r>
        <w:rPr>
          <w:rFonts w:ascii="Times New Roman" w:eastAsia="Times New Roman" w:hAnsi="Times New Roman" w:cs="Times New Roman"/>
        </w:rPr>
        <w:t xml:space="preserve"> </w:t>
      </w:r>
      <w:r w:rsidRPr="00661EDC">
        <w:rPr>
          <w:rFonts w:ascii="Times New Roman" w:eastAsia="Times New Roman" w:hAnsi="Times New Roman" w:cs="Times New Roman"/>
        </w:rPr>
        <w:t>the homeostatic model assessment of IR (HOMA-IR)</w:t>
      </w:r>
      <w:r w:rsidR="004B5B2E">
        <w:rPr>
          <w:rFonts w:ascii="Times New Roman" w:eastAsia="Times New Roman" w:hAnsi="Times New Roman" w:cs="Times New Roman"/>
        </w:rPr>
        <w:t xml:space="preserve"> which requires </w:t>
      </w:r>
      <w:r w:rsidR="004B5B2E" w:rsidRPr="004B5B2E">
        <w:rPr>
          <w:rFonts w:ascii="Times New Roman" w:eastAsia="Times New Roman" w:hAnsi="Times New Roman" w:cs="Times New Roman"/>
        </w:rPr>
        <w:t>overnight fasting and plasma insulin measurement several times</w:t>
      </w:r>
      <w:r w:rsidR="004B5B2E">
        <w:rPr>
          <w:rFonts w:ascii="Times New Roman" w:eastAsia="Times New Roman" w:hAnsi="Times New Roman" w:cs="Times New Roman"/>
        </w:rPr>
        <w:t xml:space="preserve">. </w:t>
      </w:r>
      <w:r w:rsidR="004B5B2E" w:rsidRPr="004B5B2E">
        <w:rPr>
          <w:rFonts w:ascii="Times New Roman" w:eastAsia="Times New Roman" w:hAnsi="Times New Roman" w:cs="Times New Roman"/>
        </w:rPr>
        <w:t xml:space="preserve">At present, though many types of biomarkers have been tested individually or in predictive models for GDM as well, such as adiponectin, sex hormone-binding globulin, and C-reactive </w:t>
      </w:r>
      <w:r w:rsidR="004B5B2E" w:rsidRPr="004B5B2E">
        <w:rPr>
          <w:rFonts w:ascii="Times New Roman" w:eastAsia="Times New Roman" w:hAnsi="Times New Roman" w:cs="Times New Roman"/>
        </w:rPr>
        <w:lastRenderedPageBreak/>
        <w:t xml:space="preserve">protein </w:t>
      </w:r>
      <w:r w:rsidR="004B5B2E" w:rsidRPr="004B5B2E">
        <w:rPr>
          <w:rFonts w:ascii="Times New Roman" w:eastAsia="Times New Roman" w:hAnsi="Times New Roman" w:cs="Times New Roman"/>
          <w:vertAlign w:val="superscript"/>
        </w:rPr>
        <w:t>(8, 9, 10),</w:t>
      </w:r>
      <w:r w:rsidR="004B5B2E" w:rsidRPr="004B5B2E">
        <w:rPr>
          <w:rFonts w:ascii="Times New Roman" w:eastAsia="Times New Roman" w:hAnsi="Times New Roman" w:cs="Times New Roman"/>
        </w:rPr>
        <w:t xml:space="preserve"> these parameters are also not available in most clinics. Therefore, identifying feasible biomarkers is warranted for predicting GDM in early pregnancy.</w:t>
      </w:r>
    </w:p>
    <w:p w14:paraId="0F714F33" w14:textId="77777777" w:rsidR="00C340B0" w:rsidRDefault="00C340B0" w:rsidP="00C340B0">
      <w:pPr>
        <w:pStyle w:val="Normal1"/>
        <w:jc w:val="both"/>
        <w:rPr>
          <w:rFonts w:ascii="Times New Roman" w:eastAsia="Times New Roman" w:hAnsi="Times New Roman" w:cs="Times New Roman"/>
          <w:color w:val="000000" w:themeColor="text1"/>
        </w:rPr>
      </w:pPr>
    </w:p>
    <w:p w14:paraId="00693529" w14:textId="77777777" w:rsidR="001F02CF" w:rsidRDefault="00C340B0" w:rsidP="001F02CF">
      <w:pPr>
        <w:pStyle w:val="Normal1"/>
        <w:jc w:val="both"/>
        <w:rPr>
          <w:rFonts w:ascii="Times New Roman" w:eastAsia="Times New Roman" w:hAnsi="Times New Roman" w:cs="Times New Roman"/>
        </w:rPr>
      </w:pPr>
      <w:r w:rsidRPr="00ED08C3">
        <w:rPr>
          <w:rFonts w:ascii="Times New Roman" w:eastAsia="Times New Roman" w:hAnsi="Times New Roman" w:cs="Times New Roman"/>
          <w:color w:val="000000" w:themeColor="text1"/>
        </w:rPr>
        <w:t xml:space="preserve">The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calculated from fasting plasma glucose (FPG) and serum triglycerides (TG), is considered a straightforward, economical, replicable, and reliable surrogate for IR </w:t>
      </w:r>
      <w:r w:rsidR="00535A7D">
        <w:rPr>
          <w:rFonts w:ascii="Times New Roman" w:eastAsia="Times New Roman" w:hAnsi="Times New Roman" w:cs="Times New Roman"/>
          <w:color w:val="000000" w:themeColor="text1"/>
          <w:vertAlign w:val="superscript"/>
        </w:rPr>
        <w:t xml:space="preserve">[9,10] </w:t>
      </w:r>
      <w:r w:rsidR="004B5B2E">
        <w:rPr>
          <w:rFonts w:ascii="Times New Roman" w:eastAsia="Times New Roman" w:hAnsi="Times New Roman" w:cs="Times New Roman"/>
        </w:rPr>
        <w:t xml:space="preserve"> </w:t>
      </w:r>
      <w:r w:rsidR="001F02CF" w:rsidRPr="00EF17E5">
        <w:rPr>
          <w:rFonts w:ascii="Times New Roman" w:eastAsia="Times New Roman" w:hAnsi="Times New Roman" w:cs="Times New Roman"/>
        </w:rPr>
        <w:t>In several previous studies,</w:t>
      </w:r>
      <w:r w:rsidR="001F02CF">
        <w:rPr>
          <w:rFonts w:ascii="Times New Roman" w:eastAsia="Times New Roman" w:hAnsi="Times New Roman" w:cs="Times New Roman"/>
        </w:rPr>
        <w:t xml:space="preserve"> </w:t>
      </w:r>
      <w:proofErr w:type="spellStart"/>
      <w:r w:rsidR="001F02CF" w:rsidRPr="00EF17E5">
        <w:rPr>
          <w:rFonts w:ascii="Times New Roman" w:eastAsia="Times New Roman" w:hAnsi="Times New Roman" w:cs="Times New Roman"/>
        </w:rPr>
        <w:t>TyG</w:t>
      </w:r>
      <w:proofErr w:type="spellEnd"/>
      <w:r w:rsidR="001F02CF" w:rsidRPr="00EF17E5">
        <w:rPr>
          <w:rFonts w:ascii="Times New Roman" w:eastAsia="Times New Roman" w:hAnsi="Times New Roman" w:cs="Times New Roman"/>
        </w:rPr>
        <w:t xml:space="preserve"> index out-performed HOMO-IR in the Brazilian</w:t>
      </w:r>
      <w:r w:rsidR="001F02CF">
        <w:rPr>
          <w:rFonts w:ascii="Times New Roman" w:eastAsia="Times New Roman" w:hAnsi="Times New Roman" w:cs="Times New Roman"/>
        </w:rPr>
        <w:t xml:space="preserve"> </w:t>
      </w:r>
      <w:r w:rsidR="001F02CF" w:rsidRPr="00EF17E5">
        <w:rPr>
          <w:rFonts w:ascii="Times New Roman" w:eastAsia="Times New Roman" w:hAnsi="Times New Roman" w:cs="Times New Roman"/>
        </w:rPr>
        <w:t xml:space="preserve">population </w:t>
      </w:r>
      <w:r w:rsidR="001F02CF" w:rsidRPr="00EF17E5">
        <w:rPr>
          <w:rFonts w:ascii="Times New Roman" w:eastAsia="Times New Roman" w:hAnsi="Times New Roman" w:cs="Times New Roman"/>
          <w:vertAlign w:val="superscript"/>
        </w:rPr>
        <w:t>(1</w:t>
      </w:r>
      <w:r w:rsidR="001F02CF">
        <w:rPr>
          <w:rFonts w:ascii="Times New Roman" w:eastAsia="Times New Roman" w:hAnsi="Times New Roman" w:cs="Times New Roman"/>
          <w:vertAlign w:val="superscript"/>
        </w:rPr>
        <w:t>1</w:t>
      </w:r>
      <w:r w:rsidR="001F02CF" w:rsidRPr="00EF17E5">
        <w:rPr>
          <w:rFonts w:ascii="Times New Roman" w:eastAsia="Times New Roman" w:hAnsi="Times New Roman" w:cs="Times New Roman"/>
          <w:vertAlign w:val="superscript"/>
        </w:rPr>
        <w:t>)</w:t>
      </w:r>
      <w:r w:rsidR="001F02CF" w:rsidRPr="00EF17E5">
        <w:rPr>
          <w:rFonts w:ascii="Times New Roman" w:eastAsia="Times New Roman" w:hAnsi="Times New Roman" w:cs="Times New Roman"/>
        </w:rPr>
        <w:t xml:space="preserve"> and the Korean population </w:t>
      </w:r>
      <w:r w:rsidR="001F02CF" w:rsidRPr="00EF17E5">
        <w:rPr>
          <w:rFonts w:ascii="Times New Roman" w:eastAsia="Times New Roman" w:hAnsi="Times New Roman" w:cs="Times New Roman"/>
          <w:vertAlign w:val="superscript"/>
        </w:rPr>
        <w:t>(17)</w:t>
      </w:r>
      <w:r w:rsidR="001F02CF" w:rsidRPr="00EF17E5">
        <w:rPr>
          <w:rFonts w:ascii="Times New Roman" w:eastAsia="Times New Roman" w:hAnsi="Times New Roman" w:cs="Times New Roman"/>
        </w:rPr>
        <w:t xml:space="preserve"> in</w:t>
      </w:r>
      <w:r w:rsidR="001F02CF">
        <w:rPr>
          <w:rFonts w:ascii="Times New Roman" w:eastAsia="Times New Roman" w:hAnsi="Times New Roman" w:cs="Times New Roman"/>
        </w:rPr>
        <w:t xml:space="preserve"> </w:t>
      </w:r>
      <w:r w:rsidR="001F02CF" w:rsidRPr="00EF17E5">
        <w:rPr>
          <w:rFonts w:ascii="Times New Roman" w:eastAsia="Times New Roman" w:hAnsi="Times New Roman" w:cs="Times New Roman"/>
        </w:rPr>
        <w:t xml:space="preserve">predicting the risk of diabetes. Measurement of </w:t>
      </w:r>
      <w:proofErr w:type="spellStart"/>
      <w:r w:rsidR="001F02CF" w:rsidRPr="00EF17E5">
        <w:rPr>
          <w:rFonts w:ascii="Times New Roman" w:eastAsia="Times New Roman" w:hAnsi="Times New Roman" w:cs="Times New Roman"/>
        </w:rPr>
        <w:t>TyG</w:t>
      </w:r>
      <w:proofErr w:type="spellEnd"/>
      <w:r w:rsidR="001F02CF" w:rsidRPr="00EF17E5">
        <w:rPr>
          <w:rFonts w:ascii="Times New Roman" w:eastAsia="Times New Roman" w:hAnsi="Times New Roman" w:cs="Times New Roman"/>
        </w:rPr>
        <w:t xml:space="preserve"> is also</w:t>
      </w:r>
      <w:r w:rsidR="001F02CF">
        <w:rPr>
          <w:rFonts w:ascii="Times New Roman" w:eastAsia="Times New Roman" w:hAnsi="Times New Roman" w:cs="Times New Roman"/>
        </w:rPr>
        <w:t xml:space="preserve"> </w:t>
      </w:r>
      <w:r w:rsidR="001F02CF" w:rsidRPr="00EF17E5">
        <w:rPr>
          <w:rFonts w:ascii="Times New Roman" w:eastAsia="Times New Roman" w:hAnsi="Times New Roman" w:cs="Times New Roman"/>
        </w:rPr>
        <w:t xml:space="preserve">cheap and convenient </w:t>
      </w:r>
      <w:r w:rsidR="001F02CF" w:rsidRPr="00EF17E5">
        <w:rPr>
          <w:rFonts w:ascii="Times New Roman" w:eastAsia="Times New Roman" w:hAnsi="Times New Roman" w:cs="Times New Roman"/>
          <w:vertAlign w:val="superscript"/>
        </w:rPr>
        <w:t>(1</w:t>
      </w:r>
      <w:r w:rsidR="001F02CF">
        <w:rPr>
          <w:rFonts w:ascii="Times New Roman" w:eastAsia="Times New Roman" w:hAnsi="Times New Roman" w:cs="Times New Roman"/>
          <w:vertAlign w:val="superscript"/>
        </w:rPr>
        <w:t>2</w:t>
      </w:r>
      <w:r w:rsidR="001F02CF" w:rsidRPr="00EF17E5">
        <w:rPr>
          <w:rFonts w:ascii="Times New Roman" w:eastAsia="Times New Roman" w:hAnsi="Times New Roman" w:cs="Times New Roman"/>
          <w:vertAlign w:val="superscript"/>
        </w:rPr>
        <w:t>),</w:t>
      </w:r>
      <w:r w:rsidR="001F02CF" w:rsidRPr="00EF17E5">
        <w:rPr>
          <w:rFonts w:ascii="Times New Roman" w:eastAsia="Times New Roman" w:hAnsi="Times New Roman" w:cs="Times New Roman"/>
        </w:rPr>
        <w:t xml:space="preserve"> which is more accessible in</w:t>
      </w:r>
      <w:r w:rsidR="001F02CF">
        <w:rPr>
          <w:rFonts w:ascii="Times New Roman" w:eastAsia="Times New Roman" w:hAnsi="Times New Roman" w:cs="Times New Roman"/>
        </w:rPr>
        <w:t xml:space="preserve"> </w:t>
      </w:r>
      <w:r w:rsidR="001F02CF" w:rsidRPr="00EF17E5">
        <w:rPr>
          <w:rFonts w:ascii="Times New Roman" w:eastAsia="Times New Roman" w:hAnsi="Times New Roman" w:cs="Times New Roman"/>
        </w:rPr>
        <w:t>outpatient settings, and could be a screening tool for large</w:t>
      </w:r>
      <w:r w:rsidR="001F02CF">
        <w:rPr>
          <w:rFonts w:ascii="Times New Roman" w:eastAsia="Times New Roman" w:hAnsi="Times New Roman" w:cs="Times New Roman"/>
        </w:rPr>
        <w:t xml:space="preserve"> </w:t>
      </w:r>
      <w:r w:rsidR="001F02CF" w:rsidRPr="00EF17E5">
        <w:rPr>
          <w:rFonts w:ascii="Times New Roman" w:eastAsia="Times New Roman" w:hAnsi="Times New Roman" w:cs="Times New Roman"/>
        </w:rPr>
        <w:t>populations.</w:t>
      </w:r>
    </w:p>
    <w:p w14:paraId="2D65F07C" w14:textId="5F291B9E" w:rsidR="00C340B0" w:rsidRDefault="00C340B0">
      <w:pPr>
        <w:pStyle w:val="Normal1"/>
        <w:jc w:val="both"/>
        <w:rPr>
          <w:rFonts w:ascii="Times New Roman" w:eastAsia="Times New Roman" w:hAnsi="Times New Roman" w:cs="Times New Roman"/>
        </w:rPr>
      </w:pPr>
    </w:p>
    <w:p w14:paraId="4008593B" w14:textId="3512D61C" w:rsidR="0054317B" w:rsidRPr="00ED08C3" w:rsidRDefault="0054317B" w:rsidP="0054317B">
      <w:pPr>
        <w:pStyle w:val="Normal1"/>
        <w:jc w:val="both"/>
        <w:rPr>
          <w:rFonts w:ascii="Times New Roman" w:eastAsia="Times New Roman" w:hAnsi="Times New Roman" w:cs="Times New Roman"/>
          <w:color w:val="000000" w:themeColor="text1"/>
        </w:rPr>
      </w:pPr>
      <w:proofErr w:type="spellStart"/>
      <w:r w:rsidRPr="00ED08C3">
        <w:rPr>
          <w:rFonts w:ascii="Times New Roman" w:eastAsia="Times New Roman" w:hAnsi="Times New Roman" w:cs="Times New Roman"/>
          <w:color w:val="000000" w:themeColor="text1"/>
        </w:rPr>
        <w:t>Pazhohan</w:t>
      </w:r>
      <w:proofErr w:type="spellEnd"/>
      <w:r w:rsidRPr="00ED08C3">
        <w:rPr>
          <w:rFonts w:ascii="Times New Roman" w:eastAsia="Times New Roman" w:hAnsi="Times New Roman" w:cs="Times New Roman"/>
          <w:color w:val="000000" w:themeColor="text1"/>
        </w:rPr>
        <w:t xml:space="preserve"> et al. showed that there was a significant association between the increase in F</w:t>
      </w:r>
      <w:r w:rsidR="00DA7133">
        <w:rPr>
          <w:rFonts w:ascii="Times New Roman" w:eastAsia="Times New Roman" w:hAnsi="Times New Roman" w:cs="Times New Roman"/>
          <w:color w:val="000000" w:themeColor="text1"/>
        </w:rPr>
        <w:t xml:space="preserve">asting </w:t>
      </w:r>
      <w:r w:rsidRPr="00ED08C3">
        <w:rPr>
          <w:rFonts w:ascii="Times New Roman" w:eastAsia="Times New Roman" w:hAnsi="Times New Roman" w:cs="Times New Roman"/>
          <w:color w:val="000000" w:themeColor="text1"/>
        </w:rPr>
        <w:t>P</w:t>
      </w:r>
      <w:r w:rsidR="00DA7133">
        <w:rPr>
          <w:rFonts w:ascii="Times New Roman" w:eastAsia="Times New Roman" w:hAnsi="Times New Roman" w:cs="Times New Roman"/>
          <w:color w:val="000000" w:themeColor="text1"/>
        </w:rPr>
        <w:t xml:space="preserve">lasma </w:t>
      </w:r>
      <w:proofErr w:type="spellStart"/>
      <w:r w:rsidRPr="00ED08C3">
        <w:rPr>
          <w:rFonts w:ascii="Times New Roman" w:eastAsia="Times New Roman" w:hAnsi="Times New Roman" w:cs="Times New Roman"/>
          <w:color w:val="000000" w:themeColor="text1"/>
        </w:rPr>
        <w:t>G</w:t>
      </w:r>
      <w:r w:rsidR="00DA7133">
        <w:rPr>
          <w:rFonts w:ascii="Times New Roman" w:eastAsia="Times New Roman" w:hAnsi="Times New Roman" w:cs="Times New Roman"/>
          <w:color w:val="000000" w:themeColor="text1"/>
        </w:rPr>
        <w:t>lusoce</w:t>
      </w:r>
      <w:proofErr w:type="spellEnd"/>
      <w:r w:rsidRPr="00ED08C3">
        <w:rPr>
          <w:rFonts w:ascii="Times New Roman" w:eastAsia="Times New Roman" w:hAnsi="Times New Roman" w:cs="Times New Roman"/>
          <w:color w:val="000000" w:themeColor="text1"/>
        </w:rPr>
        <w:t xml:space="preserve">, triglycerides, TG /HDL-C ratio, and increase in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and the risk of GDM </w:t>
      </w:r>
      <w:r w:rsidRPr="00DA7133">
        <w:rPr>
          <w:rFonts w:ascii="Times New Roman" w:eastAsia="Times New Roman" w:hAnsi="Times New Roman" w:cs="Times New Roman"/>
          <w:color w:val="000000" w:themeColor="text1"/>
          <w:sz w:val="21"/>
          <w:szCs w:val="21"/>
          <w:vertAlign w:val="superscript"/>
        </w:rPr>
        <w:t>[14</w:t>
      </w:r>
      <w:r w:rsidRPr="00ED08C3">
        <w:rPr>
          <w:rFonts w:ascii="Times New Roman" w:eastAsia="Times New Roman" w:hAnsi="Times New Roman" w:cs="Times New Roman"/>
          <w:color w:val="000000" w:themeColor="text1"/>
        </w:rPr>
        <w:t xml:space="preserve">]. Liu et al. found the first trimester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to be higher in the GDM group, and the risk of developing GDM was 3.53-fold higher in high </w:t>
      </w:r>
      <w:proofErr w:type="spellStart"/>
      <w:r w:rsidRPr="00ED08C3">
        <w:rPr>
          <w:rFonts w:ascii="Times New Roman" w:eastAsia="Times New Roman" w:hAnsi="Times New Roman" w:cs="Times New Roman"/>
          <w:color w:val="000000" w:themeColor="text1"/>
        </w:rPr>
        <w:t>tertiles</w:t>
      </w:r>
      <w:proofErr w:type="spellEnd"/>
      <w:r w:rsidRPr="00ED08C3">
        <w:rPr>
          <w:rFonts w:ascii="Times New Roman" w:eastAsia="Times New Roman" w:hAnsi="Times New Roman" w:cs="Times New Roman"/>
          <w:color w:val="000000" w:themeColor="text1"/>
        </w:rPr>
        <w:t xml:space="preserve"> compared to reference </w:t>
      </w:r>
      <w:proofErr w:type="spellStart"/>
      <w:r w:rsidRPr="00ED08C3">
        <w:rPr>
          <w:rFonts w:ascii="Times New Roman" w:eastAsia="Times New Roman" w:hAnsi="Times New Roman" w:cs="Times New Roman"/>
          <w:color w:val="000000" w:themeColor="text1"/>
        </w:rPr>
        <w:t>tertiles</w:t>
      </w:r>
      <w:proofErr w:type="spellEnd"/>
      <w:r w:rsidRPr="00ED08C3">
        <w:rPr>
          <w:rFonts w:ascii="Times New Roman" w:eastAsia="Times New Roman" w:hAnsi="Times New Roman" w:cs="Times New Roman"/>
          <w:color w:val="000000" w:themeColor="text1"/>
        </w:rPr>
        <w:t xml:space="preserve"> </w:t>
      </w:r>
      <w:r w:rsidRPr="00DA7133">
        <w:rPr>
          <w:rFonts w:ascii="Times New Roman" w:eastAsia="Times New Roman" w:hAnsi="Times New Roman" w:cs="Times New Roman"/>
          <w:color w:val="000000" w:themeColor="text1"/>
          <w:vertAlign w:val="superscript"/>
        </w:rPr>
        <w:t>[13].</w:t>
      </w:r>
      <w:r w:rsidRPr="00ED08C3">
        <w:rPr>
          <w:rFonts w:ascii="Times New Roman" w:eastAsia="Times New Roman" w:hAnsi="Times New Roman" w:cs="Times New Roman"/>
          <w:color w:val="000000" w:themeColor="text1"/>
        </w:rPr>
        <w:t xml:space="preserve"> Sánchez-García et al. showed that the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in the second trimester shows high sensitivity and negative predictive value in the diagnosis of GDM and can be used as a screening strategy to reduce the need for OGTT </w:t>
      </w:r>
      <w:r w:rsidRPr="00DA7133">
        <w:rPr>
          <w:rFonts w:ascii="Times New Roman" w:eastAsia="Times New Roman" w:hAnsi="Times New Roman" w:cs="Times New Roman"/>
          <w:color w:val="000000" w:themeColor="text1"/>
          <w:vertAlign w:val="superscript"/>
        </w:rPr>
        <w:t>[15].</w:t>
      </w:r>
      <w:r w:rsidRPr="00ED08C3">
        <w:rPr>
          <w:rFonts w:ascii="Times New Roman" w:eastAsia="Times New Roman" w:hAnsi="Times New Roman" w:cs="Times New Roman"/>
          <w:color w:val="000000" w:themeColor="text1"/>
        </w:rPr>
        <w:t xml:space="preserve"> Recently, a cohort study by Kim et al examined the association between pre-pregnancy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and GDM and found a significant association in primiparous women </w:t>
      </w:r>
      <w:r w:rsidRPr="00DA7133">
        <w:rPr>
          <w:rFonts w:ascii="Times New Roman" w:eastAsia="Times New Roman" w:hAnsi="Times New Roman" w:cs="Times New Roman"/>
          <w:color w:val="000000" w:themeColor="text1"/>
          <w:vertAlign w:val="superscript"/>
        </w:rPr>
        <w:t>[17].</w:t>
      </w:r>
      <w:r w:rsidRPr="00ED08C3">
        <w:rPr>
          <w:rFonts w:ascii="Times New Roman" w:eastAsia="Times New Roman" w:hAnsi="Times New Roman" w:cs="Times New Roman"/>
          <w:color w:val="000000" w:themeColor="text1"/>
        </w:rPr>
        <w:t xml:space="preserve"> Although Sánchez-García et al. did not find a significant association between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in </w:t>
      </w:r>
      <w:proofErr w:type="spellStart"/>
      <w:r w:rsidRPr="00ED08C3">
        <w:rPr>
          <w:rFonts w:ascii="Times New Roman" w:eastAsia="Times New Roman" w:hAnsi="Times New Roman" w:cs="Times New Roman"/>
          <w:color w:val="000000" w:themeColor="text1"/>
        </w:rPr>
        <w:t>he</w:t>
      </w:r>
      <w:proofErr w:type="spellEnd"/>
      <w:r w:rsidRPr="00ED08C3">
        <w:rPr>
          <w:rFonts w:ascii="Times New Roman" w:eastAsia="Times New Roman" w:hAnsi="Times New Roman" w:cs="Times New Roman"/>
          <w:color w:val="000000" w:themeColor="text1"/>
        </w:rPr>
        <w:t xml:space="preserve"> first trimester and GDM, they found a significant association in the second trimester </w:t>
      </w:r>
      <w:r w:rsidRPr="00DA7133">
        <w:rPr>
          <w:rFonts w:ascii="Times New Roman" w:eastAsia="Times New Roman" w:hAnsi="Times New Roman" w:cs="Times New Roman"/>
          <w:color w:val="000000" w:themeColor="text1"/>
          <w:vertAlign w:val="superscript"/>
        </w:rPr>
        <w:t>[15, 16].</w:t>
      </w:r>
      <w:r w:rsidRPr="00ED08C3">
        <w:rPr>
          <w:rFonts w:ascii="Times New Roman" w:eastAsia="Times New Roman" w:hAnsi="Times New Roman" w:cs="Times New Roman"/>
          <w:color w:val="000000" w:themeColor="text1"/>
        </w:rPr>
        <w:t xml:space="preserve"> This difference may be due to differences in the study population such as maternal age, racial and </w:t>
      </w:r>
      <w:proofErr w:type="spellStart"/>
      <w:r w:rsidRPr="00ED08C3">
        <w:rPr>
          <w:rFonts w:ascii="Times New Roman" w:eastAsia="Times New Roman" w:hAnsi="Times New Roman" w:cs="Times New Roman"/>
          <w:color w:val="000000" w:themeColor="text1"/>
        </w:rPr>
        <w:t>ethni</w:t>
      </w:r>
      <w:proofErr w:type="spellEnd"/>
      <w:r w:rsidRPr="00ED08C3">
        <w:rPr>
          <w:rFonts w:ascii="Times New Roman" w:eastAsia="Times New Roman" w:hAnsi="Times New Roman" w:cs="Times New Roman"/>
          <w:color w:val="000000" w:themeColor="text1"/>
        </w:rPr>
        <w:t xml:space="preserve"> differences, geographical characteristics, and BMI. In a meta-analysis by Song et al, women with the highest </w:t>
      </w:r>
      <w:proofErr w:type="spellStart"/>
      <w:r w:rsidRPr="00ED08C3">
        <w:rPr>
          <w:rFonts w:ascii="Times New Roman" w:eastAsia="Times New Roman" w:hAnsi="Times New Roman" w:cs="Times New Roman"/>
          <w:color w:val="000000" w:themeColor="text1"/>
        </w:rPr>
        <w:t>TyG</w:t>
      </w:r>
      <w:proofErr w:type="spellEnd"/>
      <w:r w:rsidRPr="00ED08C3">
        <w:rPr>
          <w:rFonts w:ascii="Times New Roman" w:eastAsia="Times New Roman" w:hAnsi="Times New Roman" w:cs="Times New Roman"/>
          <w:color w:val="000000" w:themeColor="text1"/>
        </w:rPr>
        <w:t xml:space="preserve"> index independently have a higher risk of GDM </w:t>
      </w:r>
      <w:r w:rsidRPr="00DA7133">
        <w:rPr>
          <w:rFonts w:ascii="Times New Roman" w:eastAsia="Times New Roman" w:hAnsi="Times New Roman" w:cs="Times New Roman"/>
          <w:color w:val="000000" w:themeColor="text1"/>
          <w:vertAlign w:val="superscript"/>
        </w:rPr>
        <w:t>[18].</w:t>
      </w:r>
    </w:p>
    <w:p w14:paraId="493705FD" w14:textId="77777777" w:rsidR="001F02CF" w:rsidRDefault="001F02CF">
      <w:pPr>
        <w:pStyle w:val="Normal1"/>
        <w:jc w:val="both"/>
        <w:rPr>
          <w:rFonts w:ascii="Times New Roman" w:eastAsia="Times New Roman" w:hAnsi="Times New Roman" w:cs="Times New Roman"/>
        </w:rPr>
      </w:pPr>
    </w:p>
    <w:p w14:paraId="65AFE4A1" w14:textId="375CB18B" w:rsidR="004E31A5" w:rsidRDefault="004E31A5" w:rsidP="004E31A5">
      <w:pPr>
        <w:pStyle w:val="Normal1"/>
        <w:jc w:val="both"/>
        <w:rPr>
          <w:rFonts w:ascii="Times New Roman" w:eastAsia="Times New Roman" w:hAnsi="Times New Roman" w:cs="Times New Roman"/>
        </w:rPr>
      </w:pPr>
      <w:r w:rsidRPr="00986667">
        <w:rPr>
          <w:rFonts w:ascii="Times New Roman" w:eastAsia="Times New Roman" w:hAnsi="Times New Roman" w:cs="Times New Roman"/>
        </w:rPr>
        <w:t>In the Philippines, where cultural and healthcare factors may influence the prevalence and management of gestational diabetes, there is a need for more effective and culturally tailored screening methods. Biomarkers, such as the Triglyceride Glucose</w:t>
      </w:r>
      <w:r w:rsidR="00A4425D">
        <w:rPr>
          <w:rFonts w:ascii="Times New Roman" w:eastAsia="Times New Roman" w:hAnsi="Times New Roman" w:cs="Times New Roman"/>
        </w:rPr>
        <w:t xml:space="preserve"> </w:t>
      </w:r>
      <w:r w:rsidR="00A4425D" w:rsidRPr="00986667">
        <w:rPr>
          <w:rFonts w:ascii="Times New Roman" w:eastAsia="Times New Roman" w:hAnsi="Times New Roman" w:cs="Times New Roman"/>
        </w:rPr>
        <w:t>(</w:t>
      </w:r>
      <w:proofErr w:type="spellStart"/>
      <w:r w:rsidR="00A4425D" w:rsidRPr="00986667">
        <w:rPr>
          <w:rFonts w:ascii="Times New Roman" w:eastAsia="Times New Roman" w:hAnsi="Times New Roman" w:cs="Times New Roman"/>
        </w:rPr>
        <w:t>Ty</w:t>
      </w:r>
      <w:r w:rsidR="00A4425D">
        <w:rPr>
          <w:rFonts w:ascii="Times New Roman" w:eastAsia="Times New Roman" w:hAnsi="Times New Roman" w:cs="Times New Roman"/>
        </w:rPr>
        <w:t>G</w:t>
      </w:r>
      <w:proofErr w:type="spellEnd"/>
      <w:r w:rsidR="00A4425D">
        <w:rPr>
          <w:rFonts w:ascii="Times New Roman" w:eastAsia="Times New Roman" w:hAnsi="Times New Roman" w:cs="Times New Roman"/>
        </w:rPr>
        <w:t>)</w:t>
      </w:r>
      <w:r w:rsidRPr="00986667">
        <w:rPr>
          <w:rFonts w:ascii="Times New Roman" w:eastAsia="Times New Roman" w:hAnsi="Times New Roman" w:cs="Times New Roman"/>
        </w:rPr>
        <w:t xml:space="preserve"> Index</w:t>
      </w:r>
      <w:r w:rsidR="00A4425D">
        <w:rPr>
          <w:rFonts w:ascii="Times New Roman" w:eastAsia="Times New Roman" w:hAnsi="Times New Roman" w:cs="Times New Roman"/>
        </w:rPr>
        <w:t xml:space="preserve">, </w:t>
      </w:r>
      <w:r w:rsidRPr="00986667">
        <w:rPr>
          <w:rFonts w:ascii="Times New Roman" w:eastAsia="Times New Roman" w:hAnsi="Times New Roman" w:cs="Times New Roman"/>
        </w:rPr>
        <w:t>have emerged as potential tools for predicting diabetes risk. However, their specific role in the context of gestational diabetes among Filipino patients remains understudied.</w:t>
      </w:r>
      <w:r>
        <w:rPr>
          <w:rFonts w:ascii="Times New Roman" w:eastAsia="Times New Roman" w:hAnsi="Times New Roman" w:cs="Times New Roman"/>
        </w:rPr>
        <w:t xml:space="preserve"> </w:t>
      </w:r>
    </w:p>
    <w:p w14:paraId="458AA1BC" w14:textId="77777777" w:rsidR="004E31A5" w:rsidRDefault="004E31A5">
      <w:pPr>
        <w:pStyle w:val="Normal1"/>
        <w:jc w:val="both"/>
        <w:rPr>
          <w:rFonts w:ascii="Times New Roman" w:eastAsia="Times New Roman" w:hAnsi="Times New Roman" w:cs="Times New Roman"/>
        </w:rPr>
      </w:pPr>
    </w:p>
    <w:p w14:paraId="3E6DCBE6" w14:textId="58A0A6DE" w:rsidR="00986667" w:rsidRDefault="00A41E19">
      <w:pPr>
        <w:pStyle w:val="Normal1"/>
        <w:jc w:val="both"/>
        <w:rPr>
          <w:rFonts w:ascii="Times New Roman" w:eastAsia="Times New Roman" w:hAnsi="Times New Roman" w:cs="Times New Roman"/>
        </w:rPr>
      </w:pPr>
      <w:r w:rsidRPr="00A41E19">
        <w:rPr>
          <w:rFonts w:ascii="Times New Roman" w:eastAsia="Times New Roman" w:hAnsi="Times New Roman" w:cs="Times New Roman"/>
        </w:rPr>
        <w:t xml:space="preserve">This study aims to bridge this knowledge gap by investigating the predictive value of the </w:t>
      </w:r>
      <w:proofErr w:type="spellStart"/>
      <w:r w:rsidRPr="00A41E19">
        <w:rPr>
          <w:rFonts w:ascii="Times New Roman" w:eastAsia="Times New Roman" w:hAnsi="Times New Roman" w:cs="Times New Roman"/>
        </w:rPr>
        <w:t>TyG</w:t>
      </w:r>
      <w:proofErr w:type="spellEnd"/>
      <w:r w:rsidRPr="00A41E19">
        <w:rPr>
          <w:rFonts w:ascii="Times New Roman" w:eastAsia="Times New Roman" w:hAnsi="Times New Roman" w:cs="Times New Roman"/>
        </w:rPr>
        <w:t xml:space="preserve"> Index in identifying gestational diabetes risk in a cohort of Filipino pregnant women. Through a prospective cohort design, we will assess longitudinal changes in </w:t>
      </w:r>
      <w:proofErr w:type="spellStart"/>
      <w:r w:rsidRPr="00A41E19">
        <w:rPr>
          <w:rFonts w:ascii="Times New Roman" w:eastAsia="Times New Roman" w:hAnsi="Times New Roman" w:cs="Times New Roman"/>
        </w:rPr>
        <w:t>TyG</w:t>
      </w:r>
      <w:proofErr w:type="spellEnd"/>
      <w:r w:rsidRPr="00A41E19">
        <w:rPr>
          <w:rFonts w:ascii="Times New Roman" w:eastAsia="Times New Roman" w:hAnsi="Times New Roman" w:cs="Times New Roman"/>
        </w:rPr>
        <w:t xml:space="preserve"> Index values, correlate them with established gestational diabetes diagnostic methods, and explore associations with maternal and neonatal outcomes. The findings of this study are expected to enhance our understanding of gestational diabetes risk factors in the Filipino population and contribute to the development of more effective screening and intervention strategies tailored to this specific demographic.</w:t>
      </w:r>
    </w:p>
    <w:p w14:paraId="4633FF3B" w14:textId="686F9FF4" w:rsidR="009A0C07" w:rsidRDefault="009A0C07">
      <w:pPr>
        <w:pStyle w:val="Normal1"/>
        <w:jc w:val="both"/>
        <w:rPr>
          <w:rFonts w:ascii="Times New Roman" w:eastAsia="Times New Roman" w:hAnsi="Times New Roman" w:cs="Times New Roman"/>
        </w:rPr>
      </w:pPr>
    </w:p>
    <w:p w14:paraId="1D1BECC8" w14:textId="77777777" w:rsidR="009A0C07" w:rsidRDefault="009A0C07">
      <w:pPr>
        <w:pStyle w:val="Normal1"/>
        <w:jc w:val="both"/>
        <w:rPr>
          <w:rFonts w:ascii="Times New Roman" w:eastAsia="Times New Roman" w:hAnsi="Times New Roman" w:cs="Times New Roman"/>
        </w:rPr>
      </w:pPr>
    </w:p>
    <w:p w14:paraId="205149F4" w14:textId="77777777" w:rsidR="008379C8" w:rsidRDefault="008379C8">
      <w:pPr>
        <w:pStyle w:val="Normal1"/>
        <w:jc w:val="both"/>
        <w:rPr>
          <w:rFonts w:ascii="Times New Roman" w:eastAsia="Times New Roman" w:hAnsi="Times New Roman" w:cs="Times New Roman"/>
          <w:b/>
          <w:u w:val="single"/>
        </w:rPr>
      </w:pPr>
    </w:p>
    <w:p w14:paraId="284A389A" w14:textId="77777777" w:rsidR="008379C8" w:rsidRDefault="008379C8">
      <w:pPr>
        <w:pStyle w:val="Normal1"/>
        <w:jc w:val="both"/>
        <w:rPr>
          <w:rFonts w:ascii="Times New Roman" w:eastAsia="Times New Roman" w:hAnsi="Times New Roman" w:cs="Times New Roman"/>
          <w:b/>
          <w:u w:val="single"/>
        </w:rPr>
      </w:pPr>
    </w:p>
    <w:p w14:paraId="0196C69C" w14:textId="47155F4E" w:rsidR="008379C8" w:rsidRDefault="008379C8">
      <w:pPr>
        <w:pStyle w:val="Normal1"/>
        <w:jc w:val="both"/>
        <w:rPr>
          <w:rFonts w:ascii="Times New Roman" w:eastAsia="Times New Roman" w:hAnsi="Times New Roman" w:cs="Times New Roman"/>
          <w:b/>
          <w:u w:val="single"/>
        </w:rPr>
      </w:pPr>
    </w:p>
    <w:p w14:paraId="19F61293" w14:textId="10333FB6" w:rsidR="001F02CF" w:rsidRDefault="001F02CF">
      <w:pPr>
        <w:pStyle w:val="Normal1"/>
        <w:jc w:val="both"/>
        <w:rPr>
          <w:rFonts w:ascii="Times New Roman" w:eastAsia="Times New Roman" w:hAnsi="Times New Roman" w:cs="Times New Roman"/>
          <w:b/>
          <w:u w:val="single"/>
        </w:rPr>
      </w:pPr>
    </w:p>
    <w:p w14:paraId="191FE656" w14:textId="77777777" w:rsidR="001F02CF" w:rsidRDefault="001F02CF">
      <w:pPr>
        <w:pStyle w:val="Normal1"/>
        <w:jc w:val="both"/>
        <w:rPr>
          <w:rFonts w:ascii="Times New Roman" w:eastAsia="Times New Roman" w:hAnsi="Times New Roman" w:cs="Times New Roman"/>
          <w:b/>
          <w:u w:val="single"/>
        </w:rPr>
      </w:pPr>
    </w:p>
    <w:p w14:paraId="1C1CB8D3" w14:textId="77777777" w:rsidR="008379C8" w:rsidRDefault="008379C8">
      <w:pPr>
        <w:pStyle w:val="Normal1"/>
        <w:jc w:val="both"/>
        <w:rPr>
          <w:rFonts w:ascii="Times New Roman" w:eastAsia="Times New Roman" w:hAnsi="Times New Roman" w:cs="Times New Roman"/>
          <w:b/>
          <w:u w:val="single"/>
        </w:rPr>
      </w:pPr>
    </w:p>
    <w:p w14:paraId="728F5602" w14:textId="104E04D9" w:rsidR="00C248B7" w:rsidRPr="00E93F13" w:rsidRDefault="009820E1">
      <w:pPr>
        <w:pStyle w:val="Normal1"/>
        <w:jc w:val="both"/>
        <w:rPr>
          <w:rFonts w:ascii="Times New Roman" w:eastAsia="Times New Roman" w:hAnsi="Times New Roman" w:cs="Times New Roman"/>
          <w:b/>
          <w:u w:val="single"/>
        </w:rPr>
      </w:pPr>
      <w:r w:rsidRPr="00E93F13">
        <w:rPr>
          <w:rFonts w:ascii="Times New Roman" w:eastAsia="Times New Roman" w:hAnsi="Times New Roman" w:cs="Times New Roman"/>
          <w:b/>
          <w:u w:val="single"/>
        </w:rPr>
        <w:lastRenderedPageBreak/>
        <w:t>OBJECTIVES</w:t>
      </w:r>
    </w:p>
    <w:p w14:paraId="0FAC07A1" w14:textId="14EB3A47" w:rsidR="008379C8" w:rsidRPr="008379C8" w:rsidRDefault="009820E1" w:rsidP="008379C8">
      <w:pPr>
        <w:pStyle w:val="Normal1"/>
        <w:jc w:val="both"/>
        <w:rPr>
          <w:rFonts w:ascii="Times New Roman" w:eastAsia="Times New Roman" w:hAnsi="Times New Roman" w:cs="Times New Roman"/>
          <w:b/>
        </w:rPr>
      </w:pPr>
      <w:r>
        <w:rPr>
          <w:rFonts w:ascii="Times New Roman" w:eastAsia="Times New Roman" w:hAnsi="Times New Roman" w:cs="Times New Roman"/>
          <w:b/>
        </w:rPr>
        <w:t>General</w:t>
      </w:r>
    </w:p>
    <w:p w14:paraId="1CEA40B8" w14:textId="0C3E3904" w:rsidR="00DD5454" w:rsidRDefault="008379C8">
      <w:pPr>
        <w:pStyle w:val="Normal1"/>
        <w:jc w:val="both"/>
        <w:rPr>
          <w:rFonts w:ascii="Times New Roman" w:eastAsia="Times New Roman" w:hAnsi="Times New Roman" w:cs="Times New Roman"/>
          <w:lang w:val="en-US"/>
        </w:rPr>
      </w:pPr>
      <w:r w:rsidRPr="008379C8">
        <w:rPr>
          <w:rFonts w:ascii="Times New Roman" w:eastAsia="Times New Roman" w:hAnsi="Times New Roman" w:cs="Times New Roman"/>
          <w:bCs/>
        </w:rPr>
        <w:t>To investigate the predictive value of Triglyceride Glucose (</w:t>
      </w:r>
      <w:proofErr w:type="spellStart"/>
      <w:r w:rsidRPr="008379C8">
        <w:rPr>
          <w:rFonts w:ascii="Times New Roman" w:eastAsia="Times New Roman" w:hAnsi="Times New Roman" w:cs="Times New Roman"/>
          <w:bCs/>
        </w:rPr>
        <w:t>TyG</w:t>
      </w:r>
      <w:proofErr w:type="spellEnd"/>
      <w:r w:rsidRPr="008379C8">
        <w:rPr>
          <w:rFonts w:ascii="Times New Roman" w:eastAsia="Times New Roman" w:hAnsi="Times New Roman" w:cs="Times New Roman"/>
          <w:bCs/>
        </w:rPr>
        <w:t>) Index measured during the first trimester for the early identification of Gestational Diabetes Mellitus (GDM) among Filipino women.</w:t>
      </w:r>
    </w:p>
    <w:p w14:paraId="510C872B" w14:textId="77777777" w:rsidR="00DD5454" w:rsidRDefault="00DD5454">
      <w:pPr>
        <w:pStyle w:val="Normal1"/>
        <w:jc w:val="both"/>
        <w:rPr>
          <w:rFonts w:ascii="Times New Roman" w:eastAsia="Times New Roman" w:hAnsi="Times New Roman" w:cs="Times New Roman"/>
        </w:rPr>
      </w:pPr>
    </w:p>
    <w:p w14:paraId="117335D1" w14:textId="4A1DF5CA" w:rsidR="005B34BC" w:rsidRDefault="009820E1">
      <w:pPr>
        <w:pStyle w:val="Normal1"/>
        <w:jc w:val="both"/>
        <w:rPr>
          <w:rFonts w:ascii="Times New Roman" w:eastAsia="Times New Roman" w:hAnsi="Times New Roman" w:cs="Times New Roman"/>
          <w:b/>
        </w:rPr>
      </w:pPr>
      <w:r>
        <w:rPr>
          <w:rFonts w:ascii="Times New Roman" w:eastAsia="Times New Roman" w:hAnsi="Times New Roman" w:cs="Times New Roman"/>
          <w:b/>
        </w:rPr>
        <w:t>Specific</w:t>
      </w:r>
    </w:p>
    <w:p w14:paraId="6B74D6E8" w14:textId="5CD6237A" w:rsidR="008379C8" w:rsidRPr="008379C8" w:rsidRDefault="008379C8" w:rsidP="008379C8">
      <w:pPr>
        <w:pStyle w:val="Normal1"/>
        <w:jc w:val="both"/>
        <w:rPr>
          <w:rFonts w:ascii="Times New Roman" w:eastAsia="Times New Roman" w:hAnsi="Times New Roman" w:cs="Times New Roman"/>
          <w:bCs/>
        </w:rPr>
      </w:pPr>
      <w:r>
        <w:rPr>
          <w:rFonts w:ascii="Times New Roman" w:eastAsia="Times New Roman" w:hAnsi="Times New Roman" w:cs="Times New Roman"/>
          <w:bCs/>
        </w:rPr>
        <w:t xml:space="preserve">1) </w:t>
      </w:r>
      <w:r w:rsidRPr="008379C8">
        <w:rPr>
          <w:rFonts w:ascii="Times New Roman" w:eastAsia="Times New Roman" w:hAnsi="Times New Roman" w:cs="Times New Roman"/>
          <w:bCs/>
        </w:rPr>
        <w:t xml:space="preserve">Determine the association between </w:t>
      </w:r>
      <w:proofErr w:type="spellStart"/>
      <w:r w:rsidRPr="008379C8">
        <w:rPr>
          <w:rFonts w:ascii="Times New Roman" w:eastAsia="Times New Roman" w:hAnsi="Times New Roman" w:cs="Times New Roman"/>
          <w:bCs/>
        </w:rPr>
        <w:t>TyG</w:t>
      </w:r>
      <w:proofErr w:type="spellEnd"/>
      <w:r w:rsidRPr="008379C8">
        <w:rPr>
          <w:rFonts w:ascii="Times New Roman" w:eastAsia="Times New Roman" w:hAnsi="Times New Roman" w:cs="Times New Roman"/>
          <w:bCs/>
        </w:rPr>
        <w:t xml:space="preserve"> Index levels measured during the first trimester and the incidence of Gestational Diabetes Mellitus (GDM) among </w:t>
      </w:r>
      <w:r>
        <w:rPr>
          <w:rFonts w:ascii="Times New Roman" w:eastAsia="Times New Roman" w:hAnsi="Times New Roman" w:cs="Times New Roman"/>
          <w:bCs/>
        </w:rPr>
        <w:t xml:space="preserve">healthy </w:t>
      </w:r>
      <w:r w:rsidRPr="008379C8">
        <w:rPr>
          <w:rFonts w:ascii="Times New Roman" w:eastAsia="Times New Roman" w:hAnsi="Times New Roman" w:cs="Times New Roman"/>
          <w:bCs/>
        </w:rPr>
        <w:t>pregnant Filipino women</w:t>
      </w:r>
      <w:r>
        <w:rPr>
          <w:rFonts w:ascii="Times New Roman" w:eastAsia="Times New Roman" w:hAnsi="Times New Roman" w:cs="Times New Roman"/>
          <w:bCs/>
        </w:rPr>
        <w:t xml:space="preserve"> seen in a tertiary hospital in the Philippines from April 2024 to December 2024. </w:t>
      </w:r>
    </w:p>
    <w:p w14:paraId="7C656987" w14:textId="2876C68B" w:rsidR="008379C8" w:rsidRPr="008379C8" w:rsidRDefault="008379C8" w:rsidP="008379C8">
      <w:pPr>
        <w:pStyle w:val="Normal1"/>
        <w:jc w:val="both"/>
        <w:rPr>
          <w:rFonts w:ascii="Times New Roman" w:eastAsia="Times New Roman" w:hAnsi="Times New Roman" w:cs="Times New Roman"/>
          <w:bCs/>
        </w:rPr>
      </w:pPr>
      <w:r>
        <w:rPr>
          <w:rFonts w:ascii="Times New Roman" w:eastAsia="Times New Roman" w:hAnsi="Times New Roman" w:cs="Times New Roman"/>
          <w:bCs/>
        </w:rPr>
        <w:t xml:space="preserve">2) </w:t>
      </w:r>
      <w:r w:rsidRPr="008379C8">
        <w:rPr>
          <w:rFonts w:ascii="Times New Roman" w:eastAsia="Times New Roman" w:hAnsi="Times New Roman" w:cs="Times New Roman"/>
          <w:bCs/>
        </w:rPr>
        <w:t xml:space="preserve">Investigate whether elevated </w:t>
      </w:r>
      <w:proofErr w:type="spellStart"/>
      <w:r w:rsidRPr="008379C8">
        <w:rPr>
          <w:rFonts w:ascii="Times New Roman" w:eastAsia="Times New Roman" w:hAnsi="Times New Roman" w:cs="Times New Roman"/>
          <w:bCs/>
        </w:rPr>
        <w:t>TyG</w:t>
      </w:r>
      <w:proofErr w:type="spellEnd"/>
      <w:r w:rsidRPr="008379C8">
        <w:rPr>
          <w:rFonts w:ascii="Times New Roman" w:eastAsia="Times New Roman" w:hAnsi="Times New Roman" w:cs="Times New Roman"/>
          <w:bCs/>
        </w:rPr>
        <w:t xml:space="preserve"> Index during the first trimester is an independent predictor of GDM after adjusting for potential confounding factors, including maternal age, </w:t>
      </w:r>
      <w:r>
        <w:rPr>
          <w:rFonts w:ascii="Times New Roman" w:eastAsia="Times New Roman" w:hAnsi="Times New Roman" w:cs="Times New Roman"/>
          <w:bCs/>
        </w:rPr>
        <w:t xml:space="preserve">history of GDM, </w:t>
      </w:r>
      <w:r w:rsidRPr="008379C8">
        <w:rPr>
          <w:rFonts w:ascii="Times New Roman" w:eastAsia="Times New Roman" w:hAnsi="Times New Roman" w:cs="Times New Roman"/>
          <w:bCs/>
        </w:rPr>
        <w:t>pre-pregnancy BMI, family history of diabete</w:t>
      </w:r>
      <w:r>
        <w:rPr>
          <w:rFonts w:ascii="Times New Roman" w:eastAsia="Times New Roman" w:hAnsi="Times New Roman" w:cs="Times New Roman"/>
          <w:bCs/>
        </w:rPr>
        <w:t xml:space="preserve">s, etc. </w:t>
      </w:r>
    </w:p>
    <w:p w14:paraId="4BBD11EA" w14:textId="77777777" w:rsidR="002C7862" w:rsidRDefault="008379C8" w:rsidP="002C7862">
      <w:pPr>
        <w:pStyle w:val="Normal1"/>
        <w:jc w:val="both"/>
        <w:rPr>
          <w:rFonts w:ascii="Times New Roman" w:eastAsia="Times New Roman" w:hAnsi="Times New Roman" w:cs="Times New Roman"/>
          <w:bCs/>
        </w:rPr>
      </w:pPr>
      <w:r>
        <w:rPr>
          <w:rFonts w:ascii="Times New Roman" w:eastAsia="Times New Roman" w:hAnsi="Times New Roman" w:cs="Times New Roman"/>
          <w:bCs/>
        </w:rPr>
        <w:t xml:space="preserve">3) </w:t>
      </w:r>
      <w:r w:rsidRPr="008379C8">
        <w:rPr>
          <w:rFonts w:ascii="Times New Roman" w:eastAsia="Times New Roman" w:hAnsi="Times New Roman" w:cs="Times New Roman"/>
          <w:bCs/>
        </w:rPr>
        <w:t xml:space="preserve">Assess the sensitivity and specificity of </w:t>
      </w:r>
      <w:proofErr w:type="spellStart"/>
      <w:r w:rsidRPr="008379C8">
        <w:rPr>
          <w:rFonts w:ascii="Times New Roman" w:eastAsia="Times New Roman" w:hAnsi="Times New Roman" w:cs="Times New Roman"/>
          <w:bCs/>
        </w:rPr>
        <w:t>TyG</w:t>
      </w:r>
      <w:proofErr w:type="spellEnd"/>
      <w:r w:rsidRPr="008379C8">
        <w:rPr>
          <w:rFonts w:ascii="Times New Roman" w:eastAsia="Times New Roman" w:hAnsi="Times New Roman" w:cs="Times New Roman"/>
          <w:bCs/>
        </w:rPr>
        <w:t xml:space="preserve"> Index measurements in early pregnancy for the accurate identification of individuals at risk of developing GDM.</w:t>
      </w:r>
    </w:p>
    <w:p w14:paraId="79404AF4" w14:textId="3735FC1F" w:rsidR="002C7862" w:rsidRDefault="002C7862" w:rsidP="002C7862">
      <w:pPr>
        <w:pStyle w:val="Normal1"/>
        <w:jc w:val="both"/>
        <w:rPr>
          <w:rFonts w:ascii="Times New Roman" w:eastAsia="Times New Roman" w:hAnsi="Times New Roman" w:cs="Times New Roman"/>
          <w:bCs/>
        </w:rPr>
      </w:pPr>
      <w:r>
        <w:rPr>
          <w:rFonts w:ascii="Times New Roman" w:eastAsia="Times New Roman" w:hAnsi="Times New Roman" w:cs="Times New Roman"/>
          <w:bCs/>
        </w:rPr>
        <w:t xml:space="preserve">4) </w:t>
      </w:r>
      <w:r w:rsidRPr="001D06FC">
        <w:rPr>
          <w:rFonts w:ascii="Times New Roman" w:eastAsia="Times New Roman" w:hAnsi="Times New Roman" w:cs="Times New Roman"/>
          <w:bCs/>
        </w:rPr>
        <w:t xml:space="preserve">Correlate maternal </w:t>
      </w:r>
      <w:proofErr w:type="spellStart"/>
      <w:r w:rsidRPr="001D06FC">
        <w:rPr>
          <w:rFonts w:ascii="Times New Roman" w:eastAsia="Times New Roman" w:hAnsi="Times New Roman" w:cs="Times New Roman"/>
          <w:bCs/>
        </w:rPr>
        <w:t>TyG</w:t>
      </w:r>
      <w:proofErr w:type="spellEnd"/>
      <w:r w:rsidRPr="001D06FC">
        <w:rPr>
          <w:rFonts w:ascii="Times New Roman" w:eastAsia="Times New Roman" w:hAnsi="Times New Roman" w:cs="Times New Roman"/>
          <w:bCs/>
        </w:rPr>
        <w:t xml:space="preserve"> Index levels with neonatal outcomes such as birth weight, Apgar scores, and the incidence of neonatal hypoglycemia.</w:t>
      </w:r>
      <w:r w:rsidR="005B34BC" w:rsidRPr="00032C14">
        <w:rPr>
          <w:rFonts w:ascii="Times New Roman" w:eastAsia="Times New Roman" w:hAnsi="Times New Roman" w:cs="Times New Roman"/>
          <w:bCs/>
        </w:rPr>
        <w:t>.</w:t>
      </w:r>
    </w:p>
    <w:p w14:paraId="427266CB" w14:textId="3E8CFA75" w:rsidR="00032C14" w:rsidRDefault="002C7862" w:rsidP="002C7862">
      <w:pPr>
        <w:pStyle w:val="Normal1"/>
        <w:jc w:val="both"/>
        <w:rPr>
          <w:rFonts w:ascii="Times New Roman" w:eastAsia="Times New Roman" w:hAnsi="Times New Roman" w:cs="Times New Roman"/>
          <w:bCs/>
        </w:rPr>
      </w:pPr>
      <w:r>
        <w:rPr>
          <w:rFonts w:ascii="Times New Roman" w:eastAsia="Times New Roman" w:hAnsi="Times New Roman" w:cs="Times New Roman"/>
          <w:bCs/>
        </w:rPr>
        <w:t xml:space="preserve">5) </w:t>
      </w:r>
      <w:r w:rsidR="005B34BC" w:rsidRPr="00032C14">
        <w:rPr>
          <w:rFonts w:ascii="Times New Roman" w:eastAsia="Times New Roman" w:hAnsi="Times New Roman" w:cs="Times New Roman"/>
          <w:bCs/>
        </w:rPr>
        <w:t xml:space="preserve">Investigate associations between elevated </w:t>
      </w:r>
      <w:proofErr w:type="spellStart"/>
      <w:r w:rsidR="005B34BC" w:rsidRPr="00032C14">
        <w:rPr>
          <w:rFonts w:ascii="Times New Roman" w:eastAsia="Times New Roman" w:hAnsi="Times New Roman" w:cs="Times New Roman"/>
          <w:bCs/>
        </w:rPr>
        <w:t>TyG</w:t>
      </w:r>
      <w:proofErr w:type="spellEnd"/>
      <w:r w:rsidR="005B34BC" w:rsidRPr="00032C14">
        <w:rPr>
          <w:rFonts w:ascii="Times New Roman" w:eastAsia="Times New Roman" w:hAnsi="Times New Roman" w:cs="Times New Roman"/>
          <w:bCs/>
        </w:rPr>
        <w:t xml:space="preserve"> Index levels and adverse maternal outcomes (e.g., pre-eclampsia, cesarean section) and neonatal outcomes (e.g., macrosomia, neonatal hypoglycemia).</w:t>
      </w:r>
    </w:p>
    <w:p w14:paraId="497078AB" w14:textId="77777777" w:rsidR="009820E1" w:rsidRDefault="009820E1">
      <w:pPr>
        <w:pStyle w:val="Normal1"/>
        <w:jc w:val="both"/>
        <w:rPr>
          <w:rFonts w:ascii="Times New Roman" w:eastAsia="Times New Roman" w:hAnsi="Times New Roman" w:cs="Times New Roman"/>
        </w:rPr>
      </w:pPr>
    </w:p>
    <w:p w14:paraId="7AD20299" w14:textId="77777777" w:rsidR="00C248B7" w:rsidRPr="00E93F13" w:rsidRDefault="009820E1">
      <w:pPr>
        <w:pStyle w:val="Normal1"/>
        <w:jc w:val="both"/>
        <w:rPr>
          <w:rFonts w:ascii="Times New Roman" w:eastAsia="Times New Roman" w:hAnsi="Times New Roman" w:cs="Times New Roman"/>
          <w:b/>
          <w:u w:val="single"/>
        </w:rPr>
      </w:pPr>
      <w:r w:rsidRPr="00E93F13">
        <w:rPr>
          <w:rFonts w:ascii="Times New Roman" w:eastAsia="Times New Roman" w:hAnsi="Times New Roman" w:cs="Times New Roman"/>
          <w:b/>
          <w:u w:val="single"/>
        </w:rPr>
        <w:t>METHODOLOGY</w:t>
      </w:r>
    </w:p>
    <w:p w14:paraId="65BA968D" w14:textId="77777777" w:rsidR="00E93F13" w:rsidRPr="00E93F13" w:rsidRDefault="00E93F13" w:rsidP="00E93F13">
      <w:pPr>
        <w:pStyle w:val="Normal1"/>
        <w:rPr>
          <w:rFonts w:ascii="Times New Roman" w:eastAsia="Times New Roman" w:hAnsi="Times New Roman" w:cs="Times New Roman"/>
          <w:b/>
          <w:bCs/>
          <w:lang w:val="en-US"/>
        </w:rPr>
      </w:pPr>
      <w:r w:rsidRPr="00E93F13">
        <w:rPr>
          <w:rFonts w:ascii="Times New Roman" w:eastAsia="Times New Roman" w:hAnsi="Times New Roman" w:cs="Times New Roman"/>
          <w:b/>
          <w:bCs/>
          <w:lang w:val="en-US"/>
        </w:rPr>
        <w:t>Study Participants</w:t>
      </w:r>
    </w:p>
    <w:p w14:paraId="2AB99D80" w14:textId="489614F2" w:rsidR="001B2BE5" w:rsidRDefault="001B2BE5" w:rsidP="00E93F13">
      <w:pPr>
        <w:pStyle w:val="Normal1"/>
        <w:ind w:left="284"/>
        <w:jc w:val="both"/>
        <w:rPr>
          <w:rFonts w:ascii="Times New Roman" w:eastAsia="Times New Roman" w:hAnsi="Times New Roman" w:cs="Times New Roman"/>
          <w:lang w:val="en-US"/>
        </w:rPr>
      </w:pPr>
      <w:r w:rsidRPr="001B2BE5">
        <w:rPr>
          <w:rFonts w:ascii="Times New Roman" w:eastAsia="Times New Roman" w:hAnsi="Times New Roman" w:cs="Times New Roman"/>
          <w:lang w:val="en-US"/>
        </w:rPr>
        <w:t xml:space="preserve">Pregnant Filipino women attending prenatal clinics </w:t>
      </w:r>
      <w:r>
        <w:rPr>
          <w:rFonts w:ascii="Times New Roman" w:eastAsia="Times New Roman" w:hAnsi="Times New Roman" w:cs="Times New Roman"/>
          <w:lang w:val="en-US"/>
        </w:rPr>
        <w:t>at The Medical City</w:t>
      </w:r>
      <w:r w:rsidRPr="001B2BE5">
        <w:rPr>
          <w:rFonts w:ascii="Times New Roman" w:eastAsia="Times New Roman" w:hAnsi="Times New Roman" w:cs="Times New Roman"/>
          <w:lang w:val="en-US"/>
        </w:rPr>
        <w:t>. Inclusion criteria include Filipino women in their first trimester of pregnancy, with no pre-existing diabetes diagnosis, and those willing to participate in regular follow-up assessments.</w:t>
      </w:r>
    </w:p>
    <w:p w14:paraId="1AD8996A" w14:textId="7A154FD9" w:rsidR="005636B7" w:rsidRDefault="005636B7" w:rsidP="005636B7">
      <w:pPr>
        <w:pStyle w:val="Normal1"/>
        <w:rPr>
          <w:rFonts w:ascii="Times New Roman" w:eastAsia="Times New Roman" w:hAnsi="Times New Roman" w:cs="Times New Roman"/>
          <w:b/>
        </w:rPr>
      </w:pPr>
    </w:p>
    <w:p w14:paraId="1281D915" w14:textId="77777777" w:rsidR="00A85F31" w:rsidRPr="00E93F13" w:rsidRDefault="00A85F31" w:rsidP="00A85F31">
      <w:pPr>
        <w:pStyle w:val="Normal1"/>
        <w:rPr>
          <w:rFonts w:ascii="Times New Roman" w:eastAsia="Times New Roman" w:hAnsi="Times New Roman" w:cs="Times New Roman"/>
          <w:b/>
          <w:lang w:val="en-US"/>
        </w:rPr>
      </w:pPr>
      <w:r w:rsidRPr="00E93F13">
        <w:rPr>
          <w:rFonts w:ascii="Times New Roman" w:eastAsia="Times New Roman" w:hAnsi="Times New Roman" w:cs="Times New Roman"/>
          <w:b/>
          <w:lang w:val="en-US"/>
        </w:rPr>
        <w:t>Exclusion Criteria</w:t>
      </w:r>
    </w:p>
    <w:p w14:paraId="1A71B946" w14:textId="77777777" w:rsidR="00A85F31" w:rsidRDefault="00A85F31" w:rsidP="00A85F31">
      <w:pPr>
        <w:pStyle w:val="Normal1"/>
        <w:numPr>
          <w:ilvl w:val="0"/>
          <w:numId w:val="26"/>
        </w:numPr>
        <w:rPr>
          <w:rFonts w:ascii="Times New Roman" w:eastAsia="Times New Roman" w:hAnsi="Times New Roman" w:cs="Times New Roman"/>
          <w:bCs/>
          <w:lang w:val="en-US"/>
        </w:rPr>
      </w:pPr>
      <w:r>
        <w:rPr>
          <w:rFonts w:ascii="Times New Roman" w:eastAsia="Times New Roman" w:hAnsi="Times New Roman" w:cs="Times New Roman"/>
          <w:bCs/>
          <w:lang w:val="en-US"/>
        </w:rPr>
        <w:t>Pregnant women with p</w:t>
      </w:r>
      <w:r w:rsidRPr="007B2E59">
        <w:rPr>
          <w:rFonts w:ascii="Times New Roman" w:eastAsia="Times New Roman" w:hAnsi="Times New Roman" w:cs="Times New Roman"/>
          <w:bCs/>
          <w:lang w:val="en-US"/>
        </w:rPr>
        <w:t>re-existing Diabetes Diagnosis</w:t>
      </w:r>
      <w:r>
        <w:rPr>
          <w:rFonts w:ascii="Times New Roman" w:eastAsia="Times New Roman" w:hAnsi="Times New Roman" w:cs="Times New Roman"/>
          <w:bCs/>
          <w:lang w:val="en-US"/>
        </w:rPr>
        <w:t>/ history of GDM</w:t>
      </w:r>
    </w:p>
    <w:p w14:paraId="17DD6037" w14:textId="77777777" w:rsidR="00A85F31" w:rsidRDefault="00A85F31" w:rsidP="00A85F31">
      <w:pPr>
        <w:pStyle w:val="Normal1"/>
        <w:numPr>
          <w:ilvl w:val="0"/>
          <w:numId w:val="26"/>
        </w:numPr>
        <w:rPr>
          <w:rFonts w:ascii="Times New Roman" w:eastAsia="Times New Roman" w:hAnsi="Times New Roman" w:cs="Times New Roman"/>
          <w:bCs/>
          <w:lang w:val="en-US"/>
        </w:rPr>
      </w:pPr>
      <w:r w:rsidRPr="005A4E01">
        <w:rPr>
          <w:rFonts w:ascii="Times New Roman" w:eastAsia="Times New Roman" w:hAnsi="Times New Roman" w:cs="Times New Roman"/>
          <w:bCs/>
          <w:lang w:val="en-US"/>
        </w:rPr>
        <w:t>Multiple Pregnancies</w:t>
      </w:r>
    </w:p>
    <w:p w14:paraId="22C0D0C9" w14:textId="77777777" w:rsidR="00A85F31" w:rsidRDefault="00A85F31" w:rsidP="00A85F31">
      <w:pPr>
        <w:pStyle w:val="Normal1"/>
        <w:numPr>
          <w:ilvl w:val="0"/>
          <w:numId w:val="26"/>
        </w:numPr>
        <w:rPr>
          <w:rFonts w:ascii="Times New Roman" w:eastAsia="Times New Roman" w:hAnsi="Times New Roman" w:cs="Times New Roman"/>
          <w:bCs/>
          <w:lang w:val="en-US"/>
        </w:rPr>
      </w:pPr>
      <w:r w:rsidRPr="005A4E01">
        <w:rPr>
          <w:rFonts w:ascii="Times New Roman" w:eastAsia="Times New Roman" w:hAnsi="Times New Roman" w:cs="Times New Roman"/>
          <w:bCs/>
          <w:lang w:val="en-US"/>
        </w:rPr>
        <w:t>Known Pregnancy Complications (e.g., known congenital anomalies, severe intrauterine growth restriction</w:t>
      </w:r>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etc</w:t>
      </w:r>
      <w:proofErr w:type="spellEnd"/>
      <w:r w:rsidRPr="005A4E01">
        <w:rPr>
          <w:rFonts w:ascii="Times New Roman" w:eastAsia="Times New Roman" w:hAnsi="Times New Roman" w:cs="Times New Roman"/>
          <w:bCs/>
          <w:lang w:val="en-US"/>
        </w:rPr>
        <w:t xml:space="preserve">) </w:t>
      </w:r>
    </w:p>
    <w:p w14:paraId="5A166857" w14:textId="77777777" w:rsidR="00A85F31" w:rsidRDefault="00A85F31" w:rsidP="00A85F31">
      <w:pPr>
        <w:pStyle w:val="Normal1"/>
        <w:numPr>
          <w:ilvl w:val="0"/>
          <w:numId w:val="26"/>
        </w:numPr>
        <w:rPr>
          <w:rFonts w:ascii="Times New Roman" w:eastAsia="Times New Roman" w:hAnsi="Times New Roman" w:cs="Times New Roman"/>
          <w:bCs/>
          <w:lang w:val="en-US"/>
        </w:rPr>
      </w:pPr>
      <w:r w:rsidRPr="005A4E01">
        <w:rPr>
          <w:rFonts w:ascii="Times New Roman" w:eastAsia="Times New Roman" w:hAnsi="Times New Roman" w:cs="Times New Roman"/>
          <w:bCs/>
          <w:lang w:val="en-US"/>
        </w:rPr>
        <w:t>Chronic Medical Conditions (e.g., chronic kidney disease, autoimmune disorders).</w:t>
      </w:r>
    </w:p>
    <w:p w14:paraId="28ADA9B9" w14:textId="77777777" w:rsidR="00A85F31" w:rsidRDefault="00A85F31" w:rsidP="00A85F31">
      <w:pPr>
        <w:pStyle w:val="Normal1"/>
        <w:numPr>
          <w:ilvl w:val="0"/>
          <w:numId w:val="26"/>
        </w:numPr>
        <w:rPr>
          <w:rFonts w:ascii="Times New Roman" w:eastAsia="Times New Roman" w:hAnsi="Times New Roman" w:cs="Times New Roman"/>
          <w:bCs/>
          <w:lang w:val="en-US"/>
        </w:rPr>
      </w:pPr>
      <w:r w:rsidRPr="005A4E01">
        <w:rPr>
          <w:rFonts w:ascii="Times New Roman" w:eastAsia="Times New Roman" w:hAnsi="Times New Roman" w:cs="Times New Roman"/>
          <w:bCs/>
          <w:lang w:val="en-US"/>
        </w:rPr>
        <w:t>Medication Use (e.g., corticosteroids, antipsychotics</w:t>
      </w:r>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etc</w:t>
      </w:r>
      <w:proofErr w:type="spellEnd"/>
      <w:r w:rsidRPr="005A4E01">
        <w:rPr>
          <w:rFonts w:ascii="Times New Roman" w:eastAsia="Times New Roman" w:hAnsi="Times New Roman" w:cs="Times New Roman"/>
          <w:bCs/>
          <w:lang w:val="en-US"/>
        </w:rPr>
        <w:t xml:space="preserve">) </w:t>
      </w:r>
    </w:p>
    <w:p w14:paraId="2954E910" w14:textId="77777777" w:rsidR="00A85F31" w:rsidRDefault="00A85F31" w:rsidP="00A85F31">
      <w:pPr>
        <w:pStyle w:val="Normal1"/>
        <w:numPr>
          <w:ilvl w:val="0"/>
          <w:numId w:val="26"/>
        </w:numPr>
        <w:rPr>
          <w:rFonts w:ascii="Times New Roman" w:eastAsia="Times New Roman" w:hAnsi="Times New Roman" w:cs="Times New Roman"/>
          <w:bCs/>
          <w:lang w:val="en-US"/>
        </w:rPr>
      </w:pPr>
      <w:r w:rsidRPr="005A4E01">
        <w:rPr>
          <w:rFonts w:ascii="Times New Roman" w:eastAsia="Times New Roman" w:hAnsi="Times New Roman" w:cs="Times New Roman"/>
          <w:bCs/>
          <w:lang w:val="en-US"/>
        </w:rPr>
        <w:t>Incomplete Follow-Up Data</w:t>
      </w:r>
      <w:r>
        <w:rPr>
          <w:rFonts w:ascii="Times New Roman" w:eastAsia="Times New Roman" w:hAnsi="Times New Roman" w:cs="Times New Roman"/>
          <w:bCs/>
          <w:lang w:val="en-US"/>
        </w:rPr>
        <w:t xml:space="preserve"> (</w:t>
      </w:r>
      <w:r w:rsidRPr="005A4E01">
        <w:rPr>
          <w:rFonts w:ascii="Times New Roman" w:eastAsia="Times New Roman" w:hAnsi="Times New Roman" w:cs="Times New Roman"/>
          <w:bCs/>
          <w:lang w:val="en-US"/>
        </w:rPr>
        <w:t>participants with incomplete follow-up data or those who are unable or unwilling to participate in regular assessments throughout pregnancy</w:t>
      </w:r>
      <w:r>
        <w:rPr>
          <w:rFonts w:ascii="Times New Roman" w:eastAsia="Times New Roman" w:hAnsi="Times New Roman" w:cs="Times New Roman"/>
          <w:bCs/>
          <w:lang w:val="en-US"/>
        </w:rPr>
        <w:t>)</w:t>
      </w:r>
    </w:p>
    <w:p w14:paraId="397DCFE6" w14:textId="77777777" w:rsidR="00A85F31" w:rsidRDefault="00A85F31" w:rsidP="00A85F31">
      <w:pPr>
        <w:pStyle w:val="Normal1"/>
        <w:numPr>
          <w:ilvl w:val="0"/>
          <w:numId w:val="26"/>
        </w:numPr>
        <w:rPr>
          <w:rFonts w:ascii="Times New Roman" w:eastAsia="Times New Roman" w:hAnsi="Times New Roman" w:cs="Times New Roman"/>
          <w:bCs/>
          <w:lang w:val="en-US"/>
        </w:rPr>
      </w:pPr>
      <w:r w:rsidRPr="005A4E01">
        <w:rPr>
          <w:rFonts w:ascii="Times New Roman" w:eastAsia="Times New Roman" w:hAnsi="Times New Roman" w:cs="Times New Roman"/>
          <w:bCs/>
          <w:lang w:val="en-US"/>
        </w:rPr>
        <w:t>Non-Filipino Ethnicity</w:t>
      </w:r>
      <w:r>
        <w:rPr>
          <w:rFonts w:ascii="Times New Roman" w:eastAsia="Times New Roman" w:hAnsi="Times New Roman" w:cs="Times New Roman"/>
          <w:bCs/>
          <w:lang w:val="en-US"/>
        </w:rPr>
        <w:t xml:space="preserve"> </w:t>
      </w:r>
    </w:p>
    <w:p w14:paraId="38B5E214" w14:textId="77777777" w:rsidR="007B2E59" w:rsidRDefault="007B2E59" w:rsidP="00E93F13">
      <w:pPr>
        <w:pStyle w:val="Normal1"/>
        <w:rPr>
          <w:rFonts w:ascii="Times New Roman" w:eastAsia="Times New Roman" w:hAnsi="Times New Roman" w:cs="Times New Roman"/>
          <w:b/>
          <w:lang w:val="en-US"/>
        </w:rPr>
      </w:pPr>
    </w:p>
    <w:p w14:paraId="4E8F5A41" w14:textId="7AC9F417" w:rsidR="00E93F13" w:rsidRPr="00E93F13" w:rsidRDefault="0073661D" w:rsidP="008E5EB7">
      <w:pPr>
        <w:pStyle w:val="Normal1"/>
        <w:ind w:left="142"/>
        <w:rPr>
          <w:rFonts w:ascii="Times New Roman" w:eastAsia="Times New Roman" w:hAnsi="Times New Roman" w:cs="Times New Roman"/>
          <w:b/>
          <w:lang w:val="en-US"/>
        </w:rPr>
      </w:pPr>
      <w:r w:rsidRPr="00E93F13">
        <w:rPr>
          <w:rFonts w:ascii="Times New Roman" w:eastAsia="Times New Roman" w:hAnsi="Times New Roman" w:cs="Times New Roman"/>
          <w:b/>
          <w:noProof/>
          <w:lang w:val="en-US"/>
        </w:rPr>
        <w:lastRenderedPageBreak/>
        <w:drawing>
          <wp:inline distT="0" distB="0" distL="0" distR="0" wp14:anchorId="30A61DFA" wp14:editId="4028484F">
            <wp:extent cx="5745480" cy="6632448"/>
            <wp:effectExtent l="0" t="0" r="0"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865BBB" w14:textId="77777777" w:rsidR="00E93F13" w:rsidRPr="00E93F13" w:rsidRDefault="00E93F13" w:rsidP="00E93F13">
      <w:pPr>
        <w:pStyle w:val="Normal1"/>
        <w:rPr>
          <w:rFonts w:ascii="Times New Roman" w:eastAsia="Times New Roman" w:hAnsi="Times New Roman" w:cs="Times New Roman"/>
          <w:b/>
          <w:bCs/>
          <w:lang w:val="en-US"/>
        </w:rPr>
      </w:pPr>
    </w:p>
    <w:p w14:paraId="0046ADB1" w14:textId="77777777" w:rsidR="00A23D3E" w:rsidRPr="00A23D3E" w:rsidRDefault="00A23D3E" w:rsidP="00A23D3E">
      <w:pPr>
        <w:autoSpaceDE w:val="0"/>
        <w:autoSpaceDN w:val="0"/>
        <w:adjustRightInd w:val="0"/>
        <w:spacing w:line="240" w:lineRule="auto"/>
        <w:rPr>
          <w:rFonts w:ascii="Times New Roman" w:hAnsi="Times New Roman" w:cs="Times New Roman"/>
          <w:color w:val="000000"/>
          <w:sz w:val="20"/>
          <w:szCs w:val="20"/>
          <w:lang w:val="en-US"/>
        </w:rPr>
      </w:pPr>
    </w:p>
    <w:p w14:paraId="737B246B" w14:textId="77777777" w:rsidR="00FF4030" w:rsidRDefault="00FF4030">
      <w:pPr>
        <w:pStyle w:val="Normal1"/>
        <w:jc w:val="both"/>
        <w:rPr>
          <w:rFonts w:ascii="Times New Roman" w:eastAsia="Times New Roman" w:hAnsi="Times New Roman" w:cs="Times New Roman"/>
          <w:b/>
        </w:rPr>
      </w:pPr>
    </w:p>
    <w:p w14:paraId="31A8DC84" w14:textId="77777777" w:rsidR="00FF4030" w:rsidRDefault="00FF4030">
      <w:pPr>
        <w:pStyle w:val="Normal1"/>
        <w:jc w:val="both"/>
        <w:rPr>
          <w:rFonts w:ascii="Times New Roman" w:eastAsia="Times New Roman" w:hAnsi="Times New Roman" w:cs="Times New Roman"/>
          <w:b/>
        </w:rPr>
      </w:pPr>
    </w:p>
    <w:p w14:paraId="1A960ECA" w14:textId="77777777" w:rsidR="00FF4030" w:rsidRDefault="00FF4030">
      <w:pPr>
        <w:pStyle w:val="Normal1"/>
        <w:jc w:val="both"/>
        <w:rPr>
          <w:rFonts w:ascii="Times New Roman" w:eastAsia="Times New Roman" w:hAnsi="Times New Roman" w:cs="Times New Roman"/>
          <w:b/>
        </w:rPr>
      </w:pPr>
    </w:p>
    <w:p w14:paraId="787E1486" w14:textId="77777777" w:rsidR="00FF4030" w:rsidRDefault="00FF4030">
      <w:pPr>
        <w:pStyle w:val="Normal1"/>
        <w:jc w:val="both"/>
        <w:rPr>
          <w:rFonts w:ascii="Times New Roman" w:eastAsia="Times New Roman" w:hAnsi="Times New Roman" w:cs="Times New Roman"/>
          <w:b/>
        </w:rPr>
      </w:pPr>
    </w:p>
    <w:p w14:paraId="7C2BB991" w14:textId="77777777" w:rsidR="00FF4030" w:rsidRDefault="00FF4030">
      <w:pPr>
        <w:pStyle w:val="Normal1"/>
        <w:jc w:val="both"/>
        <w:rPr>
          <w:rFonts w:ascii="Times New Roman" w:eastAsia="Times New Roman" w:hAnsi="Times New Roman" w:cs="Times New Roman"/>
          <w:b/>
        </w:rPr>
      </w:pPr>
    </w:p>
    <w:p w14:paraId="68072273" w14:textId="77777777" w:rsidR="00FF4030" w:rsidRDefault="00FF4030">
      <w:pPr>
        <w:pStyle w:val="Normal1"/>
        <w:jc w:val="both"/>
        <w:rPr>
          <w:rFonts w:ascii="Times New Roman" w:eastAsia="Times New Roman" w:hAnsi="Times New Roman" w:cs="Times New Roman"/>
          <w:b/>
        </w:rPr>
      </w:pPr>
    </w:p>
    <w:p w14:paraId="004FE9A6" w14:textId="347AD9ED" w:rsidR="00DF57C3" w:rsidRDefault="00DF57C3">
      <w:pPr>
        <w:pStyle w:val="Normal1"/>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4BECB933" w14:textId="5389C293" w:rsidR="00242CA3" w:rsidRDefault="00242CA3">
      <w:pPr>
        <w:pStyle w:val="Normal1"/>
        <w:jc w:val="both"/>
        <w:rPr>
          <w:rFonts w:ascii="Times New Roman" w:eastAsia="Times New Roman" w:hAnsi="Times New Roman" w:cs="Times New Roman"/>
          <w:b/>
        </w:rPr>
      </w:pPr>
    </w:p>
    <w:p w14:paraId="45D51B8E" w14:textId="77777777" w:rsidR="00242CA3" w:rsidRPr="00242CA3" w:rsidRDefault="00242CA3" w:rsidP="008E5EB7">
      <w:pPr>
        <w:autoSpaceDE w:val="0"/>
        <w:autoSpaceDN w:val="0"/>
        <w:adjustRightInd w:val="0"/>
        <w:spacing w:line="240" w:lineRule="auto"/>
        <w:jc w:val="both"/>
        <w:rPr>
          <w:rFonts w:ascii="Times New Roman" w:hAnsi="Times New Roman" w:cs="Times New Roman"/>
          <w:color w:val="000000"/>
          <w:sz w:val="16"/>
          <w:szCs w:val="16"/>
          <w:lang w:val="en-US"/>
        </w:rPr>
      </w:pPr>
      <w:r w:rsidRPr="00242CA3">
        <w:rPr>
          <w:rFonts w:ascii="Times New Roman" w:hAnsi="Times New Roman" w:cs="Times New Roman"/>
          <w:color w:val="000000"/>
          <w:sz w:val="16"/>
          <w:szCs w:val="16"/>
          <w:lang w:val="en-US"/>
        </w:rPr>
        <w:t>[1] Catalano PM, Roman-Drago NM,</w:t>
      </w:r>
      <w:r>
        <w:rPr>
          <w:rFonts w:ascii="Times New Roman" w:hAnsi="Times New Roman" w:cs="Times New Roman"/>
          <w:color w:val="000000"/>
          <w:sz w:val="16"/>
          <w:szCs w:val="16"/>
          <w:lang w:val="en-US"/>
        </w:rPr>
        <w:t xml:space="preserve"> </w:t>
      </w:r>
      <w:proofErr w:type="spellStart"/>
      <w:r w:rsidRPr="00242CA3">
        <w:rPr>
          <w:rFonts w:ascii="Times New Roman" w:hAnsi="Times New Roman" w:cs="Times New Roman"/>
          <w:color w:val="000000"/>
          <w:sz w:val="16"/>
          <w:szCs w:val="16"/>
          <w:lang w:val="en-US"/>
        </w:rPr>
        <w:t>Amini</w:t>
      </w:r>
      <w:proofErr w:type="spellEnd"/>
      <w:r w:rsidRPr="00242CA3">
        <w:rPr>
          <w:rFonts w:ascii="Times New Roman" w:hAnsi="Times New Roman" w:cs="Times New Roman"/>
          <w:color w:val="000000"/>
          <w:sz w:val="16"/>
          <w:szCs w:val="16"/>
          <w:lang w:val="en-US"/>
        </w:rPr>
        <w:t xml:space="preserve"> SB, Sims EA. Longitudinal</w:t>
      </w:r>
      <w:r>
        <w:rPr>
          <w:rFonts w:ascii="Times New Roman" w:hAnsi="Times New Roman" w:cs="Times New Roman"/>
          <w:color w:val="000000"/>
          <w:sz w:val="16"/>
          <w:szCs w:val="16"/>
          <w:lang w:val="en-US"/>
        </w:rPr>
        <w:t xml:space="preserve"> </w:t>
      </w:r>
      <w:r w:rsidRPr="00242CA3">
        <w:rPr>
          <w:rFonts w:ascii="Times New Roman" w:hAnsi="Times New Roman" w:cs="Times New Roman"/>
          <w:color w:val="000000"/>
          <w:sz w:val="16"/>
          <w:szCs w:val="16"/>
          <w:lang w:val="en-US"/>
        </w:rPr>
        <w:t>changes in body composition and</w:t>
      </w:r>
      <w:r>
        <w:rPr>
          <w:rFonts w:ascii="Times New Roman" w:hAnsi="Times New Roman" w:cs="Times New Roman"/>
          <w:color w:val="000000"/>
          <w:sz w:val="16"/>
          <w:szCs w:val="16"/>
          <w:lang w:val="en-US"/>
        </w:rPr>
        <w:t xml:space="preserve"> </w:t>
      </w:r>
      <w:r w:rsidRPr="00242CA3">
        <w:rPr>
          <w:rFonts w:ascii="Times New Roman" w:hAnsi="Times New Roman" w:cs="Times New Roman"/>
          <w:color w:val="000000"/>
          <w:sz w:val="16"/>
          <w:szCs w:val="16"/>
          <w:lang w:val="en-US"/>
        </w:rPr>
        <w:t>energy balance in lean women with</w:t>
      </w:r>
    </w:p>
    <w:p w14:paraId="1B8EE197" w14:textId="37BED11E" w:rsidR="00242CA3" w:rsidRDefault="00242CA3" w:rsidP="008E5EB7">
      <w:pPr>
        <w:autoSpaceDE w:val="0"/>
        <w:autoSpaceDN w:val="0"/>
        <w:adjustRightInd w:val="0"/>
        <w:spacing w:line="240" w:lineRule="auto"/>
        <w:jc w:val="both"/>
        <w:rPr>
          <w:rFonts w:ascii="Times New Roman" w:hAnsi="Times New Roman" w:cs="Times New Roman"/>
          <w:color w:val="000000"/>
          <w:sz w:val="16"/>
          <w:szCs w:val="16"/>
          <w:lang w:val="en-US"/>
        </w:rPr>
      </w:pPr>
      <w:r w:rsidRPr="00242CA3">
        <w:rPr>
          <w:rFonts w:ascii="Times New Roman" w:hAnsi="Times New Roman" w:cs="Times New Roman"/>
          <w:color w:val="000000"/>
          <w:sz w:val="16"/>
          <w:szCs w:val="16"/>
          <w:lang w:val="en-US"/>
        </w:rPr>
        <w:t>normal and abnormal glucose tolerance</w:t>
      </w:r>
      <w:r>
        <w:rPr>
          <w:rFonts w:ascii="Times New Roman" w:hAnsi="Times New Roman" w:cs="Times New Roman"/>
          <w:color w:val="000000"/>
          <w:sz w:val="16"/>
          <w:szCs w:val="16"/>
          <w:lang w:val="en-US"/>
        </w:rPr>
        <w:t xml:space="preserve"> </w:t>
      </w:r>
      <w:r w:rsidRPr="00242CA3">
        <w:rPr>
          <w:rFonts w:ascii="Times New Roman" w:hAnsi="Times New Roman" w:cs="Times New Roman"/>
          <w:color w:val="000000"/>
          <w:sz w:val="16"/>
          <w:szCs w:val="16"/>
          <w:lang w:val="en-US"/>
        </w:rPr>
        <w:t>during pregnancy. American Journal</w:t>
      </w:r>
      <w:r>
        <w:rPr>
          <w:rFonts w:ascii="Times New Roman" w:hAnsi="Times New Roman" w:cs="Times New Roman"/>
          <w:color w:val="000000"/>
          <w:sz w:val="16"/>
          <w:szCs w:val="16"/>
          <w:lang w:val="en-US"/>
        </w:rPr>
        <w:t xml:space="preserve"> </w:t>
      </w:r>
      <w:r w:rsidRPr="00242CA3">
        <w:rPr>
          <w:rFonts w:ascii="Times New Roman" w:hAnsi="Times New Roman" w:cs="Times New Roman"/>
          <w:color w:val="000000"/>
          <w:sz w:val="16"/>
          <w:szCs w:val="16"/>
          <w:lang w:val="en-US"/>
        </w:rPr>
        <w:t>of Obstetrics and Gynecology.</w:t>
      </w:r>
      <w:r>
        <w:rPr>
          <w:rFonts w:ascii="Times New Roman" w:hAnsi="Times New Roman" w:cs="Times New Roman"/>
          <w:color w:val="000000"/>
          <w:sz w:val="16"/>
          <w:szCs w:val="16"/>
          <w:lang w:val="en-US"/>
        </w:rPr>
        <w:t xml:space="preserve"> </w:t>
      </w:r>
      <w:r w:rsidRPr="00242CA3">
        <w:rPr>
          <w:rFonts w:ascii="Times New Roman" w:hAnsi="Times New Roman" w:cs="Times New Roman"/>
          <w:color w:val="000000"/>
          <w:sz w:val="16"/>
          <w:szCs w:val="16"/>
          <w:lang w:val="en-US"/>
        </w:rPr>
        <w:t>1998;179(1):156-165</w:t>
      </w:r>
    </w:p>
    <w:p w14:paraId="2E692F43" w14:textId="68F8E64C" w:rsidR="002C6662" w:rsidRDefault="002C6662" w:rsidP="008E5EB7">
      <w:pPr>
        <w:autoSpaceDE w:val="0"/>
        <w:autoSpaceDN w:val="0"/>
        <w:adjustRightInd w:val="0"/>
        <w:spacing w:line="240" w:lineRule="auto"/>
        <w:jc w:val="both"/>
        <w:rPr>
          <w:rFonts w:ascii="Times New Roman" w:hAnsi="Times New Roman" w:cs="Times New Roman"/>
          <w:color w:val="000000"/>
          <w:sz w:val="16"/>
          <w:szCs w:val="16"/>
          <w:lang w:val="en-US"/>
        </w:rPr>
      </w:pPr>
      <w:r w:rsidRPr="00EF226D">
        <w:rPr>
          <w:rFonts w:ascii="Times New Roman" w:hAnsi="Times New Roman" w:cs="Times New Roman"/>
          <w:color w:val="000000"/>
          <w:sz w:val="16"/>
          <w:szCs w:val="16"/>
          <w:lang w:val="en-US"/>
        </w:rPr>
        <w:t>[</w:t>
      </w:r>
      <w:r>
        <w:rPr>
          <w:rFonts w:ascii="Times New Roman" w:hAnsi="Times New Roman" w:cs="Times New Roman"/>
          <w:color w:val="000000"/>
          <w:sz w:val="16"/>
          <w:szCs w:val="16"/>
          <w:lang w:val="en-US"/>
        </w:rPr>
        <w:t>2</w:t>
      </w:r>
      <w:r w:rsidRPr="00EF226D">
        <w:rPr>
          <w:rFonts w:ascii="Times New Roman" w:hAnsi="Times New Roman" w:cs="Times New Roman"/>
          <w:color w:val="000000"/>
          <w:sz w:val="16"/>
          <w:szCs w:val="16"/>
          <w:lang w:val="en-US"/>
        </w:rPr>
        <w:t>] Plows JF, Stanley JL, Baker PN,</w:t>
      </w:r>
      <w:r>
        <w:rPr>
          <w:rFonts w:ascii="Times New Roman" w:hAnsi="Times New Roman" w:cs="Times New Roman"/>
          <w:color w:val="000000"/>
          <w:sz w:val="16"/>
          <w:szCs w:val="16"/>
          <w:lang w:val="en-US"/>
        </w:rPr>
        <w:t xml:space="preserve"> </w:t>
      </w:r>
      <w:r w:rsidRPr="00EF226D">
        <w:rPr>
          <w:rFonts w:ascii="Times New Roman" w:hAnsi="Times New Roman" w:cs="Times New Roman"/>
          <w:color w:val="000000"/>
          <w:sz w:val="16"/>
          <w:szCs w:val="16"/>
          <w:lang w:val="en-US"/>
        </w:rPr>
        <w:t>Reynolds CM, Vickers MH. The</w:t>
      </w:r>
      <w:r>
        <w:rPr>
          <w:rFonts w:ascii="Times New Roman" w:hAnsi="Times New Roman" w:cs="Times New Roman"/>
          <w:color w:val="000000"/>
          <w:sz w:val="16"/>
          <w:szCs w:val="16"/>
          <w:lang w:val="en-US"/>
        </w:rPr>
        <w:t xml:space="preserve"> </w:t>
      </w:r>
      <w:r w:rsidRPr="00EF226D">
        <w:rPr>
          <w:rFonts w:ascii="Times New Roman" w:hAnsi="Times New Roman" w:cs="Times New Roman"/>
          <w:color w:val="000000"/>
          <w:sz w:val="16"/>
          <w:szCs w:val="16"/>
          <w:lang w:val="en-US"/>
        </w:rPr>
        <w:t>pathophysiology of gestational diabetes</w:t>
      </w:r>
      <w:r>
        <w:rPr>
          <w:rFonts w:ascii="Times New Roman" w:hAnsi="Times New Roman" w:cs="Times New Roman"/>
          <w:color w:val="000000"/>
          <w:sz w:val="16"/>
          <w:szCs w:val="16"/>
          <w:lang w:val="en-US"/>
        </w:rPr>
        <w:t xml:space="preserve"> </w:t>
      </w:r>
      <w:r w:rsidRPr="00EF226D">
        <w:rPr>
          <w:rFonts w:ascii="Times New Roman" w:hAnsi="Times New Roman" w:cs="Times New Roman"/>
          <w:color w:val="000000"/>
          <w:sz w:val="16"/>
          <w:szCs w:val="16"/>
          <w:lang w:val="en-US"/>
        </w:rPr>
        <w:t>mellitus. International Journal of</w:t>
      </w:r>
      <w:r>
        <w:rPr>
          <w:rFonts w:ascii="Times New Roman" w:hAnsi="Times New Roman" w:cs="Times New Roman"/>
          <w:color w:val="000000"/>
          <w:sz w:val="16"/>
          <w:szCs w:val="16"/>
          <w:lang w:val="en-US"/>
        </w:rPr>
        <w:t xml:space="preserve"> </w:t>
      </w:r>
      <w:r w:rsidRPr="00EF226D">
        <w:rPr>
          <w:rFonts w:ascii="Times New Roman" w:hAnsi="Times New Roman" w:cs="Times New Roman"/>
          <w:color w:val="000000"/>
          <w:sz w:val="16"/>
          <w:szCs w:val="16"/>
          <w:lang w:val="en-US"/>
        </w:rPr>
        <w:t>Molecular Sciences. 2018;19(11):3342</w:t>
      </w:r>
    </w:p>
    <w:p w14:paraId="6B570C3D" w14:textId="56EA1F08" w:rsidR="00D61575" w:rsidRDefault="00D61575" w:rsidP="00D61575">
      <w:pPr>
        <w:autoSpaceDE w:val="0"/>
        <w:autoSpaceDN w:val="0"/>
        <w:adjustRightInd w:val="0"/>
        <w:spacing w:line="240" w:lineRule="auto"/>
        <w:jc w:val="both"/>
        <w:rPr>
          <w:rFonts w:ascii="Times New Roman" w:hAnsi="Times New Roman" w:cs="Times New Roman"/>
          <w:color w:val="000000"/>
          <w:sz w:val="16"/>
          <w:szCs w:val="16"/>
          <w:lang w:val="en-US"/>
        </w:rPr>
      </w:pPr>
      <w:r w:rsidRPr="006C2CA8">
        <w:rPr>
          <w:rFonts w:ascii="Times New Roman" w:hAnsi="Times New Roman" w:cs="Times New Roman"/>
          <w:color w:val="000000"/>
          <w:sz w:val="16"/>
          <w:szCs w:val="16"/>
          <w:lang w:val="en-US"/>
        </w:rPr>
        <w:t>[</w:t>
      </w:r>
      <w:r w:rsidR="002C6662">
        <w:rPr>
          <w:rFonts w:ascii="Times New Roman" w:hAnsi="Times New Roman" w:cs="Times New Roman"/>
          <w:color w:val="000000"/>
          <w:sz w:val="16"/>
          <w:szCs w:val="16"/>
          <w:lang w:val="en-US"/>
        </w:rPr>
        <w:t>3</w:t>
      </w:r>
      <w:r w:rsidRPr="006C2CA8">
        <w:rPr>
          <w:rFonts w:ascii="Times New Roman" w:hAnsi="Times New Roman" w:cs="Times New Roman"/>
          <w:color w:val="000000"/>
          <w:sz w:val="16"/>
          <w:szCs w:val="16"/>
          <w:lang w:val="en-US"/>
        </w:rPr>
        <w:t xml:space="preserve">] Quintanilla Rodriguez BS, </w:t>
      </w:r>
      <w:proofErr w:type="spellStart"/>
      <w:r w:rsidRPr="006C2CA8">
        <w:rPr>
          <w:rFonts w:ascii="Times New Roman" w:hAnsi="Times New Roman" w:cs="Times New Roman"/>
          <w:color w:val="000000"/>
          <w:sz w:val="16"/>
          <w:szCs w:val="16"/>
          <w:lang w:val="en-US"/>
        </w:rPr>
        <w:t>Mahdy</w:t>
      </w:r>
      <w:proofErr w:type="spellEnd"/>
      <w:r w:rsidRPr="006C2CA8">
        <w:rPr>
          <w:rFonts w:ascii="Times New Roman" w:hAnsi="Times New Roman" w:cs="Times New Roman"/>
          <w:color w:val="000000"/>
          <w:sz w:val="16"/>
          <w:szCs w:val="16"/>
          <w:lang w:val="en-US"/>
        </w:rPr>
        <w:t xml:space="preserve"> H.</w:t>
      </w:r>
      <w:r>
        <w:rPr>
          <w:rFonts w:ascii="Times New Roman" w:hAnsi="Times New Roman" w:cs="Times New Roman"/>
          <w:color w:val="000000"/>
          <w:sz w:val="16"/>
          <w:szCs w:val="16"/>
          <w:lang w:val="en-US"/>
        </w:rPr>
        <w:t xml:space="preserve"> </w:t>
      </w:r>
      <w:r w:rsidRPr="006C2CA8">
        <w:rPr>
          <w:rFonts w:ascii="Times New Roman" w:hAnsi="Times New Roman" w:cs="Times New Roman"/>
          <w:color w:val="000000"/>
          <w:sz w:val="16"/>
          <w:szCs w:val="16"/>
          <w:lang w:val="en-US"/>
        </w:rPr>
        <w:t>Gestational Diabetes. Treasure Island</w:t>
      </w:r>
      <w:r>
        <w:rPr>
          <w:rFonts w:ascii="Times New Roman" w:hAnsi="Times New Roman" w:cs="Times New Roman"/>
          <w:color w:val="000000"/>
          <w:sz w:val="16"/>
          <w:szCs w:val="16"/>
          <w:lang w:val="en-US"/>
        </w:rPr>
        <w:t xml:space="preserve"> </w:t>
      </w:r>
      <w:r w:rsidRPr="006C2CA8">
        <w:rPr>
          <w:rFonts w:ascii="Times New Roman" w:hAnsi="Times New Roman" w:cs="Times New Roman"/>
          <w:color w:val="000000"/>
          <w:sz w:val="16"/>
          <w:szCs w:val="16"/>
          <w:lang w:val="en-US"/>
        </w:rPr>
        <w:t xml:space="preserve">(FL): </w:t>
      </w:r>
      <w:proofErr w:type="spellStart"/>
      <w:r w:rsidRPr="006C2CA8">
        <w:rPr>
          <w:rFonts w:ascii="Times New Roman" w:hAnsi="Times New Roman" w:cs="Times New Roman"/>
          <w:color w:val="000000"/>
          <w:sz w:val="16"/>
          <w:szCs w:val="16"/>
          <w:lang w:val="en-US"/>
        </w:rPr>
        <w:t>StatPearls</w:t>
      </w:r>
      <w:proofErr w:type="spellEnd"/>
      <w:r w:rsidRPr="006C2CA8">
        <w:rPr>
          <w:rFonts w:ascii="Times New Roman" w:hAnsi="Times New Roman" w:cs="Times New Roman"/>
          <w:color w:val="000000"/>
          <w:sz w:val="16"/>
          <w:szCs w:val="16"/>
          <w:lang w:val="en-US"/>
        </w:rPr>
        <w:t xml:space="preserve"> Publishing; 2022</w:t>
      </w:r>
    </w:p>
    <w:p w14:paraId="057D73A1" w14:textId="25672D43" w:rsidR="00D61575" w:rsidRDefault="00D61575" w:rsidP="00D61575">
      <w:pPr>
        <w:autoSpaceDE w:val="0"/>
        <w:autoSpaceDN w:val="0"/>
        <w:adjustRightInd w:val="0"/>
        <w:spacing w:line="240" w:lineRule="auto"/>
        <w:jc w:val="both"/>
        <w:rPr>
          <w:rFonts w:ascii="Times New Roman" w:hAnsi="Times New Roman" w:cs="Times New Roman"/>
          <w:color w:val="000000"/>
          <w:sz w:val="16"/>
          <w:szCs w:val="16"/>
          <w:lang w:val="en-US"/>
        </w:rPr>
      </w:pPr>
      <w:r w:rsidRPr="006C2CA8">
        <w:rPr>
          <w:rFonts w:ascii="Times New Roman" w:hAnsi="Times New Roman" w:cs="Times New Roman"/>
          <w:color w:val="000000"/>
          <w:sz w:val="16"/>
          <w:szCs w:val="16"/>
          <w:lang w:val="en-US"/>
        </w:rPr>
        <w:t>[</w:t>
      </w:r>
      <w:r w:rsidR="002C6662">
        <w:rPr>
          <w:rFonts w:ascii="Times New Roman" w:hAnsi="Times New Roman" w:cs="Times New Roman"/>
          <w:color w:val="000000"/>
          <w:sz w:val="16"/>
          <w:szCs w:val="16"/>
          <w:lang w:val="en-US"/>
        </w:rPr>
        <w:t>4</w:t>
      </w:r>
      <w:r w:rsidRPr="006C2CA8">
        <w:rPr>
          <w:rFonts w:ascii="Times New Roman" w:hAnsi="Times New Roman" w:cs="Times New Roman"/>
          <w:color w:val="000000"/>
          <w:sz w:val="16"/>
          <w:szCs w:val="16"/>
          <w:lang w:val="en-US"/>
        </w:rPr>
        <w:t>] Robert MF, Neff RK, Hubbell JP,</w:t>
      </w:r>
      <w:r>
        <w:rPr>
          <w:rFonts w:ascii="Times New Roman" w:hAnsi="Times New Roman" w:cs="Times New Roman"/>
          <w:color w:val="000000"/>
          <w:sz w:val="16"/>
          <w:szCs w:val="16"/>
          <w:lang w:val="en-US"/>
        </w:rPr>
        <w:t xml:space="preserve"> </w:t>
      </w:r>
      <w:proofErr w:type="spellStart"/>
      <w:r w:rsidRPr="006C2CA8">
        <w:rPr>
          <w:rFonts w:ascii="Times New Roman" w:hAnsi="Times New Roman" w:cs="Times New Roman"/>
          <w:color w:val="000000"/>
          <w:sz w:val="16"/>
          <w:szCs w:val="16"/>
          <w:lang w:val="en-US"/>
        </w:rPr>
        <w:t>Taeusch</w:t>
      </w:r>
      <w:proofErr w:type="spellEnd"/>
      <w:r w:rsidRPr="006C2CA8">
        <w:rPr>
          <w:rFonts w:ascii="Times New Roman" w:hAnsi="Times New Roman" w:cs="Times New Roman"/>
          <w:color w:val="000000"/>
          <w:sz w:val="16"/>
          <w:szCs w:val="16"/>
          <w:lang w:val="en-US"/>
        </w:rPr>
        <w:t xml:space="preserve"> HW, Avery ME. Association</w:t>
      </w:r>
      <w:r>
        <w:rPr>
          <w:rFonts w:ascii="Times New Roman" w:hAnsi="Times New Roman" w:cs="Times New Roman"/>
          <w:color w:val="000000"/>
          <w:sz w:val="16"/>
          <w:szCs w:val="16"/>
          <w:lang w:val="en-US"/>
        </w:rPr>
        <w:t xml:space="preserve"> </w:t>
      </w:r>
      <w:r w:rsidRPr="006C2CA8">
        <w:rPr>
          <w:rFonts w:ascii="Times New Roman" w:hAnsi="Times New Roman" w:cs="Times New Roman"/>
          <w:color w:val="000000"/>
          <w:sz w:val="16"/>
          <w:szCs w:val="16"/>
          <w:lang w:val="en-US"/>
        </w:rPr>
        <w:t>between maternal diabetes and the</w:t>
      </w:r>
      <w:r>
        <w:rPr>
          <w:rFonts w:ascii="Times New Roman" w:hAnsi="Times New Roman" w:cs="Times New Roman"/>
          <w:color w:val="000000"/>
          <w:sz w:val="16"/>
          <w:szCs w:val="16"/>
          <w:lang w:val="en-US"/>
        </w:rPr>
        <w:t xml:space="preserve"> </w:t>
      </w:r>
      <w:r w:rsidRPr="006C2CA8">
        <w:rPr>
          <w:rFonts w:ascii="Times New Roman" w:hAnsi="Times New Roman" w:cs="Times New Roman"/>
          <w:color w:val="000000"/>
          <w:sz w:val="16"/>
          <w:szCs w:val="16"/>
          <w:lang w:val="en-US"/>
        </w:rPr>
        <w:t xml:space="preserve">respiratory-distress syndrome in </w:t>
      </w:r>
      <w:proofErr w:type="spellStart"/>
      <w:r w:rsidRPr="006C2CA8">
        <w:rPr>
          <w:rFonts w:ascii="Times New Roman" w:hAnsi="Times New Roman" w:cs="Times New Roman"/>
          <w:color w:val="000000"/>
          <w:sz w:val="16"/>
          <w:szCs w:val="16"/>
          <w:lang w:val="en-US"/>
        </w:rPr>
        <w:t>thenewborn</w:t>
      </w:r>
      <w:proofErr w:type="spellEnd"/>
      <w:r w:rsidRPr="006C2CA8">
        <w:rPr>
          <w:rFonts w:ascii="Times New Roman" w:hAnsi="Times New Roman" w:cs="Times New Roman"/>
          <w:color w:val="000000"/>
          <w:sz w:val="16"/>
          <w:szCs w:val="16"/>
          <w:lang w:val="en-US"/>
        </w:rPr>
        <w:t>. The New England Journal of</w:t>
      </w:r>
      <w:r>
        <w:rPr>
          <w:rFonts w:ascii="Times New Roman" w:hAnsi="Times New Roman" w:cs="Times New Roman"/>
          <w:color w:val="000000"/>
          <w:sz w:val="16"/>
          <w:szCs w:val="16"/>
          <w:lang w:val="en-US"/>
        </w:rPr>
        <w:t xml:space="preserve"> </w:t>
      </w:r>
      <w:r w:rsidRPr="006C2CA8">
        <w:rPr>
          <w:rFonts w:ascii="Times New Roman" w:hAnsi="Times New Roman" w:cs="Times New Roman"/>
          <w:color w:val="000000"/>
          <w:sz w:val="16"/>
          <w:szCs w:val="16"/>
          <w:lang w:val="en-US"/>
        </w:rPr>
        <w:t>Medicine. 1976;294(7):357-360</w:t>
      </w:r>
    </w:p>
    <w:p w14:paraId="247B221B" w14:textId="0706192F" w:rsidR="002C6662" w:rsidRDefault="002C6662" w:rsidP="002C6662">
      <w:pPr>
        <w:autoSpaceDE w:val="0"/>
        <w:autoSpaceDN w:val="0"/>
        <w:adjustRightInd w:val="0"/>
        <w:spacing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w:t>
      </w:r>
      <w:r w:rsidRPr="002C6662">
        <w:rPr>
          <w:rFonts w:ascii="Times New Roman" w:hAnsi="Times New Roman" w:cs="Times New Roman"/>
          <w:color w:val="000000"/>
          <w:sz w:val="16"/>
          <w:szCs w:val="16"/>
          <w:lang w:val="en-US"/>
        </w:rPr>
        <w:t>5</w:t>
      </w:r>
      <w:r>
        <w:rPr>
          <w:rFonts w:ascii="Times New Roman" w:hAnsi="Times New Roman" w:cs="Times New Roman"/>
          <w:color w:val="000000"/>
          <w:sz w:val="16"/>
          <w:szCs w:val="16"/>
          <w:lang w:val="en-US"/>
        </w:rPr>
        <w:t>]</w:t>
      </w:r>
      <w:r w:rsidRPr="002C6662">
        <w:rPr>
          <w:rFonts w:ascii="Times New Roman" w:hAnsi="Times New Roman" w:cs="Times New Roman"/>
          <w:color w:val="000000"/>
          <w:sz w:val="16"/>
          <w:szCs w:val="16"/>
          <w:lang w:val="en-US"/>
        </w:rPr>
        <w:t xml:space="preserve">. </w:t>
      </w:r>
      <w:proofErr w:type="spellStart"/>
      <w:r w:rsidRPr="002C6662">
        <w:rPr>
          <w:rFonts w:ascii="Times New Roman" w:hAnsi="Times New Roman" w:cs="Times New Roman"/>
          <w:color w:val="000000"/>
          <w:sz w:val="16"/>
          <w:szCs w:val="16"/>
          <w:lang w:val="en-US"/>
        </w:rPr>
        <w:t>Abokaf</w:t>
      </w:r>
      <w:proofErr w:type="spellEnd"/>
      <w:r w:rsidRPr="002C6662">
        <w:rPr>
          <w:rFonts w:ascii="Times New Roman" w:hAnsi="Times New Roman" w:cs="Times New Roman"/>
          <w:color w:val="000000"/>
          <w:sz w:val="16"/>
          <w:szCs w:val="16"/>
          <w:lang w:val="en-US"/>
        </w:rPr>
        <w:t xml:space="preserve"> H, </w:t>
      </w:r>
      <w:proofErr w:type="spellStart"/>
      <w:r w:rsidRPr="002C6662">
        <w:rPr>
          <w:rFonts w:ascii="Times New Roman" w:hAnsi="Times New Roman" w:cs="Times New Roman"/>
          <w:color w:val="000000"/>
          <w:sz w:val="16"/>
          <w:szCs w:val="16"/>
          <w:lang w:val="en-US"/>
        </w:rPr>
        <w:t>Shoham-Vardi</w:t>
      </w:r>
      <w:proofErr w:type="spellEnd"/>
      <w:r w:rsidRPr="002C6662">
        <w:rPr>
          <w:rFonts w:ascii="Times New Roman" w:hAnsi="Times New Roman" w:cs="Times New Roman"/>
          <w:color w:val="000000"/>
          <w:sz w:val="16"/>
          <w:szCs w:val="16"/>
          <w:lang w:val="en-US"/>
        </w:rPr>
        <w:t xml:space="preserve"> I, </w:t>
      </w:r>
      <w:proofErr w:type="spellStart"/>
      <w:r w:rsidRPr="002C6662">
        <w:rPr>
          <w:rFonts w:ascii="Times New Roman" w:hAnsi="Times New Roman" w:cs="Times New Roman"/>
          <w:color w:val="000000"/>
          <w:sz w:val="16"/>
          <w:szCs w:val="16"/>
          <w:lang w:val="en-US"/>
        </w:rPr>
        <w:t>Sergienko</w:t>
      </w:r>
      <w:proofErr w:type="spellEnd"/>
      <w:r w:rsidRPr="002C6662">
        <w:rPr>
          <w:rFonts w:ascii="Times New Roman" w:hAnsi="Times New Roman" w:cs="Times New Roman"/>
          <w:color w:val="000000"/>
          <w:sz w:val="16"/>
          <w:szCs w:val="16"/>
          <w:lang w:val="en-US"/>
        </w:rPr>
        <w:t xml:space="preserve"> R, Landau D, </w:t>
      </w:r>
      <w:proofErr w:type="spellStart"/>
      <w:r w:rsidRPr="002C6662">
        <w:rPr>
          <w:rFonts w:ascii="Times New Roman" w:hAnsi="Times New Roman" w:cs="Times New Roman"/>
          <w:color w:val="000000"/>
          <w:sz w:val="16"/>
          <w:szCs w:val="16"/>
          <w:lang w:val="en-US"/>
        </w:rPr>
        <w:t>Sheiner</w:t>
      </w:r>
      <w:proofErr w:type="spellEnd"/>
      <w:r w:rsidRPr="002C6662">
        <w:rPr>
          <w:rFonts w:ascii="Times New Roman" w:hAnsi="Times New Roman" w:cs="Times New Roman"/>
          <w:color w:val="000000"/>
          <w:sz w:val="16"/>
          <w:szCs w:val="16"/>
          <w:lang w:val="en-US"/>
        </w:rPr>
        <w:t xml:space="preserve"> E. In utero exposure</w:t>
      </w:r>
      <w:r>
        <w:rPr>
          <w:rFonts w:ascii="Times New Roman" w:hAnsi="Times New Roman" w:cs="Times New Roman"/>
          <w:color w:val="000000"/>
          <w:sz w:val="16"/>
          <w:szCs w:val="16"/>
          <w:lang w:val="en-US"/>
        </w:rPr>
        <w:t xml:space="preserve"> </w:t>
      </w:r>
      <w:r w:rsidRPr="002C6662">
        <w:rPr>
          <w:rFonts w:ascii="Times New Roman" w:hAnsi="Times New Roman" w:cs="Times New Roman"/>
          <w:color w:val="000000"/>
          <w:sz w:val="16"/>
          <w:szCs w:val="16"/>
          <w:lang w:val="en-US"/>
        </w:rPr>
        <w:t xml:space="preserve">to gestational diabetes mellitus and </w:t>
      </w:r>
      <w:proofErr w:type="gramStart"/>
      <w:r w:rsidRPr="002C6662">
        <w:rPr>
          <w:rFonts w:ascii="Times New Roman" w:hAnsi="Times New Roman" w:cs="Times New Roman"/>
          <w:color w:val="000000"/>
          <w:sz w:val="16"/>
          <w:szCs w:val="16"/>
          <w:lang w:val="en-US"/>
        </w:rPr>
        <w:t>long term</w:t>
      </w:r>
      <w:proofErr w:type="gramEnd"/>
      <w:r w:rsidRPr="002C6662">
        <w:rPr>
          <w:rFonts w:ascii="Times New Roman" w:hAnsi="Times New Roman" w:cs="Times New Roman"/>
          <w:color w:val="000000"/>
          <w:sz w:val="16"/>
          <w:szCs w:val="16"/>
          <w:lang w:val="en-US"/>
        </w:rPr>
        <w:t xml:space="preserve"> endocrine morbidity of the offspring.</w:t>
      </w:r>
      <w:r>
        <w:rPr>
          <w:rFonts w:ascii="Times New Roman" w:hAnsi="Times New Roman" w:cs="Times New Roman"/>
          <w:color w:val="000000"/>
          <w:sz w:val="16"/>
          <w:szCs w:val="16"/>
          <w:lang w:val="en-US"/>
        </w:rPr>
        <w:t xml:space="preserve"> </w:t>
      </w:r>
      <w:r w:rsidRPr="002C6662">
        <w:rPr>
          <w:rFonts w:ascii="Times New Roman" w:hAnsi="Times New Roman" w:cs="Times New Roman"/>
          <w:color w:val="000000"/>
          <w:sz w:val="16"/>
          <w:szCs w:val="16"/>
          <w:lang w:val="en-US"/>
        </w:rPr>
        <w:t xml:space="preserve">Diabetes Res Clin </w:t>
      </w:r>
      <w:proofErr w:type="spellStart"/>
      <w:r w:rsidRPr="002C6662">
        <w:rPr>
          <w:rFonts w:ascii="Times New Roman" w:hAnsi="Times New Roman" w:cs="Times New Roman"/>
          <w:color w:val="000000"/>
          <w:sz w:val="16"/>
          <w:szCs w:val="16"/>
          <w:lang w:val="en-US"/>
        </w:rPr>
        <w:t>Pract</w:t>
      </w:r>
      <w:proofErr w:type="spellEnd"/>
      <w:r w:rsidRPr="002C6662">
        <w:rPr>
          <w:rFonts w:ascii="Times New Roman" w:hAnsi="Times New Roman" w:cs="Times New Roman"/>
          <w:color w:val="000000"/>
          <w:sz w:val="16"/>
          <w:szCs w:val="16"/>
          <w:lang w:val="en-US"/>
        </w:rPr>
        <w:t xml:space="preserve"> (2018) 144:231–5. </w:t>
      </w:r>
      <w:proofErr w:type="spellStart"/>
      <w:r w:rsidRPr="002C6662">
        <w:rPr>
          <w:rFonts w:ascii="Times New Roman" w:hAnsi="Times New Roman" w:cs="Times New Roman"/>
          <w:color w:val="000000"/>
          <w:sz w:val="16"/>
          <w:szCs w:val="16"/>
          <w:lang w:val="en-US"/>
        </w:rPr>
        <w:t>doi</w:t>
      </w:r>
      <w:proofErr w:type="spellEnd"/>
      <w:r w:rsidRPr="002C6662">
        <w:rPr>
          <w:rFonts w:ascii="Times New Roman" w:hAnsi="Times New Roman" w:cs="Times New Roman"/>
          <w:color w:val="000000"/>
          <w:sz w:val="16"/>
          <w:szCs w:val="16"/>
          <w:lang w:val="en-US"/>
        </w:rPr>
        <w:t>: 10.1016/j.diabres.2018.09.003</w:t>
      </w:r>
    </w:p>
    <w:p w14:paraId="2E72E2FC" w14:textId="7A0558DC" w:rsidR="002C6662" w:rsidRDefault="002C6662" w:rsidP="002C6662">
      <w:pPr>
        <w:autoSpaceDE w:val="0"/>
        <w:autoSpaceDN w:val="0"/>
        <w:adjustRightInd w:val="0"/>
        <w:spacing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[6]</w:t>
      </w:r>
      <w:r w:rsidRPr="002C6662">
        <w:rPr>
          <w:rFonts w:ascii="Times New Roman" w:hAnsi="Times New Roman" w:cs="Times New Roman"/>
          <w:color w:val="000000"/>
          <w:sz w:val="16"/>
          <w:szCs w:val="16"/>
          <w:lang w:val="en-US"/>
        </w:rPr>
        <w:t>. Li P, Lin S, Li L, Cui J, Zhou S, Fan J. First-trimester fasting plasma glucose as a</w:t>
      </w:r>
      <w:r>
        <w:rPr>
          <w:rFonts w:ascii="Times New Roman" w:hAnsi="Times New Roman" w:cs="Times New Roman"/>
          <w:color w:val="000000"/>
          <w:sz w:val="16"/>
          <w:szCs w:val="16"/>
          <w:lang w:val="en-US"/>
        </w:rPr>
        <w:t xml:space="preserve"> </w:t>
      </w:r>
      <w:r w:rsidRPr="002C6662">
        <w:rPr>
          <w:rFonts w:ascii="Times New Roman" w:hAnsi="Times New Roman" w:cs="Times New Roman"/>
          <w:color w:val="000000"/>
          <w:sz w:val="16"/>
          <w:szCs w:val="16"/>
          <w:lang w:val="en-US"/>
        </w:rPr>
        <w:t>predictor of gestational diabetes mellitus and the association with adverse pregnancy</w:t>
      </w:r>
      <w:r>
        <w:rPr>
          <w:rFonts w:ascii="Times New Roman" w:hAnsi="Times New Roman" w:cs="Times New Roman"/>
          <w:color w:val="000000"/>
          <w:sz w:val="16"/>
          <w:szCs w:val="16"/>
          <w:lang w:val="en-US"/>
        </w:rPr>
        <w:t xml:space="preserve"> </w:t>
      </w:r>
      <w:r w:rsidRPr="002C6662">
        <w:rPr>
          <w:rFonts w:ascii="Times New Roman" w:hAnsi="Times New Roman" w:cs="Times New Roman"/>
          <w:color w:val="000000"/>
          <w:sz w:val="16"/>
          <w:szCs w:val="16"/>
          <w:lang w:val="en-US"/>
        </w:rPr>
        <w:t xml:space="preserve">outcomes. Pak J Med Sci (2019) 35:95–100. </w:t>
      </w:r>
      <w:proofErr w:type="spellStart"/>
      <w:r w:rsidRPr="002C6662">
        <w:rPr>
          <w:rFonts w:ascii="Times New Roman" w:hAnsi="Times New Roman" w:cs="Times New Roman"/>
          <w:color w:val="000000"/>
          <w:sz w:val="16"/>
          <w:szCs w:val="16"/>
          <w:lang w:val="en-US"/>
        </w:rPr>
        <w:t>doi</w:t>
      </w:r>
      <w:proofErr w:type="spellEnd"/>
      <w:r w:rsidRPr="002C6662">
        <w:rPr>
          <w:rFonts w:ascii="Times New Roman" w:hAnsi="Times New Roman" w:cs="Times New Roman"/>
          <w:color w:val="000000"/>
          <w:sz w:val="16"/>
          <w:szCs w:val="16"/>
          <w:lang w:val="en-US"/>
        </w:rPr>
        <w:t>: 10.12669/pjms.35.1.216</w:t>
      </w:r>
    </w:p>
    <w:p w14:paraId="7BCA6AFD" w14:textId="1AC77760" w:rsidR="00D61575" w:rsidRPr="00D61575" w:rsidRDefault="00D61575" w:rsidP="00D61575">
      <w:pPr>
        <w:autoSpaceDE w:val="0"/>
        <w:autoSpaceDN w:val="0"/>
        <w:adjustRightInd w:val="0"/>
        <w:spacing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w:t>
      </w:r>
      <w:r w:rsidR="002C6662">
        <w:rPr>
          <w:rFonts w:ascii="Times New Roman" w:hAnsi="Times New Roman" w:cs="Times New Roman"/>
          <w:color w:val="000000"/>
          <w:sz w:val="16"/>
          <w:szCs w:val="16"/>
          <w:lang w:val="en-US"/>
        </w:rPr>
        <w:t>7</w:t>
      </w:r>
      <w:r>
        <w:rPr>
          <w:rFonts w:ascii="Times New Roman" w:hAnsi="Times New Roman" w:cs="Times New Roman"/>
          <w:color w:val="000000"/>
          <w:sz w:val="16"/>
          <w:szCs w:val="16"/>
          <w:lang w:val="en-US"/>
        </w:rPr>
        <w:t>]</w:t>
      </w:r>
      <w:r w:rsidRPr="00D61575">
        <w:rPr>
          <w:rFonts w:ascii="Times New Roman" w:hAnsi="Times New Roman" w:cs="Times New Roman"/>
          <w:color w:val="000000"/>
          <w:sz w:val="16"/>
          <w:szCs w:val="16"/>
          <w:lang w:val="en-US"/>
        </w:rPr>
        <w:t>. Lee S-H, Park S-Y, Choi CS. Insulin resistance: from mechanisms to therapeutic</w:t>
      </w:r>
      <w:r>
        <w:rPr>
          <w:rFonts w:ascii="Times New Roman" w:hAnsi="Times New Roman" w:cs="Times New Roman"/>
          <w:color w:val="000000"/>
          <w:sz w:val="16"/>
          <w:szCs w:val="16"/>
          <w:lang w:val="en-US"/>
        </w:rPr>
        <w:t xml:space="preserve"> </w:t>
      </w:r>
      <w:r w:rsidRPr="00D61575">
        <w:rPr>
          <w:rFonts w:ascii="Times New Roman" w:hAnsi="Times New Roman" w:cs="Times New Roman"/>
          <w:color w:val="000000"/>
          <w:sz w:val="16"/>
          <w:szCs w:val="16"/>
          <w:lang w:val="en-US"/>
        </w:rPr>
        <w:t xml:space="preserve">strategies. Diabetes </w:t>
      </w:r>
      <w:proofErr w:type="spellStart"/>
      <w:r w:rsidRPr="00D61575">
        <w:rPr>
          <w:rFonts w:ascii="Times New Roman" w:hAnsi="Times New Roman" w:cs="Times New Roman"/>
          <w:color w:val="000000"/>
          <w:sz w:val="16"/>
          <w:szCs w:val="16"/>
          <w:lang w:val="en-US"/>
        </w:rPr>
        <w:t>Metab</w:t>
      </w:r>
      <w:proofErr w:type="spellEnd"/>
      <w:r w:rsidRPr="00D61575">
        <w:rPr>
          <w:rFonts w:ascii="Times New Roman" w:hAnsi="Times New Roman" w:cs="Times New Roman"/>
          <w:color w:val="000000"/>
          <w:sz w:val="16"/>
          <w:szCs w:val="16"/>
          <w:lang w:val="en-US"/>
        </w:rPr>
        <w:t xml:space="preserve"> J (2022) 46:15–37. </w:t>
      </w:r>
      <w:proofErr w:type="spellStart"/>
      <w:r w:rsidRPr="00D61575">
        <w:rPr>
          <w:rFonts w:ascii="Times New Roman" w:hAnsi="Times New Roman" w:cs="Times New Roman"/>
          <w:color w:val="000000"/>
          <w:sz w:val="16"/>
          <w:szCs w:val="16"/>
          <w:lang w:val="en-US"/>
        </w:rPr>
        <w:t>doi</w:t>
      </w:r>
      <w:proofErr w:type="spellEnd"/>
      <w:r w:rsidRPr="00D61575">
        <w:rPr>
          <w:rFonts w:ascii="Times New Roman" w:hAnsi="Times New Roman" w:cs="Times New Roman"/>
          <w:color w:val="000000"/>
          <w:sz w:val="16"/>
          <w:szCs w:val="16"/>
          <w:lang w:val="en-US"/>
        </w:rPr>
        <w:t>: 10.4093/dmj.2021.0280</w:t>
      </w:r>
    </w:p>
    <w:p w14:paraId="46FB0A34" w14:textId="4A0D4463" w:rsidR="00D61575" w:rsidRDefault="00D61575" w:rsidP="00D61575">
      <w:pPr>
        <w:autoSpaceDE w:val="0"/>
        <w:autoSpaceDN w:val="0"/>
        <w:adjustRightInd w:val="0"/>
        <w:spacing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w:t>
      </w:r>
      <w:r w:rsidR="002C6662">
        <w:rPr>
          <w:rFonts w:ascii="Times New Roman" w:hAnsi="Times New Roman" w:cs="Times New Roman"/>
          <w:color w:val="000000"/>
          <w:sz w:val="16"/>
          <w:szCs w:val="16"/>
          <w:lang w:val="en-US"/>
        </w:rPr>
        <w:t>8</w:t>
      </w:r>
      <w:r>
        <w:rPr>
          <w:rFonts w:ascii="Times New Roman" w:hAnsi="Times New Roman" w:cs="Times New Roman"/>
          <w:color w:val="000000"/>
          <w:sz w:val="16"/>
          <w:szCs w:val="16"/>
          <w:lang w:val="en-US"/>
        </w:rPr>
        <w:t>]</w:t>
      </w:r>
      <w:r w:rsidRPr="00D61575">
        <w:rPr>
          <w:rFonts w:ascii="Times New Roman" w:hAnsi="Times New Roman" w:cs="Times New Roman"/>
          <w:color w:val="000000"/>
          <w:sz w:val="16"/>
          <w:szCs w:val="16"/>
          <w:lang w:val="en-US"/>
        </w:rPr>
        <w:t xml:space="preserve">. Duo Y, Song S, Zhang Y, </w:t>
      </w:r>
      <w:proofErr w:type="spellStart"/>
      <w:r w:rsidRPr="00D61575">
        <w:rPr>
          <w:rFonts w:ascii="Times New Roman" w:hAnsi="Times New Roman" w:cs="Times New Roman"/>
          <w:color w:val="000000"/>
          <w:sz w:val="16"/>
          <w:szCs w:val="16"/>
          <w:lang w:val="en-US"/>
        </w:rPr>
        <w:t>Qiao</w:t>
      </w:r>
      <w:proofErr w:type="spellEnd"/>
      <w:r w:rsidRPr="00D61575">
        <w:rPr>
          <w:rFonts w:ascii="Times New Roman" w:hAnsi="Times New Roman" w:cs="Times New Roman"/>
          <w:color w:val="000000"/>
          <w:sz w:val="16"/>
          <w:szCs w:val="16"/>
          <w:lang w:val="en-US"/>
        </w:rPr>
        <w:t xml:space="preserve"> X, Xu J, Zhang J, et al. Predictability of HOMA-</w:t>
      </w:r>
      <w:proofErr w:type="gramStart"/>
      <w:r w:rsidRPr="00D61575">
        <w:rPr>
          <w:rFonts w:ascii="Times New Roman" w:hAnsi="Times New Roman" w:cs="Times New Roman"/>
          <w:color w:val="000000"/>
          <w:sz w:val="16"/>
          <w:szCs w:val="16"/>
          <w:lang w:val="en-US"/>
        </w:rPr>
        <w:t>IR</w:t>
      </w:r>
      <w:r>
        <w:rPr>
          <w:rFonts w:ascii="Times New Roman" w:hAnsi="Times New Roman" w:cs="Times New Roman"/>
          <w:color w:val="000000"/>
          <w:sz w:val="16"/>
          <w:szCs w:val="16"/>
          <w:lang w:val="en-US"/>
        </w:rPr>
        <w:t xml:space="preserve">  </w:t>
      </w:r>
      <w:r w:rsidRPr="00D61575">
        <w:rPr>
          <w:rFonts w:ascii="Times New Roman" w:hAnsi="Times New Roman" w:cs="Times New Roman"/>
          <w:color w:val="000000"/>
          <w:sz w:val="16"/>
          <w:szCs w:val="16"/>
          <w:lang w:val="en-US"/>
        </w:rPr>
        <w:t>for</w:t>
      </w:r>
      <w:proofErr w:type="gramEnd"/>
      <w:r w:rsidRPr="00D61575">
        <w:rPr>
          <w:rFonts w:ascii="Times New Roman" w:hAnsi="Times New Roman" w:cs="Times New Roman"/>
          <w:color w:val="000000"/>
          <w:sz w:val="16"/>
          <w:szCs w:val="16"/>
          <w:lang w:val="en-US"/>
        </w:rPr>
        <w:t xml:space="preserve"> gestational diabetes mellitus in early pregnancy based on different first trimester</w:t>
      </w:r>
      <w:r>
        <w:rPr>
          <w:rFonts w:ascii="Times New Roman" w:hAnsi="Times New Roman" w:cs="Times New Roman"/>
          <w:color w:val="000000"/>
          <w:sz w:val="16"/>
          <w:szCs w:val="16"/>
          <w:lang w:val="en-US"/>
        </w:rPr>
        <w:t xml:space="preserve"> </w:t>
      </w:r>
      <w:r w:rsidRPr="00D61575">
        <w:rPr>
          <w:rFonts w:ascii="Times New Roman" w:hAnsi="Times New Roman" w:cs="Times New Roman"/>
          <w:color w:val="000000"/>
          <w:sz w:val="16"/>
          <w:szCs w:val="16"/>
          <w:lang w:val="en-US"/>
        </w:rPr>
        <w:t xml:space="preserve">BMI values. J Pers Med (2022) 13:60. </w:t>
      </w:r>
      <w:proofErr w:type="spellStart"/>
      <w:r w:rsidRPr="00D61575">
        <w:rPr>
          <w:rFonts w:ascii="Times New Roman" w:hAnsi="Times New Roman" w:cs="Times New Roman"/>
          <w:color w:val="000000"/>
          <w:sz w:val="16"/>
          <w:szCs w:val="16"/>
          <w:lang w:val="en-US"/>
        </w:rPr>
        <w:t>doi</w:t>
      </w:r>
      <w:proofErr w:type="spellEnd"/>
      <w:r w:rsidRPr="00D61575">
        <w:rPr>
          <w:rFonts w:ascii="Times New Roman" w:hAnsi="Times New Roman" w:cs="Times New Roman"/>
          <w:color w:val="000000"/>
          <w:sz w:val="16"/>
          <w:szCs w:val="16"/>
          <w:lang w:val="en-US"/>
        </w:rPr>
        <w:t>: 10.3390/jpm13010060</w:t>
      </w:r>
    </w:p>
    <w:p w14:paraId="1BDDC80F" w14:textId="2A471C89" w:rsidR="00535A7D" w:rsidRPr="00535A7D" w:rsidRDefault="00535A7D" w:rsidP="00535A7D">
      <w:pPr>
        <w:autoSpaceDE w:val="0"/>
        <w:autoSpaceDN w:val="0"/>
        <w:adjustRightInd w:val="0"/>
        <w:spacing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[9]</w:t>
      </w:r>
      <w:r w:rsidRPr="00535A7D">
        <w:rPr>
          <w:rFonts w:ascii="Times New Roman" w:hAnsi="Times New Roman" w:cs="Times New Roman"/>
          <w:color w:val="000000"/>
          <w:sz w:val="16"/>
          <w:szCs w:val="16"/>
          <w:lang w:val="en-US"/>
        </w:rPr>
        <w:t xml:space="preserve">. Khan SH, Sobia F, </w:t>
      </w:r>
      <w:proofErr w:type="spellStart"/>
      <w:proofErr w:type="gramStart"/>
      <w:r w:rsidRPr="00535A7D">
        <w:rPr>
          <w:rFonts w:ascii="Times New Roman" w:hAnsi="Times New Roman" w:cs="Times New Roman"/>
          <w:color w:val="000000"/>
          <w:sz w:val="16"/>
          <w:szCs w:val="16"/>
          <w:lang w:val="en-US"/>
        </w:rPr>
        <w:t>NiaziNK,Manzoor</w:t>
      </w:r>
      <w:proofErr w:type="spellEnd"/>
      <w:proofErr w:type="gramEnd"/>
      <w:r w:rsidRPr="00535A7D">
        <w:rPr>
          <w:rFonts w:ascii="Times New Roman" w:hAnsi="Times New Roman" w:cs="Times New Roman"/>
          <w:color w:val="000000"/>
          <w:sz w:val="16"/>
          <w:szCs w:val="16"/>
          <w:lang w:val="en-US"/>
        </w:rPr>
        <w:t xml:space="preserve"> SM, </w:t>
      </w:r>
      <w:proofErr w:type="spellStart"/>
      <w:r w:rsidRPr="00535A7D">
        <w:rPr>
          <w:rFonts w:ascii="Times New Roman" w:hAnsi="Times New Roman" w:cs="Times New Roman"/>
          <w:color w:val="000000"/>
          <w:sz w:val="16"/>
          <w:szCs w:val="16"/>
          <w:lang w:val="en-US"/>
        </w:rPr>
        <w:t>FazalN</w:t>
      </w:r>
      <w:proofErr w:type="spellEnd"/>
      <w:r w:rsidRPr="00535A7D">
        <w:rPr>
          <w:rFonts w:ascii="Times New Roman" w:hAnsi="Times New Roman" w:cs="Times New Roman"/>
          <w:color w:val="000000"/>
          <w:sz w:val="16"/>
          <w:szCs w:val="16"/>
          <w:lang w:val="en-US"/>
        </w:rPr>
        <w:t>, Ahmad F. Metabolic clustering</w:t>
      </w:r>
      <w:r>
        <w:rPr>
          <w:rFonts w:ascii="Times New Roman" w:hAnsi="Times New Roman" w:cs="Times New Roman"/>
          <w:color w:val="000000"/>
          <w:sz w:val="16"/>
          <w:szCs w:val="16"/>
          <w:lang w:val="en-US"/>
        </w:rPr>
        <w:t xml:space="preserve"> </w:t>
      </w:r>
      <w:r w:rsidRPr="00535A7D">
        <w:rPr>
          <w:rFonts w:ascii="Times New Roman" w:hAnsi="Times New Roman" w:cs="Times New Roman"/>
          <w:color w:val="000000"/>
          <w:sz w:val="16"/>
          <w:szCs w:val="16"/>
          <w:lang w:val="en-US"/>
        </w:rPr>
        <w:t>of risk factors: evaluation of Triglyceride-glucose index (</w:t>
      </w:r>
      <w:proofErr w:type="spellStart"/>
      <w:r w:rsidRPr="00535A7D">
        <w:rPr>
          <w:rFonts w:ascii="Times New Roman" w:hAnsi="Times New Roman" w:cs="Times New Roman"/>
          <w:color w:val="000000"/>
          <w:sz w:val="16"/>
          <w:szCs w:val="16"/>
          <w:lang w:val="en-US"/>
        </w:rPr>
        <w:t>TyG</w:t>
      </w:r>
      <w:proofErr w:type="spellEnd"/>
      <w:r w:rsidRPr="00535A7D">
        <w:rPr>
          <w:rFonts w:ascii="Times New Roman" w:hAnsi="Times New Roman" w:cs="Times New Roman"/>
          <w:color w:val="000000"/>
          <w:sz w:val="16"/>
          <w:szCs w:val="16"/>
          <w:lang w:val="en-US"/>
        </w:rPr>
        <w:t xml:space="preserve"> index) for evaluation of</w:t>
      </w:r>
      <w:r>
        <w:rPr>
          <w:rFonts w:ascii="Times New Roman" w:hAnsi="Times New Roman" w:cs="Times New Roman"/>
          <w:color w:val="000000"/>
          <w:sz w:val="16"/>
          <w:szCs w:val="16"/>
          <w:lang w:val="en-US"/>
        </w:rPr>
        <w:t xml:space="preserve"> </w:t>
      </w:r>
      <w:r w:rsidRPr="00535A7D">
        <w:rPr>
          <w:rFonts w:ascii="Times New Roman" w:hAnsi="Times New Roman" w:cs="Times New Roman"/>
          <w:color w:val="000000"/>
          <w:sz w:val="16"/>
          <w:szCs w:val="16"/>
          <w:lang w:val="en-US"/>
        </w:rPr>
        <w:t xml:space="preserve">insulin resistance. </w:t>
      </w:r>
      <w:proofErr w:type="spellStart"/>
      <w:r w:rsidRPr="00535A7D">
        <w:rPr>
          <w:rFonts w:ascii="Times New Roman" w:hAnsi="Times New Roman" w:cs="Times New Roman"/>
          <w:color w:val="000000"/>
          <w:sz w:val="16"/>
          <w:szCs w:val="16"/>
          <w:lang w:val="en-US"/>
        </w:rPr>
        <w:t>Diabetol</w:t>
      </w:r>
      <w:proofErr w:type="spellEnd"/>
      <w:r w:rsidRPr="00535A7D">
        <w:rPr>
          <w:rFonts w:ascii="Times New Roman" w:hAnsi="Times New Roman" w:cs="Times New Roman"/>
          <w:color w:val="000000"/>
          <w:sz w:val="16"/>
          <w:szCs w:val="16"/>
          <w:lang w:val="en-US"/>
        </w:rPr>
        <w:t xml:space="preserve"> </w:t>
      </w:r>
      <w:proofErr w:type="spellStart"/>
      <w:r w:rsidRPr="00535A7D">
        <w:rPr>
          <w:rFonts w:ascii="Times New Roman" w:hAnsi="Times New Roman" w:cs="Times New Roman"/>
          <w:color w:val="000000"/>
          <w:sz w:val="16"/>
          <w:szCs w:val="16"/>
          <w:lang w:val="en-US"/>
        </w:rPr>
        <w:t>Metab</w:t>
      </w:r>
      <w:proofErr w:type="spellEnd"/>
      <w:r w:rsidRPr="00535A7D">
        <w:rPr>
          <w:rFonts w:ascii="Times New Roman" w:hAnsi="Times New Roman" w:cs="Times New Roman"/>
          <w:color w:val="000000"/>
          <w:sz w:val="16"/>
          <w:szCs w:val="16"/>
          <w:lang w:val="en-US"/>
        </w:rPr>
        <w:t xml:space="preserve"> </w:t>
      </w:r>
      <w:proofErr w:type="spellStart"/>
      <w:r w:rsidRPr="00535A7D">
        <w:rPr>
          <w:rFonts w:ascii="Times New Roman" w:hAnsi="Times New Roman" w:cs="Times New Roman"/>
          <w:color w:val="000000"/>
          <w:sz w:val="16"/>
          <w:szCs w:val="16"/>
          <w:lang w:val="en-US"/>
        </w:rPr>
        <w:t>Syndr</w:t>
      </w:r>
      <w:proofErr w:type="spellEnd"/>
      <w:r w:rsidRPr="00535A7D">
        <w:rPr>
          <w:rFonts w:ascii="Times New Roman" w:hAnsi="Times New Roman" w:cs="Times New Roman"/>
          <w:color w:val="000000"/>
          <w:sz w:val="16"/>
          <w:szCs w:val="16"/>
          <w:lang w:val="en-US"/>
        </w:rPr>
        <w:t xml:space="preserve"> (2018) 10:74. </w:t>
      </w:r>
      <w:proofErr w:type="spellStart"/>
      <w:r w:rsidRPr="00535A7D">
        <w:rPr>
          <w:rFonts w:ascii="Times New Roman" w:hAnsi="Times New Roman" w:cs="Times New Roman"/>
          <w:color w:val="000000"/>
          <w:sz w:val="16"/>
          <w:szCs w:val="16"/>
          <w:lang w:val="en-US"/>
        </w:rPr>
        <w:t>doi</w:t>
      </w:r>
      <w:proofErr w:type="spellEnd"/>
      <w:r w:rsidRPr="00535A7D">
        <w:rPr>
          <w:rFonts w:ascii="Times New Roman" w:hAnsi="Times New Roman" w:cs="Times New Roman"/>
          <w:color w:val="000000"/>
          <w:sz w:val="16"/>
          <w:szCs w:val="16"/>
          <w:lang w:val="en-US"/>
        </w:rPr>
        <w:t>: 10.1186/s13098-018-0376-8</w:t>
      </w:r>
    </w:p>
    <w:p w14:paraId="2632E8D6" w14:textId="09F9F98B" w:rsidR="00D61575" w:rsidRDefault="00535A7D" w:rsidP="00535A7D">
      <w:pPr>
        <w:autoSpaceDE w:val="0"/>
        <w:autoSpaceDN w:val="0"/>
        <w:adjustRightInd w:val="0"/>
        <w:spacing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[10]</w:t>
      </w:r>
      <w:r w:rsidRPr="00535A7D">
        <w:rPr>
          <w:rFonts w:ascii="Times New Roman" w:hAnsi="Times New Roman" w:cs="Times New Roman"/>
          <w:color w:val="000000"/>
          <w:sz w:val="16"/>
          <w:szCs w:val="16"/>
          <w:lang w:val="en-US"/>
        </w:rPr>
        <w:t xml:space="preserve">. </w:t>
      </w:r>
      <w:proofErr w:type="spellStart"/>
      <w:r w:rsidRPr="00535A7D">
        <w:rPr>
          <w:rFonts w:ascii="Times New Roman" w:hAnsi="Times New Roman" w:cs="Times New Roman"/>
          <w:color w:val="000000"/>
          <w:sz w:val="16"/>
          <w:szCs w:val="16"/>
          <w:lang w:val="en-US"/>
        </w:rPr>
        <w:t>Simental-Mendı́a</w:t>
      </w:r>
      <w:proofErr w:type="spellEnd"/>
      <w:r w:rsidRPr="00535A7D">
        <w:rPr>
          <w:rFonts w:ascii="Times New Roman" w:hAnsi="Times New Roman" w:cs="Times New Roman"/>
          <w:color w:val="000000"/>
          <w:sz w:val="16"/>
          <w:szCs w:val="16"/>
          <w:lang w:val="en-US"/>
        </w:rPr>
        <w:t xml:space="preserve"> LE, </w:t>
      </w:r>
      <w:proofErr w:type="spellStart"/>
      <w:r w:rsidRPr="00535A7D">
        <w:rPr>
          <w:rFonts w:ascii="Times New Roman" w:hAnsi="Times New Roman" w:cs="Times New Roman"/>
          <w:color w:val="000000"/>
          <w:sz w:val="16"/>
          <w:szCs w:val="16"/>
          <w:lang w:val="en-US"/>
        </w:rPr>
        <w:t>Rodrı́guez-Morán</w:t>
      </w:r>
      <w:proofErr w:type="spellEnd"/>
      <w:r w:rsidRPr="00535A7D">
        <w:rPr>
          <w:rFonts w:ascii="Times New Roman" w:hAnsi="Times New Roman" w:cs="Times New Roman"/>
          <w:color w:val="000000"/>
          <w:sz w:val="16"/>
          <w:szCs w:val="16"/>
          <w:lang w:val="en-US"/>
        </w:rPr>
        <w:t xml:space="preserve"> M, Guerrero-Romero F. The product of</w:t>
      </w:r>
      <w:r>
        <w:rPr>
          <w:rFonts w:ascii="Times New Roman" w:hAnsi="Times New Roman" w:cs="Times New Roman"/>
          <w:color w:val="000000"/>
          <w:sz w:val="16"/>
          <w:szCs w:val="16"/>
          <w:lang w:val="en-US"/>
        </w:rPr>
        <w:t xml:space="preserve"> </w:t>
      </w:r>
      <w:r w:rsidRPr="00535A7D">
        <w:rPr>
          <w:rFonts w:ascii="Times New Roman" w:hAnsi="Times New Roman" w:cs="Times New Roman"/>
          <w:color w:val="000000"/>
          <w:sz w:val="16"/>
          <w:szCs w:val="16"/>
          <w:lang w:val="en-US"/>
        </w:rPr>
        <w:t>fasting glucose and triglycerides as surrogate for identifying insulin resistance in</w:t>
      </w:r>
      <w:r>
        <w:rPr>
          <w:rFonts w:ascii="Times New Roman" w:hAnsi="Times New Roman" w:cs="Times New Roman"/>
          <w:color w:val="000000"/>
          <w:sz w:val="16"/>
          <w:szCs w:val="16"/>
          <w:lang w:val="en-US"/>
        </w:rPr>
        <w:t xml:space="preserve"> </w:t>
      </w:r>
      <w:r w:rsidRPr="00535A7D">
        <w:rPr>
          <w:rFonts w:ascii="Times New Roman" w:hAnsi="Times New Roman" w:cs="Times New Roman"/>
          <w:color w:val="000000"/>
          <w:sz w:val="16"/>
          <w:szCs w:val="16"/>
          <w:lang w:val="en-US"/>
        </w:rPr>
        <w:t xml:space="preserve">apparently healthy subjects. </w:t>
      </w:r>
      <w:proofErr w:type="spellStart"/>
      <w:r w:rsidRPr="00535A7D">
        <w:rPr>
          <w:rFonts w:ascii="Times New Roman" w:hAnsi="Times New Roman" w:cs="Times New Roman"/>
          <w:color w:val="000000"/>
          <w:sz w:val="16"/>
          <w:szCs w:val="16"/>
          <w:lang w:val="en-US"/>
        </w:rPr>
        <w:t>Metab</w:t>
      </w:r>
      <w:proofErr w:type="spellEnd"/>
      <w:r w:rsidRPr="00535A7D">
        <w:rPr>
          <w:rFonts w:ascii="Times New Roman" w:hAnsi="Times New Roman" w:cs="Times New Roman"/>
          <w:color w:val="000000"/>
          <w:sz w:val="16"/>
          <w:szCs w:val="16"/>
          <w:lang w:val="en-US"/>
        </w:rPr>
        <w:t xml:space="preserve"> </w:t>
      </w:r>
      <w:proofErr w:type="spellStart"/>
      <w:r w:rsidRPr="00535A7D">
        <w:rPr>
          <w:rFonts w:ascii="Times New Roman" w:hAnsi="Times New Roman" w:cs="Times New Roman"/>
          <w:color w:val="000000"/>
          <w:sz w:val="16"/>
          <w:szCs w:val="16"/>
          <w:lang w:val="en-US"/>
        </w:rPr>
        <w:t>Syndr</w:t>
      </w:r>
      <w:proofErr w:type="spellEnd"/>
      <w:r w:rsidRPr="00535A7D">
        <w:rPr>
          <w:rFonts w:ascii="Times New Roman" w:hAnsi="Times New Roman" w:cs="Times New Roman"/>
          <w:color w:val="000000"/>
          <w:sz w:val="16"/>
          <w:szCs w:val="16"/>
          <w:lang w:val="en-US"/>
        </w:rPr>
        <w:t xml:space="preserve"> </w:t>
      </w:r>
      <w:proofErr w:type="spellStart"/>
      <w:r w:rsidRPr="00535A7D">
        <w:rPr>
          <w:rFonts w:ascii="Times New Roman" w:hAnsi="Times New Roman" w:cs="Times New Roman"/>
          <w:color w:val="000000"/>
          <w:sz w:val="16"/>
          <w:szCs w:val="16"/>
          <w:lang w:val="en-US"/>
        </w:rPr>
        <w:t>Relat</w:t>
      </w:r>
      <w:proofErr w:type="spellEnd"/>
      <w:r w:rsidRPr="00535A7D">
        <w:rPr>
          <w:rFonts w:ascii="Times New Roman" w:hAnsi="Times New Roman" w:cs="Times New Roman"/>
          <w:color w:val="000000"/>
          <w:sz w:val="16"/>
          <w:szCs w:val="16"/>
          <w:lang w:val="en-US"/>
        </w:rPr>
        <w:t xml:space="preserve"> </w:t>
      </w:r>
      <w:proofErr w:type="spellStart"/>
      <w:r w:rsidRPr="00535A7D">
        <w:rPr>
          <w:rFonts w:ascii="Times New Roman" w:hAnsi="Times New Roman" w:cs="Times New Roman"/>
          <w:color w:val="000000"/>
          <w:sz w:val="16"/>
          <w:szCs w:val="16"/>
          <w:lang w:val="en-US"/>
        </w:rPr>
        <w:t>Disord</w:t>
      </w:r>
      <w:proofErr w:type="spellEnd"/>
      <w:r w:rsidRPr="00535A7D">
        <w:rPr>
          <w:rFonts w:ascii="Times New Roman" w:hAnsi="Times New Roman" w:cs="Times New Roman"/>
          <w:color w:val="000000"/>
          <w:sz w:val="16"/>
          <w:szCs w:val="16"/>
          <w:lang w:val="en-US"/>
        </w:rPr>
        <w:t xml:space="preserve"> (2008) 6:299–304. </w:t>
      </w:r>
      <w:proofErr w:type="spellStart"/>
      <w:r w:rsidRPr="00535A7D">
        <w:rPr>
          <w:rFonts w:ascii="Times New Roman" w:hAnsi="Times New Roman" w:cs="Times New Roman"/>
          <w:color w:val="000000"/>
          <w:sz w:val="16"/>
          <w:szCs w:val="16"/>
          <w:lang w:val="en-US"/>
        </w:rPr>
        <w:t>doi</w:t>
      </w:r>
      <w:proofErr w:type="spellEnd"/>
      <w:r w:rsidRPr="00535A7D">
        <w:rPr>
          <w:rFonts w:ascii="Times New Roman" w:hAnsi="Times New Roman" w:cs="Times New Roman"/>
          <w:color w:val="000000"/>
          <w:sz w:val="16"/>
          <w:szCs w:val="16"/>
          <w:lang w:val="en-US"/>
        </w:rPr>
        <w:t>:</w:t>
      </w:r>
      <w:r>
        <w:rPr>
          <w:rFonts w:ascii="Times New Roman" w:hAnsi="Times New Roman" w:cs="Times New Roman"/>
          <w:color w:val="000000"/>
          <w:sz w:val="16"/>
          <w:szCs w:val="16"/>
          <w:lang w:val="en-US"/>
        </w:rPr>
        <w:t xml:space="preserve"> </w:t>
      </w:r>
      <w:r w:rsidRPr="00535A7D">
        <w:rPr>
          <w:rFonts w:ascii="Times New Roman" w:hAnsi="Times New Roman" w:cs="Times New Roman"/>
          <w:color w:val="000000"/>
          <w:sz w:val="16"/>
          <w:szCs w:val="16"/>
          <w:lang w:val="en-US"/>
        </w:rPr>
        <w:t>10.1089/met.2008.0034</w:t>
      </w:r>
    </w:p>
    <w:p w14:paraId="4FADD747" w14:textId="55E70E5B" w:rsidR="00D61575" w:rsidRDefault="00D61575" w:rsidP="00D61575">
      <w:pPr>
        <w:autoSpaceDE w:val="0"/>
        <w:autoSpaceDN w:val="0"/>
        <w:adjustRightInd w:val="0"/>
        <w:spacing w:line="240" w:lineRule="auto"/>
        <w:jc w:val="both"/>
        <w:rPr>
          <w:rFonts w:ascii="Times New Roman" w:hAnsi="Times New Roman" w:cs="Times New Roman"/>
          <w:color w:val="000000"/>
          <w:sz w:val="16"/>
          <w:szCs w:val="16"/>
          <w:lang w:val="en-US"/>
        </w:rPr>
      </w:pPr>
    </w:p>
    <w:p w14:paraId="1C1E9021" w14:textId="77777777" w:rsidR="00535A7D" w:rsidRPr="00242CA3" w:rsidRDefault="00535A7D" w:rsidP="00D61575">
      <w:pPr>
        <w:autoSpaceDE w:val="0"/>
        <w:autoSpaceDN w:val="0"/>
        <w:adjustRightInd w:val="0"/>
        <w:spacing w:line="240" w:lineRule="auto"/>
        <w:jc w:val="both"/>
        <w:rPr>
          <w:rFonts w:ascii="Times New Roman" w:hAnsi="Times New Roman" w:cs="Times New Roman"/>
          <w:color w:val="000000"/>
          <w:sz w:val="16"/>
          <w:szCs w:val="16"/>
          <w:lang w:val="en-US"/>
        </w:rPr>
      </w:pPr>
    </w:p>
    <w:p w14:paraId="574FA26C" w14:textId="2516DFA1" w:rsidR="006C2CA8" w:rsidRDefault="006C2CA8" w:rsidP="006C2CA8">
      <w:pPr>
        <w:autoSpaceDE w:val="0"/>
        <w:autoSpaceDN w:val="0"/>
        <w:adjustRightInd w:val="0"/>
        <w:spacing w:line="240" w:lineRule="auto"/>
        <w:rPr>
          <w:rFonts w:ascii="Times New Roman" w:hAnsi="Times New Roman" w:cs="Times New Roman"/>
          <w:color w:val="000000"/>
          <w:sz w:val="16"/>
          <w:szCs w:val="16"/>
          <w:lang w:val="en-US"/>
        </w:rPr>
      </w:pPr>
    </w:p>
    <w:p w14:paraId="798DE785" w14:textId="67089946" w:rsidR="006C2CA8" w:rsidRDefault="006C2CA8" w:rsidP="006C2CA8">
      <w:pPr>
        <w:autoSpaceDE w:val="0"/>
        <w:autoSpaceDN w:val="0"/>
        <w:adjustRightInd w:val="0"/>
        <w:spacing w:line="240" w:lineRule="auto"/>
        <w:rPr>
          <w:rFonts w:ascii="Times New Roman" w:hAnsi="Times New Roman" w:cs="Times New Roman"/>
          <w:color w:val="000000"/>
          <w:sz w:val="16"/>
          <w:szCs w:val="16"/>
          <w:lang w:val="en-US"/>
        </w:rPr>
      </w:pPr>
    </w:p>
    <w:p w14:paraId="4FED0059" w14:textId="49A4CF5F" w:rsidR="00EF17E5" w:rsidRDefault="00EF17E5" w:rsidP="006C2CA8">
      <w:pPr>
        <w:autoSpaceDE w:val="0"/>
        <w:autoSpaceDN w:val="0"/>
        <w:adjustRightInd w:val="0"/>
        <w:spacing w:line="240" w:lineRule="auto"/>
        <w:rPr>
          <w:rFonts w:ascii="Times New Roman" w:hAnsi="Times New Roman" w:cs="Times New Roman"/>
          <w:color w:val="000000"/>
          <w:sz w:val="16"/>
          <w:szCs w:val="16"/>
          <w:lang w:val="en-US"/>
        </w:rPr>
      </w:pPr>
    </w:p>
    <w:p w14:paraId="52B44B00" w14:textId="69AE1085"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55BCB022" w14:textId="42BDDED2"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0919E94C" w14:textId="4217B544"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2291D56F" w14:textId="4FB5D419"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0D969595" w14:textId="64F52814"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2C0F74E3" w14:textId="6803F856"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7B5AED34" w14:textId="6A4AEEA8"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57B28C28" w14:textId="77B7AE4C"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5CA69CA8" w14:textId="7ED4CD64"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44D878E7" w14:textId="3FA30E42"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6D66D9BC" w14:textId="1DBBE062"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4B9BD669" w14:textId="347D4693"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4509335E" w14:textId="0D047F4F" w:rsidR="00971249" w:rsidRDefault="00971249" w:rsidP="006C2CA8">
      <w:pPr>
        <w:autoSpaceDE w:val="0"/>
        <w:autoSpaceDN w:val="0"/>
        <w:adjustRightInd w:val="0"/>
        <w:spacing w:line="240" w:lineRule="auto"/>
        <w:rPr>
          <w:rFonts w:ascii="Times New Roman" w:hAnsi="Times New Roman" w:cs="Times New Roman"/>
          <w:color w:val="000000"/>
          <w:sz w:val="16"/>
          <w:szCs w:val="16"/>
          <w:lang w:val="en-US"/>
        </w:rPr>
      </w:pPr>
    </w:p>
    <w:p w14:paraId="7A21B254" w14:textId="4BC72E36" w:rsidR="00DF57C3" w:rsidRPr="00226E2B" w:rsidRDefault="00DF57C3" w:rsidP="00226E2B">
      <w:pPr>
        <w:autoSpaceDE w:val="0"/>
        <w:autoSpaceDN w:val="0"/>
        <w:adjustRightInd w:val="0"/>
        <w:spacing w:line="240" w:lineRule="auto"/>
        <w:rPr>
          <w:rFonts w:ascii="Times New Roman" w:hAnsi="Times New Roman" w:cs="Times New Roman"/>
          <w:color w:val="000000"/>
          <w:sz w:val="16"/>
          <w:szCs w:val="16"/>
          <w:lang w:val="en-US"/>
        </w:rPr>
      </w:pPr>
    </w:p>
    <w:sectPr w:rsidR="00DF57C3" w:rsidRPr="00226E2B" w:rsidSect="00C248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7144" w14:textId="77777777" w:rsidR="005E41F8" w:rsidRDefault="005E41F8" w:rsidP="001D23E4">
      <w:pPr>
        <w:spacing w:line="240" w:lineRule="auto"/>
      </w:pPr>
      <w:r>
        <w:separator/>
      </w:r>
    </w:p>
  </w:endnote>
  <w:endnote w:type="continuationSeparator" w:id="0">
    <w:p w14:paraId="314F4F11" w14:textId="77777777" w:rsidR="005E41F8" w:rsidRDefault="005E41F8" w:rsidP="001D2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B51F" w14:textId="77777777" w:rsidR="005E41F8" w:rsidRDefault="005E41F8" w:rsidP="001D23E4">
      <w:pPr>
        <w:spacing w:line="240" w:lineRule="auto"/>
      </w:pPr>
      <w:r>
        <w:separator/>
      </w:r>
    </w:p>
  </w:footnote>
  <w:footnote w:type="continuationSeparator" w:id="0">
    <w:p w14:paraId="562E310E" w14:textId="77777777" w:rsidR="005E41F8" w:rsidRDefault="005E41F8" w:rsidP="001D23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45"/>
    <w:multiLevelType w:val="multilevel"/>
    <w:tmpl w:val="388A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0FB4"/>
    <w:multiLevelType w:val="multilevel"/>
    <w:tmpl w:val="4E5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853FC"/>
    <w:multiLevelType w:val="multilevel"/>
    <w:tmpl w:val="4B96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1076A"/>
    <w:multiLevelType w:val="multilevel"/>
    <w:tmpl w:val="541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70B3E"/>
    <w:multiLevelType w:val="multilevel"/>
    <w:tmpl w:val="E0C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F06AB"/>
    <w:multiLevelType w:val="multilevel"/>
    <w:tmpl w:val="ED7E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D06F16"/>
    <w:multiLevelType w:val="hybridMultilevel"/>
    <w:tmpl w:val="849CC44E"/>
    <w:lvl w:ilvl="0" w:tplc="0409000B">
      <w:start w:val="18"/>
      <w:numFmt w:val="bullet"/>
      <w:lvlText w:val=""/>
      <w:lvlJc w:val="left"/>
      <w:pPr>
        <w:ind w:left="777" w:hanging="360"/>
      </w:pPr>
      <w:rPr>
        <w:rFonts w:ascii="Wingdings" w:eastAsia="Times New Roman" w:hAnsi="Wingdings"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19725FD1"/>
    <w:multiLevelType w:val="multilevel"/>
    <w:tmpl w:val="56B82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834E6"/>
    <w:multiLevelType w:val="multilevel"/>
    <w:tmpl w:val="34E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A4FDF"/>
    <w:multiLevelType w:val="multilevel"/>
    <w:tmpl w:val="D62E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E7750"/>
    <w:multiLevelType w:val="multilevel"/>
    <w:tmpl w:val="1D3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F75A6"/>
    <w:multiLevelType w:val="hybridMultilevel"/>
    <w:tmpl w:val="7DE6676C"/>
    <w:lvl w:ilvl="0" w:tplc="0409000B">
      <w:start w:val="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95566"/>
    <w:multiLevelType w:val="hybridMultilevel"/>
    <w:tmpl w:val="DA6A8D5A"/>
    <w:lvl w:ilvl="0" w:tplc="0409000B">
      <w:start w:val="18"/>
      <w:numFmt w:val="bullet"/>
      <w:lvlText w:val=""/>
      <w:lvlJc w:val="left"/>
      <w:pPr>
        <w:ind w:left="777" w:hanging="360"/>
      </w:pPr>
      <w:rPr>
        <w:rFonts w:ascii="Wingdings" w:eastAsia="Times New Roman" w:hAnsi="Wingdings"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3" w15:restartNumberingAfterBreak="0">
    <w:nsid w:val="38694913"/>
    <w:multiLevelType w:val="multilevel"/>
    <w:tmpl w:val="22E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790CA2"/>
    <w:multiLevelType w:val="multilevel"/>
    <w:tmpl w:val="A26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E5478C"/>
    <w:multiLevelType w:val="hybridMultilevel"/>
    <w:tmpl w:val="4C7247EA"/>
    <w:lvl w:ilvl="0" w:tplc="0409000B">
      <w:start w:val="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402E7"/>
    <w:multiLevelType w:val="multilevel"/>
    <w:tmpl w:val="2FA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4F2224"/>
    <w:multiLevelType w:val="hybridMultilevel"/>
    <w:tmpl w:val="9582295C"/>
    <w:lvl w:ilvl="0" w:tplc="1D92E2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752C5"/>
    <w:multiLevelType w:val="multilevel"/>
    <w:tmpl w:val="2B2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F31A1"/>
    <w:multiLevelType w:val="multilevel"/>
    <w:tmpl w:val="7B2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A68AD"/>
    <w:multiLevelType w:val="hybridMultilevel"/>
    <w:tmpl w:val="48B6D0E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322A5"/>
    <w:multiLevelType w:val="hybridMultilevel"/>
    <w:tmpl w:val="E5A0DBC4"/>
    <w:lvl w:ilvl="0" w:tplc="69BA77F2">
      <w:start w:val="1"/>
      <w:numFmt w:val="decimal"/>
      <w:lvlText w:val="%1."/>
      <w:lvlJc w:val="left"/>
      <w:pPr>
        <w:ind w:left="1070" w:hanging="360"/>
      </w:pPr>
      <w:rPr>
        <w:rFonts w:hint="default"/>
      </w:rPr>
    </w:lvl>
    <w:lvl w:ilvl="1" w:tplc="08090001">
      <w:start w:val="1"/>
      <w:numFmt w:val="bullet"/>
      <w:lvlText w:val=""/>
      <w:lvlJc w:val="left"/>
      <w:pPr>
        <w:ind w:left="1790" w:hanging="360"/>
      </w:pPr>
      <w:rPr>
        <w:rFonts w:ascii="Symbol" w:hAnsi="Symbol" w:hint="default"/>
      </w:r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2" w15:restartNumberingAfterBreak="0">
    <w:nsid w:val="5A6E6712"/>
    <w:multiLevelType w:val="multilevel"/>
    <w:tmpl w:val="B4A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7E07B6"/>
    <w:multiLevelType w:val="hybridMultilevel"/>
    <w:tmpl w:val="048491FE"/>
    <w:lvl w:ilvl="0" w:tplc="0409000B">
      <w:start w:val="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37979"/>
    <w:multiLevelType w:val="hybridMultilevel"/>
    <w:tmpl w:val="C316AD46"/>
    <w:lvl w:ilvl="0" w:tplc="0409000B">
      <w:start w:val="1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F24742"/>
    <w:multiLevelType w:val="multilevel"/>
    <w:tmpl w:val="F18C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43509"/>
    <w:multiLevelType w:val="multilevel"/>
    <w:tmpl w:val="D10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AA271E"/>
    <w:multiLevelType w:val="multilevel"/>
    <w:tmpl w:val="C5E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F45768"/>
    <w:multiLevelType w:val="multilevel"/>
    <w:tmpl w:val="F95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4B566C"/>
    <w:multiLevelType w:val="multilevel"/>
    <w:tmpl w:val="76D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354A0E"/>
    <w:multiLevelType w:val="multilevel"/>
    <w:tmpl w:val="A29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BE5C7F"/>
    <w:multiLevelType w:val="hybridMultilevel"/>
    <w:tmpl w:val="5FE69442"/>
    <w:lvl w:ilvl="0" w:tplc="0409000B">
      <w:start w:val="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31342"/>
    <w:multiLevelType w:val="multilevel"/>
    <w:tmpl w:val="F3D0F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F1EF9"/>
    <w:multiLevelType w:val="multilevel"/>
    <w:tmpl w:val="F84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2"/>
  </w:num>
  <w:num w:numId="3">
    <w:abstractNumId w:val="7"/>
  </w:num>
  <w:num w:numId="4">
    <w:abstractNumId w:val="0"/>
  </w:num>
  <w:num w:numId="5">
    <w:abstractNumId w:val="8"/>
  </w:num>
  <w:num w:numId="6">
    <w:abstractNumId w:val="27"/>
  </w:num>
  <w:num w:numId="7">
    <w:abstractNumId w:val="4"/>
  </w:num>
  <w:num w:numId="8">
    <w:abstractNumId w:val="22"/>
  </w:num>
  <w:num w:numId="9">
    <w:abstractNumId w:val="13"/>
  </w:num>
  <w:num w:numId="10">
    <w:abstractNumId w:val="26"/>
  </w:num>
  <w:num w:numId="11">
    <w:abstractNumId w:val="29"/>
  </w:num>
  <w:num w:numId="12">
    <w:abstractNumId w:val="3"/>
  </w:num>
  <w:num w:numId="13">
    <w:abstractNumId w:val="18"/>
  </w:num>
  <w:num w:numId="14">
    <w:abstractNumId w:val="25"/>
  </w:num>
  <w:num w:numId="15">
    <w:abstractNumId w:val="19"/>
  </w:num>
  <w:num w:numId="16">
    <w:abstractNumId w:val="14"/>
  </w:num>
  <w:num w:numId="17">
    <w:abstractNumId w:val="9"/>
  </w:num>
  <w:num w:numId="18">
    <w:abstractNumId w:val="5"/>
  </w:num>
  <w:num w:numId="19">
    <w:abstractNumId w:val="30"/>
  </w:num>
  <w:num w:numId="20">
    <w:abstractNumId w:val="1"/>
  </w:num>
  <w:num w:numId="21">
    <w:abstractNumId w:val="33"/>
  </w:num>
  <w:num w:numId="22">
    <w:abstractNumId w:val="10"/>
  </w:num>
  <w:num w:numId="23">
    <w:abstractNumId w:val="28"/>
  </w:num>
  <w:num w:numId="24">
    <w:abstractNumId w:val="2"/>
  </w:num>
  <w:num w:numId="25">
    <w:abstractNumId w:val="16"/>
  </w:num>
  <w:num w:numId="26">
    <w:abstractNumId w:val="15"/>
  </w:num>
  <w:num w:numId="27">
    <w:abstractNumId w:val="12"/>
  </w:num>
  <w:num w:numId="28">
    <w:abstractNumId w:val="6"/>
  </w:num>
  <w:num w:numId="29">
    <w:abstractNumId w:val="24"/>
  </w:num>
  <w:num w:numId="30">
    <w:abstractNumId w:val="31"/>
  </w:num>
  <w:num w:numId="31">
    <w:abstractNumId w:val="23"/>
  </w:num>
  <w:num w:numId="32">
    <w:abstractNumId w:val="11"/>
  </w:num>
  <w:num w:numId="33">
    <w:abstractNumId w:val="17"/>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48B7"/>
    <w:rsid w:val="00032C14"/>
    <w:rsid w:val="000A5CDB"/>
    <w:rsid w:val="00170B49"/>
    <w:rsid w:val="00171289"/>
    <w:rsid w:val="001B2BE5"/>
    <w:rsid w:val="001D06FC"/>
    <w:rsid w:val="001D1863"/>
    <w:rsid w:val="001D23E4"/>
    <w:rsid w:val="001E0008"/>
    <w:rsid w:val="001F02CF"/>
    <w:rsid w:val="002141A8"/>
    <w:rsid w:val="0022690D"/>
    <w:rsid w:val="00226E2B"/>
    <w:rsid w:val="00242CA3"/>
    <w:rsid w:val="00250694"/>
    <w:rsid w:val="00273870"/>
    <w:rsid w:val="002C5989"/>
    <w:rsid w:val="002C6662"/>
    <w:rsid w:val="002C7862"/>
    <w:rsid w:val="00304534"/>
    <w:rsid w:val="003071EE"/>
    <w:rsid w:val="00336155"/>
    <w:rsid w:val="003F0BB0"/>
    <w:rsid w:val="00411E97"/>
    <w:rsid w:val="00442E28"/>
    <w:rsid w:val="0049416E"/>
    <w:rsid w:val="004A2EBE"/>
    <w:rsid w:val="004B5B2E"/>
    <w:rsid w:val="004D6235"/>
    <w:rsid w:val="004E31A5"/>
    <w:rsid w:val="00501506"/>
    <w:rsid w:val="005330E2"/>
    <w:rsid w:val="00535A7D"/>
    <w:rsid w:val="0054317B"/>
    <w:rsid w:val="005636B7"/>
    <w:rsid w:val="00585427"/>
    <w:rsid w:val="005A4E01"/>
    <w:rsid w:val="005B34BC"/>
    <w:rsid w:val="005C27D1"/>
    <w:rsid w:val="005C7669"/>
    <w:rsid w:val="005D6CD8"/>
    <w:rsid w:val="005E41F8"/>
    <w:rsid w:val="00661EDC"/>
    <w:rsid w:val="006C2CA8"/>
    <w:rsid w:val="006E7AD6"/>
    <w:rsid w:val="007059F8"/>
    <w:rsid w:val="0073661D"/>
    <w:rsid w:val="0077664C"/>
    <w:rsid w:val="00793FD4"/>
    <w:rsid w:val="007B2E59"/>
    <w:rsid w:val="007B78B5"/>
    <w:rsid w:val="007F475B"/>
    <w:rsid w:val="008379C8"/>
    <w:rsid w:val="008536D6"/>
    <w:rsid w:val="0087030D"/>
    <w:rsid w:val="0088695F"/>
    <w:rsid w:val="008B18E7"/>
    <w:rsid w:val="008C4758"/>
    <w:rsid w:val="008C6F33"/>
    <w:rsid w:val="008E5EB7"/>
    <w:rsid w:val="009028FE"/>
    <w:rsid w:val="009236C1"/>
    <w:rsid w:val="00935816"/>
    <w:rsid w:val="00971249"/>
    <w:rsid w:val="009820E1"/>
    <w:rsid w:val="00986667"/>
    <w:rsid w:val="009A0C07"/>
    <w:rsid w:val="009D253B"/>
    <w:rsid w:val="009E6B90"/>
    <w:rsid w:val="00A129E4"/>
    <w:rsid w:val="00A23D3E"/>
    <w:rsid w:val="00A41E19"/>
    <w:rsid w:val="00A4425D"/>
    <w:rsid w:val="00A52CBD"/>
    <w:rsid w:val="00A85F31"/>
    <w:rsid w:val="00AC1DD6"/>
    <w:rsid w:val="00AF46F9"/>
    <w:rsid w:val="00B16740"/>
    <w:rsid w:val="00B2142A"/>
    <w:rsid w:val="00B22EA0"/>
    <w:rsid w:val="00B74ACA"/>
    <w:rsid w:val="00B80542"/>
    <w:rsid w:val="00BD45F5"/>
    <w:rsid w:val="00C07266"/>
    <w:rsid w:val="00C17AF8"/>
    <w:rsid w:val="00C248B7"/>
    <w:rsid w:val="00C340B0"/>
    <w:rsid w:val="00CD12D3"/>
    <w:rsid w:val="00D00E71"/>
    <w:rsid w:val="00D4283E"/>
    <w:rsid w:val="00D46E74"/>
    <w:rsid w:val="00D61575"/>
    <w:rsid w:val="00D81E6F"/>
    <w:rsid w:val="00DA7133"/>
    <w:rsid w:val="00DD5454"/>
    <w:rsid w:val="00DF57C3"/>
    <w:rsid w:val="00E46219"/>
    <w:rsid w:val="00E84015"/>
    <w:rsid w:val="00E93F13"/>
    <w:rsid w:val="00E96126"/>
    <w:rsid w:val="00ED08C3"/>
    <w:rsid w:val="00EF17E5"/>
    <w:rsid w:val="00EF226D"/>
    <w:rsid w:val="00F05406"/>
    <w:rsid w:val="00F3026A"/>
    <w:rsid w:val="00F807DC"/>
    <w:rsid w:val="00F8302B"/>
    <w:rsid w:val="00FC2CF3"/>
    <w:rsid w:val="00FE1333"/>
    <w:rsid w:val="00FF4030"/>
    <w:rsid w:val="00FF64DB"/>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D28E"/>
  <w15:docId w15:val="{39839B83-3739-BF42-AF26-D21CD6FB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248B7"/>
    <w:pPr>
      <w:keepNext/>
      <w:keepLines/>
      <w:spacing w:before="400" w:after="120"/>
      <w:outlineLvl w:val="0"/>
    </w:pPr>
    <w:rPr>
      <w:sz w:val="40"/>
      <w:szCs w:val="40"/>
    </w:rPr>
  </w:style>
  <w:style w:type="paragraph" w:styleId="Heading2">
    <w:name w:val="heading 2"/>
    <w:basedOn w:val="Normal1"/>
    <w:next w:val="Normal1"/>
    <w:rsid w:val="00C248B7"/>
    <w:pPr>
      <w:keepNext/>
      <w:keepLines/>
      <w:spacing w:before="360" w:after="120"/>
      <w:outlineLvl w:val="1"/>
    </w:pPr>
    <w:rPr>
      <w:sz w:val="32"/>
      <w:szCs w:val="32"/>
    </w:rPr>
  </w:style>
  <w:style w:type="paragraph" w:styleId="Heading3">
    <w:name w:val="heading 3"/>
    <w:basedOn w:val="Normal1"/>
    <w:next w:val="Normal1"/>
    <w:rsid w:val="00C248B7"/>
    <w:pPr>
      <w:keepNext/>
      <w:keepLines/>
      <w:spacing w:before="320" w:after="80"/>
      <w:outlineLvl w:val="2"/>
    </w:pPr>
    <w:rPr>
      <w:color w:val="434343"/>
      <w:sz w:val="28"/>
      <w:szCs w:val="28"/>
    </w:rPr>
  </w:style>
  <w:style w:type="paragraph" w:styleId="Heading4">
    <w:name w:val="heading 4"/>
    <w:basedOn w:val="Normal1"/>
    <w:next w:val="Normal1"/>
    <w:rsid w:val="00C248B7"/>
    <w:pPr>
      <w:keepNext/>
      <w:keepLines/>
      <w:spacing w:before="280" w:after="80"/>
      <w:outlineLvl w:val="3"/>
    </w:pPr>
    <w:rPr>
      <w:color w:val="666666"/>
      <w:sz w:val="24"/>
      <w:szCs w:val="24"/>
    </w:rPr>
  </w:style>
  <w:style w:type="paragraph" w:styleId="Heading5">
    <w:name w:val="heading 5"/>
    <w:basedOn w:val="Normal1"/>
    <w:next w:val="Normal1"/>
    <w:rsid w:val="00C248B7"/>
    <w:pPr>
      <w:keepNext/>
      <w:keepLines/>
      <w:spacing w:before="240" w:after="80"/>
      <w:outlineLvl w:val="4"/>
    </w:pPr>
    <w:rPr>
      <w:color w:val="666666"/>
    </w:rPr>
  </w:style>
  <w:style w:type="paragraph" w:styleId="Heading6">
    <w:name w:val="heading 6"/>
    <w:basedOn w:val="Normal1"/>
    <w:next w:val="Normal1"/>
    <w:rsid w:val="00C248B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248B7"/>
  </w:style>
  <w:style w:type="paragraph" w:styleId="Title">
    <w:name w:val="Title"/>
    <w:basedOn w:val="Normal1"/>
    <w:next w:val="Normal1"/>
    <w:rsid w:val="00C248B7"/>
    <w:pPr>
      <w:keepNext/>
      <w:keepLines/>
      <w:spacing w:after="60"/>
    </w:pPr>
    <w:rPr>
      <w:sz w:val="52"/>
      <w:szCs w:val="52"/>
    </w:rPr>
  </w:style>
  <w:style w:type="paragraph" w:styleId="Subtitle">
    <w:name w:val="Subtitle"/>
    <w:basedOn w:val="Normal1"/>
    <w:next w:val="Normal1"/>
    <w:rsid w:val="00C248B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93F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F13"/>
    <w:rPr>
      <w:rFonts w:ascii="Tahoma" w:hAnsi="Tahoma" w:cs="Tahoma"/>
      <w:sz w:val="16"/>
      <w:szCs w:val="16"/>
    </w:rPr>
  </w:style>
  <w:style w:type="paragraph" w:styleId="ListParagraph">
    <w:name w:val="List Paragraph"/>
    <w:basedOn w:val="Normal"/>
    <w:uiPriority w:val="34"/>
    <w:qFormat/>
    <w:rsid w:val="008B18E7"/>
    <w:pPr>
      <w:spacing w:after="200"/>
      <w:ind w:left="720"/>
      <w:contextualSpacing/>
    </w:pPr>
    <w:rPr>
      <w:rFonts w:asciiTheme="minorHAnsi" w:eastAsiaTheme="minorHAnsi" w:hAnsiTheme="minorHAnsi" w:cstheme="minorBidi"/>
      <w:lang w:val="en-US"/>
    </w:rPr>
  </w:style>
  <w:style w:type="table" w:styleId="TableGrid">
    <w:name w:val="Table Grid"/>
    <w:basedOn w:val="TableNormal"/>
    <w:uiPriority w:val="39"/>
    <w:rsid w:val="008B18E7"/>
    <w:pPr>
      <w:spacing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3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4BC"/>
    <w:rPr>
      <w:b/>
      <w:bCs/>
    </w:rPr>
  </w:style>
  <w:style w:type="character" w:styleId="Hyperlink">
    <w:name w:val="Hyperlink"/>
    <w:basedOn w:val="DefaultParagraphFont"/>
    <w:uiPriority w:val="99"/>
    <w:unhideWhenUsed/>
    <w:rsid w:val="00EF17E5"/>
    <w:rPr>
      <w:color w:val="0000FF" w:themeColor="hyperlink"/>
      <w:u w:val="single"/>
    </w:rPr>
  </w:style>
  <w:style w:type="character" w:styleId="UnresolvedMention">
    <w:name w:val="Unresolved Mention"/>
    <w:basedOn w:val="DefaultParagraphFont"/>
    <w:uiPriority w:val="99"/>
    <w:semiHidden/>
    <w:unhideWhenUsed/>
    <w:rsid w:val="00EF17E5"/>
    <w:rPr>
      <w:color w:val="605E5C"/>
      <w:shd w:val="clear" w:color="auto" w:fill="E1DFDD"/>
    </w:rPr>
  </w:style>
  <w:style w:type="paragraph" w:styleId="Header">
    <w:name w:val="header"/>
    <w:basedOn w:val="Normal"/>
    <w:link w:val="HeaderChar"/>
    <w:uiPriority w:val="99"/>
    <w:unhideWhenUsed/>
    <w:rsid w:val="001D23E4"/>
    <w:pPr>
      <w:tabs>
        <w:tab w:val="center" w:pos="4680"/>
        <w:tab w:val="right" w:pos="9360"/>
      </w:tabs>
      <w:spacing w:line="240" w:lineRule="auto"/>
    </w:pPr>
  </w:style>
  <w:style w:type="character" w:customStyle="1" w:styleId="HeaderChar">
    <w:name w:val="Header Char"/>
    <w:basedOn w:val="DefaultParagraphFont"/>
    <w:link w:val="Header"/>
    <w:uiPriority w:val="99"/>
    <w:rsid w:val="001D23E4"/>
  </w:style>
  <w:style w:type="paragraph" w:styleId="Footer">
    <w:name w:val="footer"/>
    <w:basedOn w:val="Normal"/>
    <w:link w:val="FooterChar"/>
    <w:uiPriority w:val="99"/>
    <w:unhideWhenUsed/>
    <w:rsid w:val="001D23E4"/>
    <w:pPr>
      <w:tabs>
        <w:tab w:val="center" w:pos="4680"/>
        <w:tab w:val="right" w:pos="9360"/>
      </w:tabs>
      <w:spacing w:line="240" w:lineRule="auto"/>
    </w:pPr>
  </w:style>
  <w:style w:type="character" w:customStyle="1" w:styleId="FooterChar">
    <w:name w:val="Footer Char"/>
    <w:basedOn w:val="DefaultParagraphFont"/>
    <w:link w:val="Footer"/>
    <w:uiPriority w:val="99"/>
    <w:rsid w:val="001D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907">
      <w:bodyDiv w:val="1"/>
      <w:marLeft w:val="0"/>
      <w:marRight w:val="0"/>
      <w:marTop w:val="0"/>
      <w:marBottom w:val="0"/>
      <w:divBdr>
        <w:top w:val="none" w:sz="0" w:space="0" w:color="auto"/>
        <w:left w:val="none" w:sz="0" w:space="0" w:color="auto"/>
        <w:bottom w:val="none" w:sz="0" w:space="0" w:color="auto"/>
        <w:right w:val="none" w:sz="0" w:space="0" w:color="auto"/>
      </w:divBdr>
    </w:div>
    <w:div w:id="25179191">
      <w:bodyDiv w:val="1"/>
      <w:marLeft w:val="0"/>
      <w:marRight w:val="0"/>
      <w:marTop w:val="0"/>
      <w:marBottom w:val="0"/>
      <w:divBdr>
        <w:top w:val="none" w:sz="0" w:space="0" w:color="auto"/>
        <w:left w:val="none" w:sz="0" w:space="0" w:color="auto"/>
        <w:bottom w:val="none" w:sz="0" w:space="0" w:color="auto"/>
        <w:right w:val="none" w:sz="0" w:space="0" w:color="auto"/>
      </w:divBdr>
    </w:div>
    <w:div w:id="46685863">
      <w:bodyDiv w:val="1"/>
      <w:marLeft w:val="0"/>
      <w:marRight w:val="0"/>
      <w:marTop w:val="0"/>
      <w:marBottom w:val="0"/>
      <w:divBdr>
        <w:top w:val="none" w:sz="0" w:space="0" w:color="auto"/>
        <w:left w:val="none" w:sz="0" w:space="0" w:color="auto"/>
        <w:bottom w:val="none" w:sz="0" w:space="0" w:color="auto"/>
        <w:right w:val="none" w:sz="0" w:space="0" w:color="auto"/>
      </w:divBdr>
    </w:div>
    <w:div w:id="81412879">
      <w:bodyDiv w:val="1"/>
      <w:marLeft w:val="0"/>
      <w:marRight w:val="0"/>
      <w:marTop w:val="0"/>
      <w:marBottom w:val="0"/>
      <w:divBdr>
        <w:top w:val="none" w:sz="0" w:space="0" w:color="auto"/>
        <w:left w:val="none" w:sz="0" w:space="0" w:color="auto"/>
        <w:bottom w:val="none" w:sz="0" w:space="0" w:color="auto"/>
        <w:right w:val="none" w:sz="0" w:space="0" w:color="auto"/>
      </w:divBdr>
    </w:div>
    <w:div w:id="107745134">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2205602">
      <w:bodyDiv w:val="1"/>
      <w:marLeft w:val="0"/>
      <w:marRight w:val="0"/>
      <w:marTop w:val="0"/>
      <w:marBottom w:val="0"/>
      <w:divBdr>
        <w:top w:val="none" w:sz="0" w:space="0" w:color="auto"/>
        <w:left w:val="none" w:sz="0" w:space="0" w:color="auto"/>
        <w:bottom w:val="none" w:sz="0" w:space="0" w:color="auto"/>
        <w:right w:val="none" w:sz="0" w:space="0" w:color="auto"/>
      </w:divBdr>
    </w:div>
    <w:div w:id="177741709">
      <w:bodyDiv w:val="1"/>
      <w:marLeft w:val="0"/>
      <w:marRight w:val="0"/>
      <w:marTop w:val="0"/>
      <w:marBottom w:val="0"/>
      <w:divBdr>
        <w:top w:val="none" w:sz="0" w:space="0" w:color="auto"/>
        <w:left w:val="none" w:sz="0" w:space="0" w:color="auto"/>
        <w:bottom w:val="none" w:sz="0" w:space="0" w:color="auto"/>
        <w:right w:val="none" w:sz="0" w:space="0" w:color="auto"/>
      </w:divBdr>
    </w:div>
    <w:div w:id="199248198">
      <w:bodyDiv w:val="1"/>
      <w:marLeft w:val="0"/>
      <w:marRight w:val="0"/>
      <w:marTop w:val="0"/>
      <w:marBottom w:val="0"/>
      <w:divBdr>
        <w:top w:val="none" w:sz="0" w:space="0" w:color="auto"/>
        <w:left w:val="none" w:sz="0" w:space="0" w:color="auto"/>
        <w:bottom w:val="none" w:sz="0" w:space="0" w:color="auto"/>
        <w:right w:val="none" w:sz="0" w:space="0" w:color="auto"/>
      </w:divBdr>
    </w:div>
    <w:div w:id="254096321">
      <w:bodyDiv w:val="1"/>
      <w:marLeft w:val="0"/>
      <w:marRight w:val="0"/>
      <w:marTop w:val="0"/>
      <w:marBottom w:val="0"/>
      <w:divBdr>
        <w:top w:val="none" w:sz="0" w:space="0" w:color="auto"/>
        <w:left w:val="none" w:sz="0" w:space="0" w:color="auto"/>
        <w:bottom w:val="none" w:sz="0" w:space="0" w:color="auto"/>
        <w:right w:val="none" w:sz="0" w:space="0" w:color="auto"/>
      </w:divBdr>
    </w:div>
    <w:div w:id="298846147">
      <w:bodyDiv w:val="1"/>
      <w:marLeft w:val="0"/>
      <w:marRight w:val="0"/>
      <w:marTop w:val="0"/>
      <w:marBottom w:val="0"/>
      <w:divBdr>
        <w:top w:val="none" w:sz="0" w:space="0" w:color="auto"/>
        <w:left w:val="none" w:sz="0" w:space="0" w:color="auto"/>
        <w:bottom w:val="none" w:sz="0" w:space="0" w:color="auto"/>
        <w:right w:val="none" w:sz="0" w:space="0" w:color="auto"/>
      </w:divBdr>
    </w:div>
    <w:div w:id="384110631">
      <w:bodyDiv w:val="1"/>
      <w:marLeft w:val="0"/>
      <w:marRight w:val="0"/>
      <w:marTop w:val="0"/>
      <w:marBottom w:val="0"/>
      <w:divBdr>
        <w:top w:val="none" w:sz="0" w:space="0" w:color="auto"/>
        <w:left w:val="none" w:sz="0" w:space="0" w:color="auto"/>
        <w:bottom w:val="none" w:sz="0" w:space="0" w:color="auto"/>
        <w:right w:val="none" w:sz="0" w:space="0" w:color="auto"/>
      </w:divBdr>
    </w:div>
    <w:div w:id="411129049">
      <w:bodyDiv w:val="1"/>
      <w:marLeft w:val="0"/>
      <w:marRight w:val="0"/>
      <w:marTop w:val="0"/>
      <w:marBottom w:val="0"/>
      <w:divBdr>
        <w:top w:val="none" w:sz="0" w:space="0" w:color="auto"/>
        <w:left w:val="none" w:sz="0" w:space="0" w:color="auto"/>
        <w:bottom w:val="none" w:sz="0" w:space="0" w:color="auto"/>
        <w:right w:val="none" w:sz="0" w:space="0" w:color="auto"/>
      </w:divBdr>
    </w:div>
    <w:div w:id="426073562">
      <w:bodyDiv w:val="1"/>
      <w:marLeft w:val="0"/>
      <w:marRight w:val="0"/>
      <w:marTop w:val="0"/>
      <w:marBottom w:val="0"/>
      <w:divBdr>
        <w:top w:val="none" w:sz="0" w:space="0" w:color="auto"/>
        <w:left w:val="none" w:sz="0" w:space="0" w:color="auto"/>
        <w:bottom w:val="none" w:sz="0" w:space="0" w:color="auto"/>
        <w:right w:val="none" w:sz="0" w:space="0" w:color="auto"/>
      </w:divBdr>
    </w:div>
    <w:div w:id="439682811">
      <w:bodyDiv w:val="1"/>
      <w:marLeft w:val="0"/>
      <w:marRight w:val="0"/>
      <w:marTop w:val="0"/>
      <w:marBottom w:val="0"/>
      <w:divBdr>
        <w:top w:val="none" w:sz="0" w:space="0" w:color="auto"/>
        <w:left w:val="none" w:sz="0" w:space="0" w:color="auto"/>
        <w:bottom w:val="none" w:sz="0" w:space="0" w:color="auto"/>
        <w:right w:val="none" w:sz="0" w:space="0" w:color="auto"/>
      </w:divBdr>
    </w:div>
    <w:div w:id="453403150">
      <w:bodyDiv w:val="1"/>
      <w:marLeft w:val="0"/>
      <w:marRight w:val="0"/>
      <w:marTop w:val="0"/>
      <w:marBottom w:val="0"/>
      <w:divBdr>
        <w:top w:val="none" w:sz="0" w:space="0" w:color="auto"/>
        <w:left w:val="none" w:sz="0" w:space="0" w:color="auto"/>
        <w:bottom w:val="none" w:sz="0" w:space="0" w:color="auto"/>
        <w:right w:val="none" w:sz="0" w:space="0" w:color="auto"/>
      </w:divBdr>
    </w:div>
    <w:div w:id="530075201">
      <w:bodyDiv w:val="1"/>
      <w:marLeft w:val="0"/>
      <w:marRight w:val="0"/>
      <w:marTop w:val="0"/>
      <w:marBottom w:val="0"/>
      <w:divBdr>
        <w:top w:val="none" w:sz="0" w:space="0" w:color="auto"/>
        <w:left w:val="none" w:sz="0" w:space="0" w:color="auto"/>
        <w:bottom w:val="none" w:sz="0" w:space="0" w:color="auto"/>
        <w:right w:val="none" w:sz="0" w:space="0" w:color="auto"/>
      </w:divBdr>
    </w:div>
    <w:div w:id="537864638">
      <w:bodyDiv w:val="1"/>
      <w:marLeft w:val="0"/>
      <w:marRight w:val="0"/>
      <w:marTop w:val="0"/>
      <w:marBottom w:val="0"/>
      <w:divBdr>
        <w:top w:val="none" w:sz="0" w:space="0" w:color="auto"/>
        <w:left w:val="none" w:sz="0" w:space="0" w:color="auto"/>
        <w:bottom w:val="none" w:sz="0" w:space="0" w:color="auto"/>
        <w:right w:val="none" w:sz="0" w:space="0" w:color="auto"/>
      </w:divBdr>
    </w:div>
    <w:div w:id="552928342">
      <w:bodyDiv w:val="1"/>
      <w:marLeft w:val="0"/>
      <w:marRight w:val="0"/>
      <w:marTop w:val="0"/>
      <w:marBottom w:val="0"/>
      <w:divBdr>
        <w:top w:val="none" w:sz="0" w:space="0" w:color="auto"/>
        <w:left w:val="none" w:sz="0" w:space="0" w:color="auto"/>
        <w:bottom w:val="none" w:sz="0" w:space="0" w:color="auto"/>
        <w:right w:val="none" w:sz="0" w:space="0" w:color="auto"/>
      </w:divBdr>
    </w:div>
    <w:div w:id="555893093">
      <w:bodyDiv w:val="1"/>
      <w:marLeft w:val="0"/>
      <w:marRight w:val="0"/>
      <w:marTop w:val="0"/>
      <w:marBottom w:val="0"/>
      <w:divBdr>
        <w:top w:val="none" w:sz="0" w:space="0" w:color="auto"/>
        <w:left w:val="none" w:sz="0" w:space="0" w:color="auto"/>
        <w:bottom w:val="none" w:sz="0" w:space="0" w:color="auto"/>
        <w:right w:val="none" w:sz="0" w:space="0" w:color="auto"/>
      </w:divBdr>
    </w:div>
    <w:div w:id="594944935">
      <w:bodyDiv w:val="1"/>
      <w:marLeft w:val="0"/>
      <w:marRight w:val="0"/>
      <w:marTop w:val="0"/>
      <w:marBottom w:val="0"/>
      <w:divBdr>
        <w:top w:val="none" w:sz="0" w:space="0" w:color="auto"/>
        <w:left w:val="none" w:sz="0" w:space="0" w:color="auto"/>
        <w:bottom w:val="none" w:sz="0" w:space="0" w:color="auto"/>
        <w:right w:val="none" w:sz="0" w:space="0" w:color="auto"/>
      </w:divBdr>
    </w:div>
    <w:div w:id="604970195">
      <w:bodyDiv w:val="1"/>
      <w:marLeft w:val="0"/>
      <w:marRight w:val="0"/>
      <w:marTop w:val="0"/>
      <w:marBottom w:val="0"/>
      <w:divBdr>
        <w:top w:val="none" w:sz="0" w:space="0" w:color="auto"/>
        <w:left w:val="none" w:sz="0" w:space="0" w:color="auto"/>
        <w:bottom w:val="none" w:sz="0" w:space="0" w:color="auto"/>
        <w:right w:val="none" w:sz="0" w:space="0" w:color="auto"/>
      </w:divBdr>
    </w:div>
    <w:div w:id="651058469">
      <w:bodyDiv w:val="1"/>
      <w:marLeft w:val="0"/>
      <w:marRight w:val="0"/>
      <w:marTop w:val="0"/>
      <w:marBottom w:val="0"/>
      <w:divBdr>
        <w:top w:val="none" w:sz="0" w:space="0" w:color="auto"/>
        <w:left w:val="none" w:sz="0" w:space="0" w:color="auto"/>
        <w:bottom w:val="none" w:sz="0" w:space="0" w:color="auto"/>
        <w:right w:val="none" w:sz="0" w:space="0" w:color="auto"/>
      </w:divBdr>
    </w:div>
    <w:div w:id="663433582">
      <w:bodyDiv w:val="1"/>
      <w:marLeft w:val="0"/>
      <w:marRight w:val="0"/>
      <w:marTop w:val="0"/>
      <w:marBottom w:val="0"/>
      <w:divBdr>
        <w:top w:val="none" w:sz="0" w:space="0" w:color="auto"/>
        <w:left w:val="none" w:sz="0" w:space="0" w:color="auto"/>
        <w:bottom w:val="none" w:sz="0" w:space="0" w:color="auto"/>
        <w:right w:val="none" w:sz="0" w:space="0" w:color="auto"/>
      </w:divBdr>
    </w:div>
    <w:div w:id="669647160">
      <w:bodyDiv w:val="1"/>
      <w:marLeft w:val="0"/>
      <w:marRight w:val="0"/>
      <w:marTop w:val="0"/>
      <w:marBottom w:val="0"/>
      <w:divBdr>
        <w:top w:val="none" w:sz="0" w:space="0" w:color="auto"/>
        <w:left w:val="none" w:sz="0" w:space="0" w:color="auto"/>
        <w:bottom w:val="none" w:sz="0" w:space="0" w:color="auto"/>
        <w:right w:val="none" w:sz="0" w:space="0" w:color="auto"/>
      </w:divBdr>
    </w:div>
    <w:div w:id="684476726">
      <w:bodyDiv w:val="1"/>
      <w:marLeft w:val="0"/>
      <w:marRight w:val="0"/>
      <w:marTop w:val="0"/>
      <w:marBottom w:val="0"/>
      <w:divBdr>
        <w:top w:val="none" w:sz="0" w:space="0" w:color="auto"/>
        <w:left w:val="none" w:sz="0" w:space="0" w:color="auto"/>
        <w:bottom w:val="none" w:sz="0" w:space="0" w:color="auto"/>
        <w:right w:val="none" w:sz="0" w:space="0" w:color="auto"/>
      </w:divBdr>
    </w:div>
    <w:div w:id="718628957">
      <w:bodyDiv w:val="1"/>
      <w:marLeft w:val="0"/>
      <w:marRight w:val="0"/>
      <w:marTop w:val="0"/>
      <w:marBottom w:val="0"/>
      <w:divBdr>
        <w:top w:val="none" w:sz="0" w:space="0" w:color="auto"/>
        <w:left w:val="none" w:sz="0" w:space="0" w:color="auto"/>
        <w:bottom w:val="none" w:sz="0" w:space="0" w:color="auto"/>
        <w:right w:val="none" w:sz="0" w:space="0" w:color="auto"/>
      </w:divBdr>
    </w:div>
    <w:div w:id="728260180">
      <w:bodyDiv w:val="1"/>
      <w:marLeft w:val="0"/>
      <w:marRight w:val="0"/>
      <w:marTop w:val="0"/>
      <w:marBottom w:val="0"/>
      <w:divBdr>
        <w:top w:val="none" w:sz="0" w:space="0" w:color="auto"/>
        <w:left w:val="none" w:sz="0" w:space="0" w:color="auto"/>
        <w:bottom w:val="none" w:sz="0" w:space="0" w:color="auto"/>
        <w:right w:val="none" w:sz="0" w:space="0" w:color="auto"/>
      </w:divBdr>
    </w:div>
    <w:div w:id="745149022">
      <w:bodyDiv w:val="1"/>
      <w:marLeft w:val="0"/>
      <w:marRight w:val="0"/>
      <w:marTop w:val="0"/>
      <w:marBottom w:val="0"/>
      <w:divBdr>
        <w:top w:val="none" w:sz="0" w:space="0" w:color="auto"/>
        <w:left w:val="none" w:sz="0" w:space="0" w:color="auto"/>
        <w:bottom w:val="none" w:sz="0" w:space="0" w:color="auto"/>
        <w:right w:val="none" w:sz="0" w:space="0" w:color="auto"/>
      </w:divBdr>
    </w:div>
    <w:div w:id="815336466">
      <w:bodyDiv w:val="1"/>
      <w:marLeft w:val="0"/>
      <w:marRight w:val="0"/>
      <w:marTop w:val="0"/>
      <w:marBottom w:val="0"/>
      <w:divBdr>
        <w:top w:val="none" w:sz="0" w:space="0" w:color="auto"/>
        <w:left w:val="none" w:sz="0" w:space="0" w:color="auto"/>
        <w:bottom w:val="none" w:sz="0" w:space="0" w:color="auto"/>
        <w:right w:val="none" w:sz="0" w:space="0" w:color="auto"/>
      </w:divBdr>
    </w:div>
    <w:div w:id="818301024">
      <w:bodyDiv w:val="1"/>
      <w:marLeft w:val="0"/>
      <w:marRight w:val="0"/>
      <w:marTop w:val="0"/>
      <w:marBottom w:val="0"/>
      <w:divBdr>
        <w:top w:val="none" w:sz="0" w:space="0" w:color="auto"/>
        <w:left w:val="none" w:sz="0" w:space="0" w:color="auto"/>
        <w:bottom w:val="none" w:sz="0" w:space="0" w:color="auto"/>
        <w:right w:val="none" w:sz="0" w:space="0" w:color="auto"/>
      </w:divBdr>
    </w:div>
    <w:div w:id="878586261">
      <w:bodyDiv w:val="1"/>
      <w:marLeft w:val="0"/>
      <w:marRight w:val="0"/>
      <w:marTop w:val="0"/>
      <w:marBottom w:val="0"/>
      <w:divBdr>
        <w:top w:val="none" w:sz="0" w:space="0" w:color="auto"/>
        <w:left w:val="none" w:sz="0" w:space="0" w:color="auto"/>
        <w:bottom w:val="none" w:sz="0" w:space="0" w:color="auto"/>
        <w:right w:val="none" w:sz="0" w:space="0" w:color="auto"/>
      </w:divBdr>
    </w:div>
    <w:div w:id="889457305">
      <w:bodyDiv w:val="1"/>
      <w:marLeft w:val="0"/>
      <w:marRight w:val="0"/>
      <w:marTop w:val="0"/>
      <w:marBottom w:val="0"/>
      <w:divBdr>
        <w:top w:val="none" w:sz="0" w:space="0" w:color="auto"/>
        <w:left w:val="none" w:sz="0" w:space="0" w:color="auto"/>
        <w:bottom w:val="none" w:sz="0" w:space="0" w:color="auto"/>
        <w:right w:val="none" w:sz="0" w:space="0" w:color="auto"/>
      </w:divBdr>
    </w:div>
    <w:div w:id="893353343">
      <w:bodyDiv w:val="1"/>
      <w:marLeft w:val="0"/>
      <w:marRight w:val="0"/>
      <w:marTop w:val="0"/>
      <w:marBottom w:val="0"/>
      <w:divBdr>
        <w:top w:val="none" w:sz="0" w:space="0" w:color="auto"/>
        <w:left w:val="none" w:sz="0" w:space="0" w:color="auto"/>
        <w:bottom w:val="none" w:sz="0" w:space="0" w:color="auto"/>
        <w:right w:val="none" w:sz="0" w:space="0" w:color="auto"/>
      </w:divBdr>
    </w:div>
    <w:div w:id="943615468">
      <w:bodyDiv w:val="1"/>
      <w:marLeft w:val="0"/>
      <w:marRight w:val="0"/>
      <w:marTop w:val="0"/>
      <w:marBottom w:val="0"/>
      <w:divBdr>
        <w:top w:val="none" w:sz="0" w:space="0" w:color="auto"/>
        <w:left w:val="none" w:sz="0" w:space="0" w:color="auto"/>
        <w:bottom w:val="none" w:sz="0" w:space="0" w:color="auto"/>
        <w:right w:val="none" w:sz="0" w:space="0" w:color="auto"/>
      </w:divBdr>
    </w:div>
    <w:div w:id="964656390">
      <w:bodyDiv w:val="1"/>
      <w:marLeft w:val="0"/>
      <w:marRight w:val="0"/>
      <w:marTop w:val="0"/>
      <w:marBottom w:val="0"/>
      <w:divBdr>
        <w:top w:val="none" w:sz="0" w:space="0" w:color="auto"/>
        <w:left w:val="none" w:sz="0" w:space="0" w:color="auto"/>
        <w:bottom w:val="none" w:sz="0" w:space="0" w:color="auto"/>
        <w:right w:val="none" w:sz="0" w:space="0" w:color="auto"/>
      </w:divBdr>
    </w:div>
    <w:div w:id="980110432">
      <w:bodyDiv w:val="1"/>
      <w:marLeft w:val="0"/>
      <w:marRight w:val="0"/>
      <w:marTop w:val="0"/>
      <w:marBottom w:val="0"/>
      <w:divBdr>
        <w:top w:val="none" w:sz="0" w:space="0" w:color="auto"/>
        <w:left w:val="none" w:sz="0" w:space="0" w:color="auto"/>
        <w:bottom w:val="none" w:sz="0" w:space="0" w:color="auto"/>
        <w:right w:val="none" w:sz="0" w:space="0" w:color="auto"/>
      </w:divBdr>
    </w:div>
    <w:div w:id="998191789">
      <w:bodyDiv w:val="1"/>
      <w:marLeft w:val="0"/>
      <w:marRight w:val="0"/>
      <w:marTop w:val="0"/>
      <w:marBottom w:val="0"/>
      <w:divBdr>
        <w:top w:val="none" w:sz="0" w:space="0" w:color="auto"/>
        <w:left w:val="none" w:sz="0" w:space="0" w:color="auto"/>
        <w:bottom w:val="none" w:sz="0" w:space="0" w:color="auto"/>
        <w:right w:val="none" w:sz="0" w:space="0" w:color="auto"/>
      </w:divBdr>
    </w:div>
    <w:div w:id="1004405004">
      <w:bodyDiv w:val="1"/>
      <w:marLeft w:val="0"/>
      <w:marRight w:val="0"/>
      <w:marTop w:val="0"/>
      <w:marBottom w:val="0"/>
      <w:divBdr>
        <w:top w:val="none" w:sz="0" w:space="0" w:color="auto"/>
        <w:left w:val="none" w:sz="0" w:space="0" w:color="auto"/>
        <w:bottom w:val="none" w:sz="0" w:space="0" w:color="auto"/>
        <w:right w:val="none" w:sz="0" w:space="0" w:color="auto"/>
      </w:divBdr>
    </w:div>
    <w:div w:id="1021584871">
      <w:bodyDiv w:val="1"/>
      <w:marLeft w:val="0"/>
      <w:marRight w:val="0"/>
      <w:marTop w:val="0"/>
      <w:marBottom w:val="0"/>
      <w:divBdr>
        <w:top w:val="none" w:sz="0" w:space="0" w:color="auto"/>
        <w:left w:val="none" w:sz="0" w:space="0" w:color="auto"/>
        <w:bottom w:val="none" w:sz="0" w:space="0" w:color="auto"/>
        <w:right w:val="none" w:sz="0" w:space="0" w:color="auto"/>
      </w:divBdr>
    </w:div>
    <w:div w:id="1036463598">
      <w:bodyDiv w:val="1"/>
      <w:marLeft w:val="0"/>
      <w:marRight w:val="0"/>
      <w:marTop w:val="0"/>
      <w:marBottom w:val="0"/>
      <w:divBdr>
        <w:top w:val="none" w:sz="0" w:space="0" w:color="auto"/>
        <w:left w:val="none" w:sz="0" w:space="0" w:color="auto"/>
        <w:bottom w:val="none" w:sz="0" w:space="0" w:color="auto"/>
        <w:right w:val="none" w:sz="0" w:space="0" w:color="auto"/>
      </w:divBdr>
    </w:div>
    <w:div w:id="1056472463">
      <w:bodyDiv w:val="1"/>
      <w:marLeft w:val="0"/>
      <w:marRight w:val="0"/>
      <w:marTop w:val="0"/>
      <w:marBottom w:val="0"/>
      <w:divBdr>
        <w:top w:val="none" w:sz="0" w:space="0" w:color="auto"/>
        <w:left w:val="none" w:sz="0" w:space="0" w:color="auto"/>
        <w:bottom w:val="none" w:sz="0" w:space="0" w:color="auto"/>
        <w:right w:val="none" w:sz="0" w:space="0" w:color="auto"/>
      </w:divBdr>
    </w:div>
    <w:div w:id="1063140637">
      <w:bodyDiv w:val="1"/>
      <w:marLeft w:val="0"/>
      <w:marRight w:val="0"/>
      <w:marTop w:val="0"/>
      <w:marBottom w:val="0"/>
      <w:divBdr>
        <w:top w:val="none" w:sz="0" w:space="0" w:color="auto"/>
        <w:left w:val="none" w:sz="0" w:space="0" w:color="auto"/>
        <w:bottom w:val="none" w:sz="0" w:space="0" w:color="auto"/>
        <w:right w:val="none" w:sz="0" w:space="0" w:color="auto"/>
      </w:divBdr>
    </w:div>
    <w:div w:id="1101990007">
      <w:bodyDiv w:val="1"/>
      <w:marLeft w:val="0"/>
      <w:marRight w:val="0"/>
      <w:marTop w:val="0"/>
      <w:marBottom w:val="0"/>
      <w:divBdr>
        <w:top w:val="none" w:sz="0" w:space="0" w:color="auto"/>
        <w:left w:val="none" w:sz="0" w:space="0" w:color="auto"/>
        <w:bottom w:val="none" w:sz="0" w:space="0" w:color="auto"/>
        <w:right w:val="none" w:sz="0" w:space="0" w:color="auto"/>
      </w:divBdr>
    </w:div>
    <w:div w:id="1134449482">
      <w:bodyDiv w:val="1"/>
      <w:marLeft w:val="0"/>
      <w:marRight w:val="0"/>
      <w:marTop w:val="0"/>
      <w:marBottom w:val="0"/>
      <w:divBdr>
        <w:top w:val="none" w:sz="0" w:space="0" w:color="auto"/>
        <w:left w:val="none" w:sz="0" w:space="0" w:color="auto"/>
        <w:bottom w:val="none" w:sz="0" w:space="0" w:color="auto"/>
        <w:right w:val="none" w:sz="0" w:space="0" w:color="auto"/>
      </w:divBdr>
    </w:div>
    <w:div w:id="1135373454">
      <w:bodyDiv w:val="1"/>
      <w:marLeft w:val="0"/>
      <w:marRight w:val="0"/>
      <w:marTop w:val="0"/>
      <w:marBottom w:val="0"/>
      <w:divBdr>
        <w:top w:val="none" w:sz="0" w:space="0" w:color="auto"/>
        <w:left w:val="none" w:sz="0" w:space="0" w:color="auto"/>
        <w:bottom w:val="none" w:sz="0" w:space="0" w:color="auto"/>
        <w:right w:val="none" w:sz="0" w:space="0" w:color="auto"/>
      </w:divBdr>
    </w:div>
    <w:div w:id="1281915304">
      <w:bodyDiv w:val="1"/>
      <w:marLeft w:val="0"/>
      <w:marRight w:val="0"/>
      <w:marTop w:val="0"/>
      <w:marBottom w:val="0"/>
      <w:divBdr>
        <w:top w:val="none" w:sz="0" w:space="0" w:color="auto"/>
        <w:left w:val="none" w:sz="0" w:space="0" w:color="auto"/>
        <w:bottom w:val="none" w:sz="0" w:space="0" w:color="auto"/>
        <w:right w:val="none" w:sz="0" w:space="0" w:color="auto"/>
      </w:divBdr>
    </w:div>
    <w:div w:id="1313486294">
      <w:bodyDiv w:val="1"/>
      <w:marLeft w:val="0"/>
      <w:marRight w:val="0"/>
      <w:marTop w:val="0"/>
      <w:marBottom w:val="0"/>
      <w:divBdr>
        <w:top w:val="none" w:sz="0" w:space="0" w:color="auto"/>
        <w:left w:val="none" w:sz="0" w:space="0" w:color="auto"/>
        <w:bottom w:val="none" w:sz="0" w:space="0" w:color="auto"/>
        <w:right w:val="none" w:sz="0" w:space="0" w:color="auto"/>
      </w:divBdr>
    </w:div>
    <w:div w:id="1393230761">
      <w:bodyDiv w:val="1"/>
      <w:marLeft w:val="0"/>
      <w:marRight w:val="0"/>
      <w:marTop w:val="0"/>
      <w:marBottom w:val="0"/>
      <w:divBdr>
        <w:top w:val="none" w:sz="0" w:space="0" w:color="auto"/>
        <w:left w:val="none" w:sz="0" w:space="0" w:color="auto"/>
        <w:bottom w:val="none" w:sz="0" w:space="0" w:color="auto"/>
        <w:right w:val="none" w:sz="0" w:space="0" w:color="auto"/>
      </w:divBdr>
    </w:div>
    <w:div w:id="1488089452">
      <w:bodyDiv w:val="1"/>
      <w:marLeft w:val="0"/>
      <w:marRight w:val="0"/>
      <w:marTop w:val="0"/>
      <w:marBottom w:val="0"/>
      <w:divBdr>
        <w:top w:val="none" w:sz="0" w:space="0" w:color="auto"/>
        <w:left w:val="none" w:sz="0" w:space="0" w:color="auto"/>
        <w:bottom w:val="none" w:sz="0" w:space="0" w:color="auto"/>
        <w:right w:val="none" w:sz="0" w:space="0" w:color="auto"/>
      </w:divBdr>
    </w:div>
    <w:div w:id="1504931716">
      <w:bodyDiv w:val="1"/>
      <w:marLeft w:val="0"/>
      <w:marRight w:val="0"/>
      <w:marTop w:val="0"/>
      <w:marBottom w:val="0"/>
      <w:divBdr>
        <w:top w:val="none" w:sz="0" w:space="0" w:color="auto"/>
        <w:left w:val="none" w:sz="0" w:space="0" w:color="auto"/>
        <w:bottom w:val="none" w:sz="0" w:space="0" w:color="auto"/>
        <w:right w:val="none" w:sz="0" w:space="0" w:color="auto"/>
      </w:divBdr>
    </w:div>
    <w:div w:id="1509176391">
      <w:bodyDiv w:val="1"/>
      <w:marLeft w:val="0"/>
      <w:marRight w:val="0"/>
      <w:marTop w:val="0"/>
      <w:marBottom w:val="0"/>
      <w:divBdr>
        <w:top w:val="none" w:sz="0" w:space="0" w:color="auto"/>
        <w:left w:val="none" w:sz="0" w:space="0" w:color="auto"/>
        <w:bottom w:val="none" w:sz="0" w:space="0" w:color="auto"/>
        <w:right w:val="none" w:sz="0" w:space="0" w:color="auto"/>
      </w:divBdr>
    </w:div>
    <w:div w:id="1510367555">
      <w:bodyDiv w:val="1"/>
      <w:marLeft w:val="0"/>
      <w:marRight w:val="0"/>
      <w:marTop w:val="0"/>
      <w:marBottom w:val="0"/>
      <w:divBdr>
        <w:top w:val="none" w:sz="0" w:space="0" w:color="auto"/>
        <w:left w:val="none" w:sz="0" w:space="0" w:color="auto"/>
        <w:bottom w:val="none" w:sz="0" w:space="0" w:color="auto"/>
        <w:right w:val="none" w:sz="0" w:space="0" w:color="auto"/>
      </w:divBdr>
    </w:div>
    <w:div w:id="1527017873">
      <w:bodyDiv w:val="1"/>
      <w:marLeft w:val="0"/>
      <w:marRight w:val="0"/>
      <w:marTop w:val="0"/>
      <w:marBottom w:val="0"/>
      <w:divBdr>
        <w:top w:val="none" w:sz="0" w:space="0" w:color="auto"/>
        <w:left w:val="none" w:sz="0" w:space="0" w:color="auto"/>
        <w:bottom w:val="none" w:sz="0" w:space="0" w:color="auto"/>
        <w:right w:val="none" w:sz="0" w:space="0" w:color="auto"/>
      </w:divBdr>
    </w:div>
    <w:div w:id="1594515442">
      <w:bodyDiv w:val="1"/>
      <w:marLeft w:val="0"/>
      <w:marRight w:val="0"/>
      <w:marTop w:val="0"/>
      <w:marBottom w:val="0"/>
      <w:divBdr>
        <w:top w:val="none" w:sz="0" w:space="0" w:color="auto"/>
        <w:left w:val="none" w:sz="0" w:space="0" w:color="auto"/>
        <w:bottom w:val="none" w:sz="0" w:space="0" w:color="auto"/>
        <w:right w:val="none" w:sz="0" w:space="0" w:color="auto"/>
      </w:divBdr>
    </w:div>
    <w:div w:id="1598175943">
      <w:bodyDiv w:val="1"/>
      <w:marLeft w:val="0"/>
      <w:marRight w:val="0"/>
      <w:marTop w:val="0"/>
      <w:marBottom w:val="0"/>
      <w:divBdr>
        <w:top w:val="none" w:sz="0" w:space="0" w:color="auto"/>
        <w:left w:val="none" w:sz="0" w:space="0" w:color="auto"/>
        <w:bottom w:val="none" w:sz="0" w:space="0" w:color="auto"/>
        <w:right w:val="none" w:sz="0" w:space="0" w:color="auto"/>
      </w:divBdr>
    </w:div>
    <w:div w:id="1626739486">
      <w:bodyDiv w:val="1"/>
      <w:marLeft w:val="0"/>
      <w:marRight w:val="0"/>
      <w:marTop w:val="0"/>
      <w:marBottom w:val="0"/>
      <w:divBdr>
        <w:top w:val="none" w:sz="0" w:space="0" w:color="auto"/>
        <w:left w:val="none" w:sz="0" w:space="0" w:color="auto"/>
        <w:bottom w:val="none" w:sz="0" w:space="0" w:color="auto"/>
        <w:right w:val="none" w:sz="0" w:space="0" w:color="auto"/>
      </w:divBdr>
    </w:div>
    <w:div w:id="1692800460">
      <w:bodyDiv w:val="1"/>
      <w:marLeft w:val="0"/>
      <w:marRight w:val="0"/>
      <w:marTop w:val="0"/>
      <w:marBottom w:val="0"/>
      <w:divBdr>
        <w:top w:val="none" w:sz="0" w:space="0" w:color="auto"/>
        <w:left w:val="none" w:sz="0" w:space="0" w:color="auto"/>
        <w:bottom w:val="none" w:sz="0" w:space="0" w:color="auto"/>
        <w:right w:val="none" w:sz="0" w:space="0" w:color="auto"/>
      </w:divBdr>
    </w:div>
    <w:div w:id="1707212808">
      <w:bodyDiv w:val="1"/>
      <w:marLeft w:val="0"/>
      <w:marRight w:val="0"/>
      <w:marTop w:val="0"/>
      <w:marBottom w:val="0"/>
      <w:divBdr>
        <w:top w:val="none" w:sz="0" w:space="0" w:color="auto"/>
        <w:left w:val="none" w:sz="0" w:space="0" w:color="auto"/>
        <w:bottom w:val="none" w:sz="0" w:space="0" w:color="auto"/>
        <w:right w:val="none" w:sz="0" w:space="0" w:color="auto"/>
      </w:divBdr>
    </w:div>
    <w:div w:id="1725175924">
      <w:bodyDiv w:val="1"/>
      <w:marLeft w:val="0"/>
      <w:marRight w:val="0"/>
      <w:marTop w:val="0"/>
      <w:marBottom w:val="0"/>
      <w:divBdr>
        <w:top w:val="none" w:sz="0" w:space="0" w:color="auto"/>
        <w:left w:val="none" w:sz="0" w:space="0" w:color="auto"/>
        <w:bottom w:val="none" w:sz="0" w:space="0" w:color="auto"/>
        <w:right w:val="none" w:sz="0" w:space="0" w:color="auto"/>
      </w:divBdr>
    </w:div>
    <w:div w:id="1745450347">
      <w:bodyDiv w:val="1"/>
      <w:marLeft w:val="0"/>
      <w:marRight w:val="0"/>
      <w:marTop w:val="0"/>
      <w:marBottom w:val="0"/>
      <w:divBdr>
        <w:top w:val="none" w:sz="0" w:space="0" w:color="auto"/>
        <w:left w:val="none" w:sz="0" w:space="0" w:color="auto"/>
        <w:bottom w:val="none" w:sz="0" w:space="0" w:color="auto"/>
        <w:right w:val="none" w:sz="0" w:space="0" w:color="auto"/>
      </w:divBdr>
    </w:div>
    <w:div w:id="1754546779">
      <w:bodyDiv w:val="1"/>
      <w:marLeft w:val="0"/>
      <w:marRight w:val="0"/>
      <w:marTop w:val="0"/>
      <w:marBottom w:val="0"/>
      <w:divBdr>
        <w:top w:val="none" w:sz="0" w:space="0" w:color="auto"/>
        <w:left w:val="none" w:sz="0" w:space="0" w:color="auto"/>
        <w:bottom w:val="none" w:sz="0" w:space="0" w:color="auto"/>
        <w:right w:val="none" w:sz="0" w:space="0" w:color="auto"/>
      </w:divBdr>
    </w:div>
    <w:div w:id="1814713678">
      <w:bodyDiv w:val="1"/>
      <w:marLeft w:val="0"/>
      <w:marRight w:val="0"/>
      <w:marTop w:val="0"/>
      <w:marBottom w:val="0"/>
      <w:divBdr>
        <w:top w:val="none" w:sz="0" w:space="0" w:color="auto"/>
        <w:left w:val="none" w:sz="0" w:space="0" w:color="auto"/>
        <w:bottom w:val="none" w:sz="0" w:space="0" w:color="auto"/>
        <w:right w:val="none" w:sz="0" w:space="0" w:color="auto"/>
      </w:divBdr>
    </w:div>
    <w:div w:id="1839924072">
      <w:bodyDiv w:val="1"/>
      <w:marLeft w:val="0"/>
      <w:marRight w:val="0"/>
      <w:marTop w:val="0"/>
      <w:marBottom w:val="0"/>
      <w:divBdr>
        <w:top w:val="none" w:sz="0" w:space="0" w:color="auto"/>
        <w:left w:val="none" w:sz="0" w:space="0" w:color="auto"/>
        <w:bottom w:val="none" w:sz="0" w:space="0" w:color="auto"/>
        <w:right w:val="none" w:sz="0" w:space="0" w:color="auto"/>
      </w:divBdr>
    </w:div>
    <w:div w:id="1864130746">
      <w:bodyDiv w:val="1"/>
      <w:marLeft w:val="0"/>
      <w:marRight w:val="0"/>
      <w:marTop w:val="0"/>
      <w:marBottom w:val="0"/>
      <w:divBdr>
        <w:top w:val="none" w:sz="0" w:space="0" w:color="auto"/>
        <w:left w:val="none" w:sz="0" w:space="0" w:color="auto"/>
        <w:bottom w:val="none" w:sz="0" w:space="0" w:color="auto"/>
        <w:right w:val="none" w:sz="0" w:space="0" w:color="auto"/>
      </w:divBdr>
    </w:div>
    <w:div w:id="1864975918">
      <w:bodyDiv w:val="1"/>
      <w:marLeft w:val="0"/>
      <w:marRight w:val="0"/>
      <w:marTop w:val="0"/>
      <w:marBottom w:val="0"/>
      <w:divBdr>
        <w:top w:val="none" w:sz="0" w:space="0" w:color="auto"/>
        <w:left w:val="none" w:sz="0" w:space="0" w:color="auto"/>
        <w:bottom w:val="none" w:sz="0" w:space="0" w:color="auto"/>
        <w:right w:val="none" w:sz="0" w:space="0" w:color="auto"/>
      </w:divBdr>
    </w:div>
    <w:div w:id="1871911376">
      <w:bodyDiv w:val="1"/>
      <w:marLeft w:val="0"/>
      <w:marRight w:val="0"/>
      <w:marTop w:val="0"/>
      <w:marBottom w:val="0"/>
      <w:divBdr>
        <w:top w:val="none" w:sz="0" w:space="0" w:color="auto"/>
        <w:left w:val="none" w:sz="0" w:space="0" w:color="auto"/>
        <w:bottom w:val="none" w:sz="0" w:space="0" w:color="auto"/>
        <w:right w:val="none" w:sz="0" w:space="0" w:color="auto"/>
      </w:divBdr>
    </w:div>
    <w:div w:id="1874686917">
      <w:bodyDiv w:val="1"/>
      <w:marLeft w:val="0"/>
      <w:marRight w:val="0"/>
      <w:marTop w:val="0"/>
      <w:marBottom w:val="0"/>
      <w:divBdr>
        <w:top w:val="none" w:sz="0" w:space="0" w:color="auto"/>
        <w:left w:val="none" w:sz="0" w:space="0" w:color="auto"/>
        <w:bottom w:val="none" w:sz="0" w:space="0" w:color="auto"/>
        <w:right w:val="none" w:sz="0" w:space="0" w:color="auto"/>
      </w:divBdr>
    </w:div>
    <w:div w:id="1915050159">
      <w:bodyDiv w:val="1"/>
      <w:marLeft w:val="0"/>
      <w:marRight w:val="0"/>
      <w:marTop w:val="0"/>
      <w:marBottom w:val="0"/>
      <w:divBdr>
        <w:top w:val="none" w:sz="0" w:space="0" w:color="auto"/>
        <w:left w:val="none" w:sz="0" w:space="0" w:color="auto"/>
        <w:bottom w:val="none" w:sz="0" w:space="0" w:color="auto"/>
        <w:right w:val="none" w:sz="0" w:space="0" w:color="auto"/>
      </w:divBdr>
    </w:div>
    <w:div w:id="1927109335">
      <w:bodyDiv w:val="1"/>
      <w:marLeft w:val="0"/>
      <w:marRight w:val="0"/>
      <w:marTop w:val="0"/>
      <w:marBottom w:val="0"/>
      <w:divBdr>
        <w:top w:val="none" w:sz="0" w:space="0" w:color="auto"/>
        <w:left w:val="none" w:sz="0" w:space="0" w:color="auto"/>
        <w:bottom w:val="none" w:sz="0" w:space="0" w:color="auto"/>
        <w:right w:val="none" w:sz="0" w:space="0" w:color="auto"/>
      </w:divBdr>
    </w:div>
    <w:div w:id="1952931456">
      <w:bodyDiv w:val="1"/>
      <w:marLeft w:val="0"/>
      <w:marRight w:val="0"/>
      <w:marTop w:val="0"/>
      <w:marBottom w:val="0"/>
      <w:divBdr>
        <w:top w:val="none" w:sz="0" w:space="0" w:color="auto"/>
        <w:left w:val="none" w:sz="0" w:space="0" w:color="auto"/>
        <w:bottom w:val="none" w:sz="0" w:space="0" w:color="auto"/>
        <w:right w:val="none" w:sz="0" w:space="0" w:color="auto"/>
      </w:divBdr>
    </w:div>
    <w:div w:id="1956132364">
      <w:bodyDiv w:val="1"/>
      <w:marLeft w:val="0"/>
      <w:marRight w:val="0"/>
      <w:marTop w:val="0"/>
      <w:marBottom w:val="0"/>
      <w:divBdr>
        <w:top w:val="none" w:sz="0" w:space="0" w:color="auto"/>
        <w:left w:val="none" w:sz="0" w:space="0" w:color="auto"/>
        <w:bottom w:val="none" w:sz="0" w:space="0" w:color="auto"/>
        <w:right w:val="none" w:sz="0" w:space="0" w:color="auto"/>
      </w:divBdr>
    </w:div>
    <w:div w:id="1956403090">
      <w:bodyDiv w:val="1"/>
      <w:marLeft w:val="0"/>
      <w:marRight w:val="0"/>
      <w:marTop w:val="0"/>
      <w:marBottom w:val="0"/>
      <w:divBdr>
        <w:top w:val="none" w:sz="0" w:space="0" w:color="auto"/>
        <w:left w:val="none" w:sz="0" w:space="0" w:color="auto"/>
        <w:bottom w:val="none" w:sz="0" w:space="0" w:color="auto"/>
        <w:right w:val="none" w:sz="0" w:space="0" w:color="auto"/>
      </w:divBdr>
    </w:div>
    <w:div w:id="1957642529">
      <w:bodyDiv w:val="1"/>
      <w:marLeft w:val="0"/>
      <w:marRight w:val="0"/>
      <w:marTop w:val="0"/>
      <w:marBottom w:val="0"/>
      <w:divBdr>
        <w:top w:val="none" w:sz="0" w:space="0" w:color="auto"/>
        <w:left w:val="none" w:sz="0" w:space="0" w:color="auto"/>
        <w:bottom w:val="none" w:sz="0" w:space="0" w:color="auto"/>
        <w:right w:val="none" w:sz="0" w:space="0" w:color="auto"/>
      </w:divBdr>
    </w:div>
    <w:div w:id="1992369690">
      <w:bodyDiv w:val="1"/>
      <w:marLeft w:val="0"/>
      <w:marRight w:val="0"/>
      <w:marTop w:val="0"/>
      <w:marBottom w:val="0"/>
      <w:divBdr>
        <w:top w:val="none" w:sz="0" w:space="0" w:color="auto"/>
        <w:left w:val="none" w:sz="0" w:space="0" w:color="auto"/>
        <w:bottom w:val="none" w:sz="0" w:space="0" w:color="auto"/>
        <w:right w:val="none" w:sz="0" w:space="0" w:color="auto"/>
      </w:divBdr>
    </w:div>
    <w:div w:id="1995914327">
      <w:bodyDiv w:val="1"/>
      <w:marLeft w:val="0"/>
      <w:marRight w:val="0"/>
      <w:marTop w:val="0"/>
      <w:marBottom w:val="0"/>
      <w:divBdr>
        <w:top w:val="none" w:sz="0" w:space="0" w:color="auto"/>
        <w:left w:val="none" w:sz="0" w:space="0" w:color="auto"/>
        <w:bottom w:val="none" w:sz="0" w:space="0" w:color="auto"/>
        <w:right w:val="none" w:sz="0" w:space="0" w:color="auto"/>
      </w:divBdr>
    </w:div>
    <w:div w:id="2006591182">
      <w:bodyDiv w:val="1"/>
      <w:marLeft w:val="0"/>
      <w:marRight w:val="0"/>
      <w:marTop w:val="0"/>
      <w:marBottom w:val="0"/>
      <w:divBdr>
        <w:top w:val="none" w:sz="0" w:space="0" w:color="auto"/>
        <w:left w:val="none" w:sz="0" w:space="0" w:color="auto"/>
        <w:bottom w:val="none" w:sz="0" w:space="0" w:color="auto"/>
        <w:right w:val="none" w:sz="0" w:space="0" w:color="auto"/>
      </w:divBdr>
    </w:div>
    <w:div w:id="2007903476">
      <w:bodyDiv w:val="1"/>
      <w:marLeft w:val="0"/>
      <w:marRight w:val="0"/>
      <w:marTop w:val="0"/>
      <w:marBottom w:val="0"/>
      <w:divBdr>
        <w:top w:val="none" w:sz="0" w:space="0" w:color="auto"/>
        <w:left w:val="none" w:sz="0" w:space="0" w:color="auto"/>
        <w:bottom w:val="none" w:sz="0" w:space="0" w:color="auto"/>
        <w:right w:val="none" w:sz="0" w:space="0" w:color="auto"/>
      </w:divBdr>
    </w:div>
    <w:div w:id="2024671005">
      <w:bodyDiv w:val="1"/>
      <w:marLeft w:val="0"/>
      <w:marRight w:val="0"/>
      <w:marTop w:val="0"/>
      <w:marBottom w:val="0"/>
      <w:divBdr>
        <w:top w:val="none" w:sz="0" w:space="0" w:color="auto"/>
        <w:left w:val="none" w:sz="0" w:space="0" w:color="auto"/>
        <w:bottom w:val="none" w:sz="0" w:space="0" w:color="auto"/>
        <w:right w:val="none" w:sz="0" w:space="0" w:color="auto"/>
      </w:divBdr>
    </w:div>
    <w:div w:id="2026708501">
      <w:bodyDiv w:val="1"/>
      <w:marLeft w:val="0"/>
      <w:marRight w:val="0"/>
      <w:marTop w:val="0"/>
      <w:marBottom w:val="0"/>
      <w:divBdr>
        <w:top w:val="none" w:sz="0" w:space="0" w:color="auto"/>
        <w:left w:val="none" w:sz="0" w:space="0" w:color="auto"/>
        <w:bottom w:val="none" w:sz="0" w:space="0" w:color="auto"/>
        <w:right w:val="none" w:sz="0" w:space="0" w:color="auto"/>
      </w:divBdr>
    </w:div>
    <w:div w:id="2041737801">
      <w:bodyDiv w:val="1"/>
      <w:marLeft w:val="0"/>
      <w:marRight w:val="0"/>
      <w:marTop w:val="0"/>
      <w:marBottom w:val="0"/>
      <w:divBdr>
        <w:top w:val="none" w:sz="0" w:space="0" w:color="auto"/>
        <w:left w:val="none" w:sz="0" w:space="0" w:color="auto"/>
        <w:bottom w:val="none" w:sz="0" w:space="0" w:color="auto"/>
        <w:right w:val="none" w:sz="0" w:space="0" w:color="auto"/>
      </w:divBdr>
    </w:div>
    <w:div w:id="2061636030">
      <w:bodyDiv w:val="1"/>
      <w:marLeft w:val="0"/>
      <w:marRight w:val="0"/>
      <w:marTop w:val="0"/>
      <w:marBottom w:val="0"/>
      <w:divBdr>
        <w:top w:val="none" w:sz="0" w:space="0" w:color="auto"/>
        <w:left w:val="none" w:sz="0" w:space="0" w:color="auto"/>
        <w:bottom w:val="none" w:sz="0" w:space="0" w:color="auto"/>
        <w:right w:val="none" w:sz="0" w:space="0" w:color="auto"/>
      </w:divBdr>
    </w:div>
    <w:div w:id="2065324271">
      <w:bodyDiv w:val="1"/>
      <w:marLeft w:val="0"/>
      <w:marRight w:val="0"/>
      <w:marTop w:val="0"/>
      <w:marBottom w:val="0"/>
      <w:divBdr>
        <w:top w:val="none" w:sz="0" w:space="0" w:color="auto"/>
        <w:left w:val="none" w:sz="0" w:space="0" w:color="auto"/>
        <w:bottom w:val="none" w:sz="0" w:space="0" w:color="auto"/>
        <w:right w:val="none" w:sz="0" w:space="0" w:color="auto"/>
      </w:divBdr>
    </w:div>
    <w:div w:id="2097431966">
      <w:bodyDiv w:val="1"/>
      <w:marLeft w:val="0"/>
      <w:marRight w:val="0"/>
      <w:marTop w:val="0"/>
      <w:marBottom w:val="0"/>
      <w:divBdr>
        <w:top w:val="none" w:sz="0" w:space="0" w:color="auto"/>
        <w:left w:val="none" w:sz="0" w:space="0" w:color="auto"/>
        <w:bottom w:val="none" w:sz="0" w:space="0" w:color="auto"/>
        <w:right w:val="none" w:sz="0" w:space="0" w:color="auto"/>
      </w:divBdr>
    </w:div>
    <w:div w:id="2104835058">
      <w:bodyDiv w:val="1"/>
      <w:marLeft w:val="0"/>
      <w:marRight w:val="0"/>
      <w:marTop w:val="0"/>
      <w:marBottom w:val="0"/>
      <w:divBdr>
        <w:top w:val="none" w:sz="0" w:space="0" w:color="auto"/>
        <w:left w:val="none" w:sz="0" w:space="0" w:color="auto"/>
        <w:bottom w:val="none" w:sz="0" w:space="0" w:color="auto"/>
        <w:right w:val="none" w:sz="0" w:space="0" w:color="auto"/>
      </w:divBdr>
    </w:div>
    <w:div w:id="2107311443">
      <w:bodyDiv w:val="1"/>
      <w:marLeft w:val="0"/>
      <w:marRight w:val="0"/>
      <w:marTop w:val="0"/>
      <w:marBottom w:val="0"/>
      <w:divBdr>
        <w:top w:val="none" w:sz="0" w:space="0" w:color="auto"/>
        <w:left w:val="none" w:sz="0" w:space="0" w:color="auto"/>
        <w:bottom w:val="none" w:sz="0" w:space="0" w:color="auto"/>
        <w:right w:val="none" w:sz="0" w:space="0" w:color="auto"/>
      </w:divBdr>
    </w:div>
    <w:div w:id="213826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196F3-8BBA-4AF9-9E12-CE63B42B0EE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54235AF8-E128-4D47-8F17-C83CA0ABCBF2}">
      <dgm:prSet phldrT="[Text]" custT="1"/>
      <dgm:spPr/>
      <dgm:t>
        <a:bodyPr/>
        <a:lstStyle/>
        <a:p>
          <a:r>
            <a:rPr lang="en-GB" sz="1000">
              <a:latin typeface="Arial" panose="020B0604020202020204" pitchFamily="34" charset="0"/>
              <a:cs typeface="Arial" panose="020B0604020202020204" pitchFamily="34" charset="0"/>
            </a:rPr>
            <a:t>Healthy Filipino women in their firs trimester of pregnancy (before 14 weeks of pregnancy according to their last menstrual period or by ultrasound) seen at outpatient department in The Medical City - Ortigas</a:t>
          </a:r>
        </a:p>
      </dgm:t>
    </dgm:pt>
    <dgm:pt modelId="{D392D53D-ED15-422D-9F51-5B472D19294E}" type="parTrans" cxnId="{1CB25D01-C34B-4F50-8B95-537791D9A2A9}">
      <dgm:prSet/>
      <dgm:spPr/>
      <dgm:t>
        <a:bodyPr/>
        <a:lstStyle/>
        <a:p>
          <a:endParaRPr lang="en-GB"/>
        </a:p>
      </dgm:t>
    </dgm:pt>
    <dgm:pt modelId="{1B0A0147-FB13-4078-8FF0-9716383770D5}" type="sibTrans" cxnId="{1CB25D01-C34B-4F50-8B95-537791D9A2A9}">
      <dgm:prSet/>
      <dgm:spPr/>
      <dgm:t>
        <a:bodyPr/>
        <a:lstStyle/>
        <a:p>
          <a:endParaRPr lang="en-GB"/>
        </a:p>
      </dgm:t>
    </dgm:pt>
    <dgm:pt modelId="{76003EA8-126A-4456-8053-264AB9C01F31}">
      <dgm:prSet phldrT="[Text]" custT="1"/>
      <dgm:spPr/>
      <dgm:t>
        <a:bodyPr/>
        <a:lstStyle/>
        <a:p>
          <a:r>
            <a:rPr lang="en-GB" sz="1000">
              <a:latin typeface="Arial" panose="020B0604020202020204" pitchFamily="34" charset="0"/>
              <a:cs typeface="Arial" panose="020B0604020202020204" pitchFamily="34" charset="0"/>
            </a:rPr>
            <a:t>Compute for TyG index calcutated as</a:t>
          </a:r>
        </a:p>
        <a:p>
          <a:r>
            <a:rPr lang="en-GB" sz="1000">
              <a:latin typeface="Arial" panose="020B0604020202020204" pitchFamily="34" charset="0"/>
              <a:cs typeface="Arial" panose="020B0604020202020204" pitchFamily="34" charset="0"/>
            </a:rPr>
            <a:t>ln [Fasting TG (mg/dl) x Fasting glucose (mg/dl)] / 2</a:t>
          </a:r>
        </a:p>
      </dgm:t>
    </dgm:pt>
    <dgm:pt modelId="{ADDE72A1-0754-46B8-A0A2-78A26A4122B9}" type="parTrans" cxnId="{E282DC75-156C-4EF5-A787-FFEE8399CFD0}">
      <dgm:prSet/>
      <dgm:spPr/>
      <dgm:t>
        <a:bodyPr/>
        <a:lstStyle/>
        <a:p>
          <a:endParaRPr lang="en-GB"/>
        </a:p>
      </dgm:t>
    </dgm:pt>
    <dgm:pt modelId="{7E939DAD-531A-4E0E-958E-9EF030ECE6B8}" type="sibTrans" cxnId="{E282DC75-156C-4EF5-A787-FFEE8399CFD0}">
      <dgm:prSet/>
      <dgm:spPr/>
      <dgm:t>
        <a:bodyPr/>
        <a:lstStyle/>
        <a:p>
          <a:endParaRPr lang="en-GB"/>
        </a:p>
      </dgm:t>
    </dgm:pt>
    <dgm:pt modelId="{D925E472-CCC0-481B-8C54-EA8BF83E9E41}">
      <dgm:prSet phldrT="[Text]" custT="1"/>
      <dgm:spPr/>
      <dgm:t>
        <a:bodyPr/>
        <a:lstStyle/>
        <a:p>
          <a:endParaRPr lang="en-GB" sz="800">
            <a:latin typeface="Arial" panose="020B0604020202020204" pitchFamily="34" charset="0"/>
            <a:cs typeface="Arial" panose="020B0604020202020204" pitchFamily="34" charset="0"/>
          </a:endParaRPr>
        </a:p>
        <a:p>
          <a:r>
            <a:rPr lang="en-GB" sz="800">
              <a:latin typeface="Arial" panose="020B0604020202020204" pitchFamily="34" charset="0"/>
              <a:cs typeface="Arial" panose="020B0604020202020204" pitchFamily="34" charset="0"/>
            </a:rPr>
            <a:t>Diagnosis of GDM based on single step 2 hour 75g OGTT at  24-28 weeks AOG</a:t>
          </a:r>
        </a:p>
        <a:p>
          <a:r>
            <a:rPr lang="en-GB" sz="800">
              <a:latin typeface="Arial" panose="020B0604020202020204" pitchFamily="34" charset="0"/>
              <a:cs typeface="Arial" panose="020B0604020202020204" pitchFamily="34" charset="0"/>
            </a:rPr>
            <a:t>Triglycerides and FBS level taken at same time</a:t>
          </a:r>
        </a:p>
        <a:p>
          <a:endParaRPr lang="en-GB" sz="800">
            <a:latin typeface="Arial" panose="020B0604020202020204" pitchFamily="34" charset="0"/>
            <a:cs typeface="Arial" panose="020B0604020202020204" pitchFamily="34" charset="0"/>
          </a:endParaRPr>
        </a:p>
      </dgm:t>
    </dgm:pt>
    <dgm:pt modelId="{FEF8DBD0-71BA-45D5-9779-DC86A7C3B1BB}" type="parTrans" cxnId="{31F465B3-63EB-42AB-87CD-FBA0C51B41AB}">
      <dgm:prSet/>
      <dgm:spPr/>
      <dgm:t>
        <a:bodyPr/>
        <a:lstStyle/>
        <a:p>
          <a:endParaRPr lang="en-GB"/>
        </a:p>
      </dgm:t>
    </dgm:pt>
    <dgm:pt modelId="{31E24A14-EB7C-47B4-9024-BB60E1688CF6}" type="sibTrans" cxnId="{31F465B3-63EB-42AB-87CD-FBA0C51B41AB}">
      <dgm:prSet/>
      <dgm:spPr/>
      <dgm:t>
        <a:bodyPr/>
        <a:lstStyle/>
        <a:p>
          <a:endParaRPr lang="en-GB"/>
        </a:p>
      </dgm:t>
    </dgm:pt>
    <dgm:pt modelId="{03811FAA-3741-4FFA-99ED-52A2B1E848D0}" type="asst">
      <dgm:prSet phldrT="[Text]" custT="1"/>
      <dgm:spPr/>
      <dgm:t>
        <a:bodyPr/>
        <a:lstStyle/>
        <a:p>
          <a:pPr algn="ctr"/>
          <a:endParaRPr lang="en-GB" sz="1000">
            <a:latin typeface="Arial" panose="020B0604020202020204" pitchFamily="34" charset="0"/>
            <a:cs typeface="Arial" panose="020B0604020202020204" pitchFamily="34" charset="0"/>
          </a:endParaRPr>
        </a:p>
        <a:p>
          <a:pPr algn="ctr"/>
          <a:r>
            <a:rPr lang="en-GB" sz="1000">
              <a:latin typeface="Arial" panose="020B0604020202020204" pitchFamily="34" charset="0"/>
              <a:cs typeface="Arial" panose="020B0604020202020204" pitchFamily="34" charset="0"/>
            </a:rPr>
            <a:t>Exclusion criteria:</a:t>
          </a:r>
        </a:p>
        <a:p>
          <a:pPr algn="l"/>
          <a:r>
            <a:rPr lang="en-US" sz="800">
              <a:latin typeface="Arial" panose="020B0604020202020204" pitchFamily="34" charset="0"/>
              <a:cs typeface="Arial" panose="020B0604020202020204" pitchFamily="34" charset="0"/>
            </a:rPr>
            <a:t>- Pregnant women with pre-existing Diabetes Diagnosis/ history of GDM</a:t>
          </a:r>
          <a:endParaRPr lang="en-PH" sz="800">
            <a:latin typeface="Arial" panose="020B0604020202020204" pitchFamily="34" charset="0"/>
            <a:cs typeface="Arial" panose="020B0604020202020204" pitchFamily="34" charset="0"/>
          </a:endParaRPr>
        </a:p>
        <a:p>
          <a:pPr algn="l">
            <a:buFont typeface="Wingdings" pitchFamily="2" charset="2"/>
            <a:buChar char=""/>
          </a:pPr>
          <a:r>
            <a:rPr lang="en-US" sz="800">
              <a:latin typeface="Arial" panose="020B0604020202020204" pitchFamily="34" charset="0"/>
              <a:cs typeface="Arial" panose="020B0604020202020204" pitchFamily="34" charset="0"/>
            </a:rPr>
            <a:t>- Multiple Pregnancies</a:t>
          </a:r>
          <a:endParaRPr lang="en-PH" sz="800">
            <a:latin typeface="Arial" panose="020B0604020202020204" pitchFamily="34" charset="0"/>
            <a:cs typeface="Arial" panose="020B0604020202020204" pitchFamily="34" charset="0"/>
          </a:endParaRPr>
        </a:p>
        <a:p>
          <a:pPr algn="l">
            <a:buFont typeface="Wingdings" pitchFamily="2" charset="2"/>
            <a:buChar char=""/>
          </a:pPr>
          <a:r>
            <a:rPr lang="en-US" sz="800">
              <a:latin typeface="Arial" panose="020B0604020202020204" pitchFamily="34" charset="0"/>
              <a:cs typeface="Arial" panose="020B0604020202020204" pitchFamily="34" charset="0"/>
            </a:rPr>
            <a:t>- Known Pregnancy Complications (e.g., known congenital anomalies, severe intrauterine growth restriction, etc) </a:t>
          </a:r>
          <a:endParaRPr lang="en-PH" sz="800">
            <a:latin typeface="Arial" panose="020B0604020202020204" pitchFamily="34" charset="0"/>
            <a:cs typeface="Arial" panose="020B0604020202020204" pitchFamily="34" charset="0"/>
          </a:endParaRPr>
        </a:p>
        <a:p>
          <a:pPr algn="l">
            <a:buFont typeface="Wingdings" pitchFamily="2" charset="2"/>
            <a:buChar char=""/>
          </a:pPr>
          <a:r>
            <a:rPr lang="en-US" sz="800">
              <a:latin typeface="Arial" panose="020B0604020202020204" pitchFamily="34" charset="0"/>
              <a:cs typeface="Arial" panose="020B0604020202020204" pitchFamily="34" charset="0"/>
            </a:rPr>
            <a:t>- Chronic Medical Conditions (e.g., chronic kidney disease, autoimmune disorders</a:t>
          </a:r>
        </a:p>
        <a:p>
          <a:pPr algn="l">
            <a:buFont typeface="Wingdings" pitchFamily="2" charset="2"/>
            <a:buChar char=""/>
          </a:pPr>
          <a:r>
            <a:rPr lang="en-US" sz="800">
              <a:latin typeface="Arial" panose="020B0604020202020204" pitchFamily="34" charset="0"/>
              <a:cs typeface="Arial" panose="020B0604020202020204" pitchFamily="34" charset="0"/>
            </a:rPr>
            <a:t>- Medication Use (e.g., corticosteroids, antipsychotics, etc) </a:t>
          </a:r>
        </a:p>
        <a:p>
          <a:pPr algn="l">
            <a:buFont typeface="Wingdings" pitchFamily="2" charset="2"/>
            <a:buChar char=""/>
          </a:pPr>
          <a:r>
            <a:rPr lang="en-US" sz="800">
              <a:latin typeface="Arial" panose="020B0604020202020204" pitchFamily="34" charset="0"/>
              <a:cs typeface="Arial" panose="020B0604020202020204" pitchFamily="34" charset="0"/>
            </a:rPr>
            <a:t>- Incomplete Follow-Up Data </a:t>
          </a:r>
        </a:p>
        <a:p>
          <a:pPr algn="l">
            <a:buFont typeface="Wingdings" pitchFamily="2" charset="2"/>
            <a:buChar char=""/>
          </a:pPr>
          <a:r>
            <a:rPr lang="en-US" sz="800">
              <a:latin typeface="Arial" panose="020B0604020202020204" pitchFamily="34" charset="0"/>
              <a:cs typeface="Arial" panose="020B0604020202020204" pitchFamily="34" charset="0"/>
            </a:rPr>
            <a:t>- Non-Filipino Ethnicity</a:t>
          </a:r>
          <a:r>
            <a:rPr lang="en-US" sz="1200">
              <a:latin typeface="Arial" panose="020B0604020202020204" pitchFamily="34" charset="0"/>
              <a:cs typeface="Arial" panose="020B0604020202020204" pitchFamily="34" charset="0"/>
            </a:rPr>
            <a:t> </a:t>
          </a:r>
          <a:endParaRPr lang="en-GB" sz="1200">
            <a:latin typeface="Arial" panose="020B0604020202020204" pitchFamily="34" charset="0"/>
            <a:cs typeface="Arial" panose="020B0604020202020204" pitchFamily="34" charset="0"/>
          </a:endParaRPr>
        </a:p>
        <a:p>
          <a:pPr algn="ctr"/>
          <a:endParaRPr lang="en-GB" sz="1000">
            <a:latin typeface="Arial" panose="020B0604020202020204" pitchFamily="34" charset="0"/>
            <a:cs typeface="Arial" panose="020B0604020202020204" pitchFamily="34" charset="0"/>
          </a:endParaRPr>
        </a:p>
      </dgm:t>
    </dgm:pt>
    <dgm:pt modelId="{A2AA7901-0F1D-44D4-A4E6-B6EE1E465564}" type="sibTrans" cxnId="{89FFA832-CA2E-4B25-9F0E-5112B3031D9D}">
      <dgm:prSet/>
      <dgm:spPr/>
      <dgm:t>
        <a:bodyPr/>
        <a:lstStyle/>
        <a:p>
          <a:endParaRPr lang="en-GB"/>
        </a:p>
      </dgm:t>
    </dgm:pt>
    <dgm:pt modelId="{462C81C9-D27F-4BBB-B0B4-16D01B9EC679}" type="parTrans" cxnId="{89FFA832-CA2E-4B25-9F0E-5112B3031D9D}">
      <dgm:prSet/>
      <dgm:spPr/>
      <dgm:t>
        <a:bodyPr/>
        <a:lstStyle/>
        <a:p>
          <a:endParaRPr lang="en-GB"/>
        </a:p>
      </dgm:t>
    </dgm:pt>
    <dgm:pt modelId="{579801EE-BCB8-5F41-A35F-0D9681FF4837}">
      <dgm:prSet custT="1"/>
      <dgm:spPr/>
      <dgm:t>
        <a:bodyPr/>
        <a:lstStyle/>
        <a:p>
          <a:r>
            <a:rPr lang="en-US" sz="1000">
              <a:latin typeface="Arial" panose="020B0604020202020204" pitchFamily="34" charset="0"/>
              <a:cs typeface="Arial" panose="020B0604020202020204" pitchFamily="34" charset="0"/>
            </a:rPr>
            <a:t>First Trimester serum fasting Triglycerides, FBS </a:t>
          </a:r>
        </a:p>
      </dgm:t>
    </dgm:pt>
    <dgm:pt modelId="{131B29F1-1F5C-A241-B76C-19E5A49FBEAC}" type="parTrans" cxnId="{D2AB04AE-3D77-074D-ADBE-B9CDE74522BE}">
      <dgm:prSet/>
      <dgm:spPr/>
      <dgm:t>
        <a:bodyPr/>
        <a:lstStyle/>
        <a:p>
          <a:endParaRPr lang="en-US"/>
        </a:p>
      </dgm:t>
    </dgm:pt>
    <dgm:pt modelId="{E87401B5-4A05-024F-A29F-FC62E229DA78}" type="sibTrans" cxnId="{D2AB04AE-3D77-074D-ADBE-B9CDE74522BE}">
      <dgm:prSet/>
      <dgm:spPr/>
      <dgm:t>
        <a:bodyPr/>
        <a:lstStyle/>
        <a:p>
          <a:endParaRPr lang="en-US"/>
        </a:p>
      </dgm:t>
    </dgm:pt>
    <dgm:pt modelId="{52A573DE-BFE1-496C-8275-AC1EA36D9372}" type="pres">
      <dgm:prSet presAssocID="{13C196F3-8BBA-4AF9-9E12-CE63B42B0EE3}" presName="hierChild1" presStyleCnt="0">
        <dgm:presLayoutVars>
          <dgm:orgChart val="1"/>
          <dgm:chPref val="1"/>
          <dgm:dir/>
          <dgm:animOne val="branch"/>
          <dgm:animLvl val="lvl"/>
          <dgm:resizeHandles/>
        </dgm:presLayoutVars>
      </dgm:prSet>
      <dgm:spPr/>
    </dgm:pt>
    <dgm:pt modelId="{1B8A2178-BCB9-4832-8A5B-33310F48D6DD}" type="pres">
      <dgm:prSet presAssocID="{54235AF8-E128-4D47-8F17-C83CA0ABCBF2}" presName="hierRoot1" presStyleCnt="0">
        <dgm:presLayoutVars>
          <dgm:hierBranch val="init"/>
        </dgm:presLayoutVars>
      </dgm:prSet>
      <dgm:spPr/>
    </dgm:pt>
    <dgm:pt modelId="{BC236EC4-D9AB-4059-92CF-7113F19FF18C}" type="pres">
      <dgm:prSet presAssocID="{54235AF8-E128-4D47-8F17-C83CA0ABCBF2}" presName="rootComposite1" presStyleCnt="0"/>
      <dgm:spPr/>
    </dgm:pt>
    <dgm:pt modelId="{36B764FC-2A2D-49B0-9F15-846B7F78C266}" type="pres">
      <dgm:prSet presAssocID="{54235AF8-E128-4D47-8F17-C83CA0ABCBF2}" presName="rootText1" presStyleLbl="node0" presStyleIdx="0" presStyleCnt="1" custScaleX="205547" custScaleY="63993">
        <dgm:presLayoutVars>
          <dgm:chPref val="3"/>
        </dgm:presLayoutVars>
      </dgm:prSet>
      <dgm:spPr/>
    </dgm:pt>
    <dgm:pt modelId="{0FC0976C-5300-4A97-BB85-AC136AA797E0}" type="pres">
      <dgm:prSet presAssocID="{54235AF8-E128-4D47-8F17-C83CA0ABCBF2}" presName="rootConnector1" presStyleLbl="node1" presStyleIdx="0" presStyleCnt="0"/>
      <dgm:spPr/>
    </dgm:pt>
    <dgm:pt modelId="{4DA078BD-F7E9-42B0-B979-C8FBD0789A36}" type="pres">
      <dgm:prSet presAssocID="{54235AF8-E128-4D47-8F17-C83CA0ABCBF2}" presName="hierChild2" presStyleCnt="0"/>
      <dgm:spPr/>
    </dgm:pt>
    <dgm:pt modelId="{663AF9D9-AD2F-8245-9850-61367A8E384C}" type="pres">
      <dgm:prSet presAssocID="{131B29F1-1F5C-A241-B76C-19E5A49FBEAC}" presName="Name37" presStyleLbl="parChTrans1D2" presStyleIdx="0" presStyleCnt="3"/>
      <dgm:spPr/>
    </dgm:pt>
    <dgm:pt modelId="{EB098FA7-3001-5A4A-9CC0-212E4252EA7A}" type="pres">
      <dgm:prSet presAssocID="{579801EE-BCB8-5F41-A35F-0D9681FF4837}" presName="hierRoot2" presStyleCnt="0">
        <dgm:presLayoutVars>
          <dgm:hierBranch val="init"/>
        </dgm:presLayoutVars>
      </dgm:prSet>
      <dgm:spPr/>
    </dgm:pt>
    <dgm:pt modelId="{71C7186B-B40A-6C40-A993-9C8983004A86}" type="pres">
      <dgm:prSet presAssocID="{579801EE-BCB8-5F41-A35F-0D9681FF4837}" presName="rootComposite" presStyleCnt="0"/>
      <dgm:spPr/>
    </dgm:pt>
    <dgm:pt modelId="{08871BC7-3790-C04B-A182-DEB855B8ABF0}" type="pres">
      <dgm:prSet presAssocID="{579801EE-BCB8-5F41-A35F-0D9681FF4837}" presName="rootText" presStyleLbl="node2" presStyleIdx="0" presStyleCnt="2" custScaleY="43081" custLinFactX="8875" custLinFactNeighborX="100000" custLinFactNeighborY="-47014">
        <dgm:presLayoutVars>
          <dgm:chPref val="3"/>
        </dgm:presLayoutVars>
      </dgm:prSet>
      <dgm:spPr/>
    </dgm:pt>
    <dgm:pt modelId="{298A6934-3FB8-AA47-92DE-02DF0B883283}" type="pres">
      <dgm:prSet presAssocID="{579801EE-BCB8-5F41-A35F-0D9681FF4837}" presName="rootConnector" presStyleLbl="node2" presStyleIdx="0" presStyleCnt="2"/>
      <dgm:spPr/>
    </dgm:pt>
    <dgm:pt modelId="{02EC1F82-8C29-0D41-8B17-9A673EDE8B90}" type="pres">
      <dgm:prSet presAssocID="{579801EE-BCB8-5F41-A35F-0D9681FF4837}" presName="hierChild4" presStyleCnt="0"/>
      <dgm:spPr/>
    </dgm:pt>
    <dgm:pt modelId="{63A7E540-9802-6742-B9ED-F36362E6431B}" type="pres">
      <dgm:prSet presAssocID="{579801EE-BCB8-5F41-A35F-0D9681FF4837}" presName="hierChild5" presStyleCnt="0"/>
      <dgm:spPr/>
    </dgm:pt>
    <dgm:pt modelId="{2F6259EE-63CA-4612-BC5B-C97D10E6668D}" type="pres">
      <dgm:prSet presAssocID="{FEF8DBD0-71BA-45D5-9779-DC86A7C3B1BB}" presName="Name37" presStyleLbl="parChTrans1D2" presStyleIdx="1" presStyleCnt="3"/>
      <dgm:spPr/>
    </dgm:pt>
    <dgm:pt modelId="{3495575B-A45B-41EF-BF97-97C807C63D35}" type="pres">
      <dgm:prSet presAssocID="{D925E472-CCC0-481B-8C54-EA8BF83E9E41}" presName="hierRoot2" presStyleCnt="0">
        <dgm:presLayoutVars>
          <dgm:hierBranch val="init"/>
        </dgm:presLayoutVars>
      </dgm:prSet>
      <dgm:spPr/>
    </dgm:pt>
    <dgm:pt modelId="{5A9209C9-C8D7-4BEB-85A5-8BF84A0F3A92}" type="pres">
      <dgm:prSet presAssocID="{D925E472-CCC0-481B-8C54-EA8BF83E9E41}" presName="rootComposite" presStyleCnt="0"/>
      <dgm:spPr/>
    </dgm:pt>
    <dgm:pt modelId="{775192B6-5623-4F68-9649-97C05CC60A8B}" type="pres">
      <dgm:prSet presAssocID="{D925E472-CCC0-481B-8C54-EA8BF83E9E41}" presName="rootText" presStyleLbl="node2" presStyleIdx="1" presStyleCnt="2" custScaleY="69870" custLinFactNeighborX="-7703" custLinFactNeighborY="37100">
        <dgm:presLayoutVars>
          <dgm:chPref val="3"/>
        </dgm:presLayoutVars>
      </dgm:prSet>
      <dgm:spPr/>
    </dgm:pt>
    <dgm:pt modelId="{9DEBEEFC-D8E4-4DC7-B879-4BE974B0247B}" type="pres">
      <dgm:prSet presAssocID="{D925E472-CCC0-481B-8C54-EA8BF83E9E41}" presName="rootConnector" presStyleLbl="node2" presStyleIdx="1" presStyleCnt="2"/>
      <dgm:spPr/>
    </dgm:pt>
    <dgm:pt modelId="{E29C1B16-471E-4E34-BF60-BE64EDD261D1}" type="pres">
      <dgm:prSet presAssocID="{D925E472-CCC0-481B-8C54-EA8BF83E9E41}" presName="hierChild4" presStyleCnt="0"/>
      <dgm:spPr/>
    </dgm:pt>
    <dgm:pt modelId="{97FCC181-CEDA-4CF2-84E7-C27C23A605B2}" type="pres">
      <dgm:prSet presAssocID="{ADDE72A1-0754-46B8-A0A2-78A26A4122B9}" presName="Name37" presStyleLbl="parChTrans1D3" presStyleIdx="0" presStyleCnt="1"/>
      <dgm:spPr/>
    </dgm:pt>
    <dgm:pt modelId="{A6E386D0-B06A-4393-8AF9-F44D0920B5A1}" type="pres">
      <dgm:prSet presAssocID="{76003EA8-126A-4456-8053-264AB9C01F31}" presName="hierRoot2" presStyleCnt="0">
        <dgm:presLayoutVars>
          <dgm:hierBranch val="init"/>
        </dgm:presLayoutVars>
      </dgm:prSet>
      <dgm:spPr/>
    </dgm:pt>
    <dgm:pt modelId="{45986D8F-35FF-4AEA-A6E4-B3B8496878A4}" type="pres">
      <dgm:prSet presAssocID="{76003EA8-126A-4456-8053-264AB9C01F31}" presName="rootComposite" presStyleCnt="0"/>
      <dgm:spPr/>
    </dgm:pt>
    <dgm:pt modelId="{ED26E2F2-619E-49E8-B2C6-85E3414272F5}" type="pres">
      <dgm:prSet presAssocID="{76003EA8-126A-4456-8053-264AB9C01F31}" presName="rootText" presStyleLbl="node3" presStyleIdx="0" presStyleCnt="1" custLinFactNeighborX="-8027" custLinFactNeighborY="44454">
        <dgm:presLayoutVars>
          <dgm:chPref val="3"/>
        </dgm:presLayoutVars>
      </dgm:prSet>
      <dgm:spPr/>
    </dgm:pt>
    <dgm:pt modelId="{4F22246B-2A43-4D82-8CD1-927A2C8CF30E}" type="pres">
      <dgm:prSet presAssocID="{76003EA8-126A-4456-8053-264AB9C01F31}" presName="rootConnector" presStyleLbl="node3" presStyleIdx="0" presStyleCnt="1"/>
      <dgm:spPr/>
    </dgm:pt>
    <dgm:pt modelId="{78C07726-95DC-4110-A9CC-02C4E2DE41DB}" type="pres">
      <dgm:prSet presAssocID="{76003EA8-126A-4456-8053-264AB9C01F31}" presName="hierChild4" presStyleCnt="0"/>
      <dgm:spPr/>
    </dgm:pt>
    <dgm:pt modelId="{654757B8-2305-464F-9CE7-11D4CFDF7564}" type="pres">
      <dgm:prSet presAssocID="{76003EA8-126A-4456-8053-264AB9C01F31}" presName="hierChild5" presStyleCnt="0"/>
      <dgm:spPr/>
    </dgm:pt>
    <dgm:pt modelId="{30FBCC21-657B-4AE4-9F5C-017B4A362620}" type="pres">
      <dgm:prSet presAssocID="{D925E472-CCC0-481B-8C54-EA8BF83E9E41}" presName="hierChild5" presStyleCnt="0"/>
      <dgm:spPr/>
    </dgm:pt>
    <dgm:pt modelId="{DBA4D30A-B815-45CE-B67E-5AD327434E67}" type="pres">
      <dgm:prSet presAssocID="{54235AF8-E128-4D47-8F17-C83CA0ABCBF2}" presName="hierChild3" presStyleCnt="0"/>
      <dgm:spPr/>
    </dgm:pt>
    <dgm:pt modelId="{C983A409-7317-4D92-8AED-5BE246B074D0}" type="pres">
      <dgm:prSet presAssocID="{462C81C9-D27F-4BBB-B0B4-16D01B9EC679}" presName="Name111" presStyleLbl="parChTrans1D2" presStyleIdx="2" presStyleCnt="3"/>
      <dgm:spPr/>
    </dgm:pt>
    <dgm:pt modelId="{A107D413-8863-43CA-90A9-3C4E0F947477}" type="pres">
      <dgm:prSet presAssocID="{03811FAA-3741-4FFA-99ED-52A2B1E848D0}" presName="hierRoot3" presStyleCnt="0">
        <dgm:presLayoutVars>
          <dgm:hierBranch val="init"/>
        </dgm:presLayoutVars>
      </dgm:prSet>
      <dgm:spPr/>
    </dgm:pt>
    <dgm:pt modelId="{BD04D028-06FA-498C-B068-B23687D4BE87}" type="pres">
      <dgm:prSet presAssocID="{03811FAA-3741-4FFA-99ED-52A2B1E848D0}" presName="rootComposite3" presStyleCnt="0"/>
      <dgm:spPr/>
    </dgm:pt>
    <dgm:pt modelId="{74784D9E-87FF-44B1-9EC7-8AC05BA0DCD4}" type="pres">
      <dgm:prSet presAssocID="{03811FAA-3741-4FFA-99ED-52A2B1E848D0}" presName="rootText3" presStyleLbl="asst1" presStyleIdx="0" presStyleCnt="1" custScaleX="145500" custScaleY="158015" custLinFactNeighborX="7817" custLinFactNeighborY="-10222">
        <dgm:presLayoutVars>
          <dgm:chPref val="3"/>
        </dgm:presLayoutVars>
      </dgm:prSet>
      <dgm:spPr/>
    </dgm:pt>
    <dgm:pt modelId="{DE292CCB-F9E0-4475-A432-65C0788922BC}" type="pres">
      <dgm:prSet presAssocID="{03811FAA-3741-4FFA-99ED-52A2B1E848D0}" presName="rootConnector3" presStyleLbl="asst1" presStyleIdx="0" presStyleCnt="1"/>
      <dgm:spPr/>
    </dgm:pt>
    <dgm:pt modelId="{9723CFD0-6A0B-4CA4-B3C9-07D90323C039}" type="pres">
      <dgm:prSet presAssocID="{03811FAA-3741-4FFA-99ED-52A2B1E848D0}" presName="hierChild6" presStyleCnt="0"/>
      <dgm:spPr/>
    </dgm:pt>
    <dgm:pt modelId="{32FE917F-C485-46D0-A9BB-FF579B6AFC00}" type="pres">
      <dgm:prSet presAssocID="{03811FAA-3741-4FFA-99ED-52A2B1E848D0}" presName="hierChild7" presStyleCnt="0"/>
      <dgm:spPr/>
    </dgm:pt>
  </dgm:ptLst>
  <dgm:cxnLst>
    <dgm:cxn modelId="{1CB25D01-C34B-4F50-8B95-537791D9A2A9}" srcId="{13C196F3-8BBA-4AF9-9E12-CE63B42B0EE3}" destId="{54235AF8-E128-4D47-8F17-C83CA0ABCBF2}" srcOrd="0" destOrd="0" parTransId="{D392D53D-ED15-422D-9F51-5B472D19294E}" sibTransId="{1B0A0147-FB13-4078-8FF0-9716383770D5}"/>
    <dgm:cxn modelId="{F88AA605-A126-462A-B65A-D9F91D39DBBD}" type="presOf" srcId="{76003EA8-126A-4456-8053-264AB9C01F31}" destId="{4F22246B-2A43-4D82-8CD1-927A2C8CF30E}" srcOrd="1" destOrd="0" presId="urn:microsoft.com/office/officeart/2005/8/layout/orgChart1"/>
    <dgm:cxn modelId="{B748D729-19BA-6641-A520-0ABA514C0A06}" type="presOf" srcId="{131B29F1-1F5C-A241-B76C-19E5A49FBEAC}" destId="{663AF9D9-AD2F-8245-9850-61367A8E384C}" srcOrd="0" destOrd="0" presId="urn:microsoft.com/office/officeart/2005/8/layout/orgChart1"/>
    <dgm:cxn modelId="{89FFA832-CA2E-4B25-9F0E-5112B3031D9D}" srcId="{54235AF8-E128-4D47-8F17-C83CA0ABCBF2}" destId="{03811FAA-3741-4FFA-99ED-52A2B1E848D0}" srcOrd="0" destOrd="0" parTransId="{462C81C9-D27F-4BBB-B0B4-16D01B9EC679}" sibTransId="{A2AA7901-0F1D-44D4-A4E6-B6EE1E465564}"/>
    <dgm:cxn modelId="{6D0FDC32-17DD-4213-8CBD-6903696E100A}" type="presOf" srcId="{FEF8DBD0-71BA-45D5-9779-DC86A7C3B1BB}" destId="{2F6259EE-63CA-4612-BC5B-C97D10E6668D}" srcOrd="0" destOrd="0" presId="urn:microsoft.com/office/officeart/2005/8/layout/orgChart1"/>
    <dgm:cxn modelId="{B36EBB3C-6135-4AC5-9D54-24AA846E811F}" type="presOf" srcId="{13C196F3-8BBA-4AF9-9E12-CE63B42B0EE3}" destId="{52A573DE-BFE1-496C-8275-AC1EA36D9372}" srcOrd="0" destOrd="0" presId="urn:microsoft.com/office/officeart/2005/8/layout/orgChart1"/>
    <dgm:cxn modelId="{30C19B54-7D57-4765-A9BE-9B44D2298DE4}" type="presOf" srcId="{54235AF8-E128-4D47-8F17-C83CA0ABCBF2}" destId="{36B764FC-2A2D-49B0-9F15-846B7F78C266}" srcOrd="0" destOrd="0" presId="urn:microsoft.com/office/officeart/2005/8/layout/orgChart1"/>
    <dgm:cxn modelId="{7F76CE67-CA63-4C57-ACAF-20BD1B032317}" type="presOf" srcId="{03811FAA-3741-4FFA-99ED-52A2B1E848D0}" destId="{74784D9E-87FF-44B1-9EC7-8AC05BA0DCD4}" srcOrd="0" destOrd="0" presId="urn:microsoft.com/office/officeart/2005/8/layout/orgChart1"/>
    <dgm:cxn modelId="{E282DC75-156C-4EF5-A787-FFEE8399CFD0}" srcId="{D925E472-CCC0-481B-8C54-EA8BF83E9E41}" destId="{76003EA8-126A-4456-8053-264AB9C01F31}" srcOrd="0" destOrd="0" parTransId="{ADDE72A1-0754-46B8-A0A2-78A26A4122B9}" sibTransId="{7E939DAD-531A-4E0E-958E-9EF030ECE6B8}"/>
    <dgm:cxn modelId="{7D99BF80-1D5A-41F6-B613-929BE71989D3}" type="presOf" srcId="{ADDE72A1-0754-46B8-A0A2-78A26A4122B9}" destId="{97FCC181-CEDA-4CF2-84E7-C27C23A605B2}" srcOrd="0" destOrd="0" presId="urn:microsoft.com/office/officeart/2005/8/layout/orgChart1"/>
    <dgm:cxn modelId="{D14A7491-0BA4-45FF-8989-619735FE69A9}" type="presOf" srcId="{76003EA8-126A-4456-8053-264AB9C01F31}" destId="{ED26E2F2-619E-49E8-B2C6-85E3414272F5}" srcOrd="0" destOrd="0" presId="urn:microsoft.com/office/officeart/2005/8/layout/orgChart1"/>
    <dgm:cxn modelId="{1BF68291-ABC4-4D46-9FB5-5CB53788D0ED}" type="presOf" srcId="{579801EE-BCB8-5F41-A35F-0D9681FF4837}" destId="{298A6934-3FB8-AA47-92DE-02DF0B883283}" srcOrd="1" destOrd="0" presId="urn:microsoft.com/office/officeart/2005/8/layout/orgChart1"/>
    <dgm:cxn modelId="{48A2D09E-BDE9-4E5D-A120-0F6C8AC518E3}" type="presOf" srcId="{462C81C9-D27F-4BBB-B0B4-16D01B9EC679}" destId="{C983A409-7317-4D92-8AED-5BE246B074D0}" srcOrd="0" destOrd="0" presId="urn:microsoft.com/office/officeart/2005/8/layout/orgChart1"/>
    <dgm:cxn modelId="{E4A54BA4-1927-4435-BD1B-E20012868C38}" type="presOf" srcId="{D925E472-CCC0-481B-8C54-EA8BF83E9E41}" destId="{775192B6-5623-4F68-9649-97C05CC60A8B}" srcOrd="0" destOrd="0" presId="urn:microsoft.com/office/officeart/2005/8/layout/orgChart1"/>
    <dgm:cxn modelId="{D2AB04AE-3D77-074D-ADBE-B9CDE74522BE}" srcId="{54235AF8-E128-4D47-8F17-C83CA0ABCBF2}" destId="{579801EE-BCB8-5F41-A35F-0D9681FF4837}" srcOrd="1" destOrd="0" parTransId="{131B29F1-1F5C-A241-B76C-19E5A49FBEAC}" sibTransId="{E87401B5-4A05-024F-A29F-FC62E229DA78}"/>
    <dgm:cxn modelId="{31F465B3-63EB-42AB-87CD-FBA0C51B41AB}" srcId="{54235AF8-E128-4D47-8F17-C83CA0ABCBF2}" destId="{D925E472-CCC0-481B-8C54-EA8BF83E9E41}" srcOrd="2" destOrd="0" parTransId="{FEF8DBD0-71BA-45D5-9779-DC86A7C3B1BB}" sibTransId="{31E24A14-EB7C-47B4-9024-BB60E1688CF6}"/>
    <dgm:cxn modelId="{EE40D4B9-DFCA-49CC-8D0C-85DAFCD8A75B}" type="presOf" srcId="{54235AF8-E128-4D47-8F17-C83CA0ABCBF2}" destId="{0FC0976C-5300-4A97-BB85-AC136AA797E0}" srcOrd="1" destOrd="0" presId="urn:microsoft.com/office/officeart/2005/8/layout/orgChart1"/>
    <dgm:cxn modelId="{3F05B0BC-A320-4E69-867F-4AA04F0CC1C9}" type="presOf" srcId="{D925E472-CCC0-481B-8C54-EA8BF83E9E41}" destId="{9DEBEEFC-D8E4-4DC7-B879-4BE974B0247B}" srcOrd="1" destOrd="0" presId="urn:microsoft.com/office/officeart/2005/8/layout/orgChart1"/>
    <dgm:cxn modelId="{F165E6CB-2222-4D5E-9DA9-A97D241A16BD}" type="presOf" srcId="{03811FAA-3741-4FFA-99ED-52A2B1E848D0}" destId="{DE292CCB-F9E0-4475-A432-65C0788922BC}" srcOrd="1" destOrd="0" presId="urn:microsoft.com/office/officeart/2005/8/layout/orgChart1"/>
    <dgm:cxn modelId="{078B40F3-8BED-9944-896C-BAA10AC6F50A}" type="presOf" srcId="{579801EE-BCB8-5F41-A35F-0D9681FF4837}" destId="{08871BC7-3790-C04B-A182-DEB855B8ABF0}" srcOrd="0" destOrd="0" presId="urn:microsoft.com/office/officeart/2005/8/layout/orgChart1"/>
    <dgm:cxn modelId="{D0AED208-2F0E-4F01-8A6C-C11CB5C99C55}" type="presParOf" srcId="{52A573DE-BFE1-496C-8275-AC1EA36D9372}" destId="{1B8A2178-BCB9-4832-8A5B-33310F48D6DD}" srcOrd="0" destOrd="0" presId="urn:microsoft.com/office/officeart/2005/8/layout/orgChart1"/>
    <dgm:cxn modelId="{766C62B9-C4FD-488F-879C-D85DE174F084}" type="presParOf" srcId="{1B8A2178-BCB9-4832-8A5B-33310F48D6DD}" destId="{BC236EC4-D9AB-4059-92CF-7113F19FF18C}" srcOrd="0" destOrd="0" presId="urn:microsoft.com/office/officeart/2005/8/layout/orgChart1"/>
    <dgm:cxn modelId="{DC0FEC02-BB7A-4CA4-8E67-A9B7700A2555}" type="presParOf" srcId="{BC236EC4-D9AB-4059-92CF-7113F19FF18C}" destId="{36B764FC-2A2D-49B0-9F15-846B7F78C266}" srcOrd="0" destOrd="0" presId="urn:microsoft.com/office/officeart/2005/8/layout/orgChart1"/>
    <dgm:cxn modelId="{09F8BFDD-5189-4747-BF0B-5C2ED0C5ED0E}" type="presParOf" srcId="{BC236EC4-D9AB-4059-92CF-7113F19FF18C}" destId="{0FC0976C-5300-4A97-BB85-AC136AA797E0}" srcOrd="1" destOrd="0" presId="urn:microsoft.com/office/officeart/2005/8/layout/orgChart1"/>
    <dgm:cxn modelId="{F58DC8E4-910B-406F-B836-9EC1A346FFAC}" type="presParOf" srcId="{1B8A2178-BCB9-4832-8A5B-33310F48D6DD}" destId="{4DA078BD-F7E9-42B0-B979-C8FBD0789A36}" srcOrd="1" destOrd="0" presId="urn:microsoft.com/office/officeart/2005/8/layout/orgChart1"/>
    <dgm:cxn modelId="{AF5F1AF1-31F7-344D-83F4-78915965E434}" type="presParOf" srcId="{4DA078BD-F7E9-42B0-B979-C8FBD0789A36}" destId="{663AF9D9-AD2F-8245-9850-61367A8E384C}" srcOrd="0" destOrd="0" presId="urn:microsoft.com/office/officeart/2005/8/layout/orgChart1"/>
    <dgm:cxn modelId="{202FB292-A156-7C4A-9A7F-29BA1A23F632}" type="presParOf" srcId="{4DA078BD-F7E9-42B0-B979-C8FBD0789A36}" destId="{EB098FA7-3001-5A4A-9CC0-212E4252EA7A}" srcOrd="1" destOrd="0" presId="urn:microsoft.com/office/officeart/2005/8/layout/orgChart1"/>
    <dgm:cxn modelId="{62D78737-9ABD-5B48-89F5-04E1EC03A99B}" type="presParOf" srcId="{EB098FA7-3001-5A4A-9CC0-212E4252EA7A}" destId="{71C7186B-B40A-6C40-A993-9C8983004A86}" srcOrd="0" destOrd="0" presId="urn:microsoft.com/office/officeart/2005/8/layout/orgChart1"/>
    <dgm:cxn modelId="{94D636E2-0ABD-2749-ADCA-F1055AB73965}" type="presParOf" srcId="{71C7186B-B40A-6C40-A993-9C8983004A86}" destId="{08871BC7-3790-C04B-A182-DEB855B8ABF0}" srcOrd="0" destOrd="0" presId="urn:microsoft.com/office/officeart/2005/8/layout/orgChart1"/>
    <dgm:cxn modelId="{0AE23A42-6845-A841-8980-2E2F181D9FD0}" type="presParOf" srcId="{71C7186B-B40A-6C40-A993-9C8983004A86}" destId="{298A6934-3FB8-AA47-92DE-02DF0B883283}" srcOrd="1" destOrd="0" presId="urn:microsoft.com/office/officeart/2005/8/layout/orgChart1"/>
    <dgm:cxn modelId="{54F78835-EA56-2B46-AC0B-8B9CCBCDB028}" type="presParOf" srcId="{EB098FA7-3001-5A4A-9CC0-212E4252EA7A}" destId="{02EC1F82-8C29-0D41-8B17-9A673EDE8B90}" srcOrd="1" destOrd="0" presId="urn:microsoft.com/office/officeart/2005/8/layout/orgChart1"/>
    <dgm:cxn modelId="{2CFCC0D1-6765-7D40-8767-6E820B39E37B}" type="presParOf" srcId="{EB098FA7-3001-5A4A-9CC0-212E4252EA7A}" destId="{63A7E540-9802-6742-B9ED-F36362E6431B}" srcOrd="2" destOrd="0" presId="urn:microsoft.com/office/officeart/2005/8/layout/orgChart1"/>
    <dgm:cxn modelId="{86160862-B8A1-4AD0-8668-EF73C17D8F65}" type="presParOf" srcId="{4DA078BD-F7E9-42B0-B979-C8FBD0789A36}" destId="{2F6259EE-63CA-4612-BC5B-C97D10E6668D}" srcOrd="2" destOrd="0" presId="urn:microsoft.com/office/officeart/2005/8/layout/orgChart1"/>
    <dgm:cxn modelId="{51C8798E-F186-4A91-B00B-F53B1A0FEED9}" type="presParOf" srcId="{4DA078BD-F7E9-42B0-B979-C8FBD0789A36}" destId="{3495575B-A45B-41EF-BF97-97C807C63D35}" srcOrd="3" destOrd="0" presId="urn:microsoft.com/office/officeart/2005/8/layout/orgChart1"/>
    <dgm:cxn modelId="{2CB078A5-15B0-4BDB-87A7-1C2A1713E61C}" type="presParOf" srcId="{3495575B-A45B-41EF-BF97-97C807C63D35}" destId="{5A9209C9-C8D7-4BEB-85A5-8BF84A0F3A92}" srcOrd="0" destOrd="0" presId="urn:microsoft.com/office/officeart/2005/8/layout/orgChart1"/>
    <dgm:cxn modelId="{DAA79AEC-6DE5-4A77-AD4A-832EF6A5F080}" type="presParOf" srcId="{5A9209C9-C8D7-4BEB-85A5-8BF84A0F3A92}" destId="{775192B6-5623-4F68-9649-97C05CC60A8B}" srcOrd="0" destOrd="0" presId="urn:microsoft.com/office/officeart/2005/8/layout/orgChart1"/>
    <dgm:cxn modelId="{86CB96B0-48F4-4879-9E81-5D780114FD68}" type="presParOf" srcId="{5A9209C9-C8D7-4BEB-85A5-8BF84A0F3A92}" destId="{9DEBEEFC-D8E4-4DC7-B879-4BE974B0247B}" srcOrd="1" destOrd="0" presId="urn:microsoft.com/office/officeart/2005/8/layout/orgChart1"/>
    <dgm:cxn modelId="{FB3359BD-6249-408D-9811-C69BADE21533}" type="presParOf" srcId="{3495575B-A45B-41EF-BF97-97C807C63D35}" destId="{E29C1B16-471E-4E34-BF60-BE64EDD261D1}" srcOrd="1" destOrd="0" presId="urn:microsoft.com/office/officeart/2005/8/layout/orgChart1"/>
    <dgm:cxn modelId="{24BC5102-3ACF-4CC0-BF67-6727E4EF8733}" type="presParOf" srcId="{E29C1B16-471E-4E34-BF60-BE64EDD261D1}" destId="{97FCC181-CEDA-4CF2-84E7-C27C23A605B2}" srcOrd="0" destOrd="0" presId="urn:microsoft.com/office/officeart/2005/8/layout/orgChart1"/>
    <dgm:cxn modelId="{D422FA4F-0AC4-4374-9B06-1B5DADEDD195}" type="presParOf" srcId="{E29C1B16-471E-4E34-BF60-BE64EDD261D1}" destId="{A6E386D0-B06A-4393-8AF9-F44D0920B5A1}" srcOrd="1" destOrd="0" presId="urn:microsoft.com/office/officeart/2005/8/layout/orgChart1"/>
    <dgm:cxn modelId="{6C31218E-BA2B-42EB-972A-6443B3D86436}" type="presParOf" srcId="{A6E386D0-B06A-4393-8AF9-F44D0920B5A1}" destId="{45986D8F-35FF-4AEA-A6E4-B3B8496878A4}" srcOrd="0" destOrd="0" presId="urn:microsoft.com/office/officeart/2005/8/layout/orgChart1"/>
    <dgm:cxn modelId="{17BBED73-3C15-41BC-B641-2D7DA1D13E7E}" type="presParOf" srcId="{45986D8F-35FF-4AEA-A6E4-B3B8496878A4}" destId="{ED26E2F2-619E-49E8-B2C6-85E3414272F5}" srcOrd="0" destOrd="0" presId="urn:microsoft.com/office/officeart/2005/8/layout/orgChart1"/>
    <dgm:cxn modelId="{090B2F14-479C-461F-B3E7-2EB230759D72}" type="presParOf" srcId="{45986D8F-35FF-4AEA-A6E4-B3B8496878A4}" destId="{4F22246B-2A43-4D82-8CD1-927A2C8CF30E}" srcOrd="1" destOrd="0" presId="urn:microsoft.com/office/officeart/2005/8/layout/orgChart1"/>
    <dgm:cxn modelId="{4F56C7CD-0135-47BE-8D69-B3165ADD8338}" type="presParOf" srcId="{A6E386D0-B06A-4393-8AF9-F44D0920B5A1}" destId="{78C07726-95DC-4110-A9CC-02C4E2DE41DB}" srcOrd="1" destOrd="0" presId="urn:microsoft.com/office/officeart/2005/8/layout/orgChart1"/>
    <dgm:cxn modelId="{A8997170-CCBC-46F5-AADF-E76CA8B5A7E0}" type="presParOf" srcId="{A6E386D0-B06A-4393-8AF9-F44D0920B5A1}" destId="{654757B8-2305-464F-9CE7-11D4CFDF7564}" srcOrd="2" destOrd="0" presId="urn:microsoft.com/office/officeart/2005/8/layout/orgChart1"/>
    <dgm:cxn modelId="{86786A0D-4FFB-4729-8172-162FD63F631B}" type="presParOf" srcId="{3495575B-A45B-41EF-BF97-97C807C63D35}" destId="{30FBCC21-657B-4AE4-9F5C-017B4A362620}" srcOrd="2" destOrd="0" presId="urn:microsoft.com/office/officeart/2005/8/layout/orgChart1"/>
    <dgm:cxn modelId="{092E52F7-F30A-4FED-93A5-0E058E5E8142}" type="presParOf" srcId="{1B8A2178-BCB9-4832-8A5B-33310F48D6DD}" destId="{DBA4D30A-B815-45CE-B67E-5AD327434E67}" srcOrd="2" destOrd="0" presId="urn:microsoft.com/office/officeart/2005/8/layout/orgChart1"/>
    <dgm:cxn modelId="{B4B11B7B-6652-4EF2-9B52-04B1034D80A8}" type="presParOf" srcId="{DBA4D30A-B815-45CE-B67E-5AD327434E67}" destId="{C983A409-7317-4D92-8AED-5BE246B074D0}" srcOrd="0" destOrd="0" presId="urn:microsoft.com/office/officeart/2005/8/layout/orgChart1"/>
    <dgm:cxn modelId="{814D3C00-9708-4DA9-8468-B2424B84E8F7}" type="presParOf" srcId="{DBA4D30A-B815-45CE-B67E-5AD327434E67}" destId="{A107D413-8863-43CA-90A9-3C4E0F947477}" srcOrd="1" destOrd="0" presId="urn:microsoft.com/office/officeart/2005/8/layout/orgChart1"/>
    <dgm:cxn modelId="{45B04F16-7A26-44B2-9B69-88B992FE9CC7}" type="presParOf" srcId="{A107D413-8863-43CA-90A9-3C4E0F947477}" destId="{BD04D028-06FA-498C-B068-B23687D4BE87}" srcOrd="0" destOrd="0" presId="urn:microsoft.com/office/officeart/2005/8/layout/orgChart1"/>
    <dgm:cxn modelId="{80153471-DAEF-4D21-BB02-265C2BF6FE4F}" type="presParOf" srcId="{BD04D028-06FA-498C-B068-B23687D4BE87}" destId="{74784D9E-87FF-44B1-9EC7-8AC05BA0DCD4}" srcOrd="0" destOrd="0" presId="urn:microsoft.com/office/officeart/2005/8/layout/orgChart1"/>
    <dgm:cxn modelId="{88419EE4-90AC-4292-8E35-EA03E9F4B850}" type="presParOf" srcId="{BD04D028-06FA-498C-B068-B23687D4BE87}" destId="{DE292CCB-F9E0-4475-A432-65C0788922BC}" srcOrd="1" destOrd="0" presId="urn:microsoft.com/office/officeart/2005/8/layout/orgChart1"/>
    <dgm:cxn modelId="{D3DE9453-F41A-4AB9-A899-921233706EC0}" type="presParOf" srcId="{A107D413-8863-43CA-90A9-3C4E0F947477}" destId="{9723CFD0-6A0B-4CA4-B3C9-07D90323C039}" srcOrd="1" destOrd="0" presId="urn:microsoft.com/office/officeart/2005/8/layout/orgChart1"/>
    <dgm:cxn modelId="{8AA531AC-4B38-4BD1-AC8F-96F8416284E2}" type="presParOf" srcId="{A107D413-8863-43CA-90A9-3C4E0F947477}" destId="{32FE917F-C485-46D0-A9BB-FF579B6AFC0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3A409-7317-4D92-8AED-5BE246B074D0}">
      <dsp:nvSpPr>
        <dsp:cNvPr id="0" name=""/>
        <dsp:cNvSpPr/>
      </dsp:nvSpPr>
      <dsp:spPr>
        <a:xfrm>
          <a:off x="2976150" y="1395225"/>
          <a:ext cx="91440" cy="1091680"/>
        </a:xfrm>
        <a:custGeom>
          <a:avLst/>
          <a:gdLst/>
          <a:ahLst/>
          <a:cxnLst/>
          <a:rect l="0" t="0" r="0" b="0"/>
          <a:pathLst>
            <a:path>
              <a:moveTo>
                <a:pt x="98596" y="0"/>
              </a:moveTo>
              <a:lnTo>
                <a:pt x="98596" y="1091680"/>
              </a:lnTo>
              <a:lnTo>
                <a:pt x="45720" y="10916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FCC181-CEDA-4CF2-84E7-C27C23A605B2}">
      <dsp:nvSpPr>
        <dsp:cNvPr id="0" name=""/>
        <dsp:cNvSpPr/>
      </dsp:nvSpPr>
      <dsp:spPr>
        <a:xfrm>
          <a:off x="3326950" y="4834124"/>
          <a:ext cx="289234" cy="979034"/>
        </a:xfrm>
        <a:custGeom>
          <a:avLst/>
          <a:gdLst/>
          <a:ahLst/>
          <a:cxnLst/>
          <a:rect l="0" t="0" r="0" b="0"/>
          <a:pathLst>
            <a:path>
              <a:moveTo>
                <a:pt x="0" y="0"/>
              </a:moveTo>
              <a:lnTo>
                <a:pt x="0" y="979034"/>
              </a:lnTo>
              <a:lnTo>
                <a:pt x="289234" y="9790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259EE-63CA-4612-BC5B-C97D10E6668D}">
      <dsp:nvSpPr>
        <dsp:cNvPr id="0" name=""/>
        <dsp:cNvSpPr/>
      </dsp:nvSpPr>
      <dsp:spPr>
        <a:xfrm>
          <a:off x="3074747" y="1395225"/>
          <a:ext cx="1040523" cy="2750400"/>
        </a:xfrm>
        <a:custGeom>
          <a:avLst/>
          <a:gdLst/>
          <a:ahLst/>
          <a:cxnLst/>
          <a:rect l="0" t="0" r="0" b="0"/>
          <a:pathLst>
            <a:path>
              <a:moveTo>
                <a:pt x="0" y="0"/>
              </a:moveTo>
              <a:lnTo>
                <a:pt x="0" y="2543466"/>
              </a:lnTo>
              <a:lnTo>
                <a:pt x="1040523" y="2543466"/>
              </a:lnTo>
              <a:lnTo>
                <a:pt x="1040523" y="275040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3AF9D9-AD2F-8245-9850-61367A8E384C}">
      <dsp:nvSpPr>
        <dsp:cNvPr id="0" name=""/>
        <dsp:cNvSpPr/>
      </dsp:nvSpPr>
      <dsp:spPr>
        <a:xfrm>
          <a:off x="3074747" y="1395225"/>
          <a:ext cx="953374" cy="1921540"/>
        </a:xfrm>
        <a:custGeom>
          <a:avLst/>
          <a:gdLst/>
          <a:ahLst/>
          <a:cxnLst/>
          <a:rect l="0" t="0" r="0" b="0"/>
          <a:pathLst>
            <a:path>
              <a:moveTo>
                <a:pt x="0" y="0"/>
              </a:moveTo>
              <a:lnTo>
                <a:pt x="0" y="1714606"/>
              </a:lnTo>
              <a:lnTo>
                <a:pt x="953374" y="1714606"/>
              </a:lnTo>
              <a:lnTo>
                <a:pt x="953374" y="19215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764FC-2A2D-49B0-9F15-846B7F78C266}">
      <dsp:nvSpPr>
        <dsp:cNvPr id="0" name=""/>
        <dsp:cNvSpPr/>
      </dsp:nvSpPr>
      <dsp:spPr>
        <a:xfrm>
          <a:off x="1049286" y="764638"/>
          <a:ext cx="4050921" cy="6305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Healthy Filipino women in their firs trimester of pregnancy (before 14 weeks of pregnancy according to their last menstrual period or by ultrasound) seen at outpatient department in The Medical City - Ortigas</a:t>
          </a:r>
        </a:p>
      </dsp:txBody>
      <dsp:txXfrm>
        <a:off x="1049286" y="764638"/>
        <a:ext cx="4050921" cy="630587"/>
      </dsp:txXfrm>
    </dsp:sp>
    <dsp:sp modelId="{08871BC7-3790-C04B-A182-DEB855B8ABF0}">
      <dsp:nvSpPr>
        <dsp:cNvPr id="0" name=""/>
        <dsp:cNvSpPr/>
      </dsp:nvSpPr>
      <dsp:spPr>
        <a:xfrm>
          <a:off x="3042721" y="3316765"/>
          <a:ext cx="1970800" cy="4245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First Trimester serum fasting Triglycerides, FBS </a:t>
          </a:r>
        </a:p>
      </dsp:txBody>
      <dsp:txXfrm>
        <a:off x="3042721" y="3316765"/>
        <a:ext cx="1970800" cy="424520"/>
      </dsp:txXfrm>
    </dsp:sp>
    <dsp:sp modelId="{775192B6-5623-4F68-9649-97C05CC60A8B}">
      <dsp:nvSpPr>
        <dsp:cNvPr id="0" name=""/>
        <dsp:cNvSpPr/>
      </dsp:nvSpPr>
      <dsp:spPr>
        <a:xfrm>
          <a:off x="3129870" y="4145625"/>
          <a:ext cx="1970800" cy="688499"/>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en-GB"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en-GB" sz="800" kern="1200">
              <a:latin typeface="Arial" panose="020B0604020202020204" pitchFamily="34" charset="0"/>
              <a:cs typeface="Arial" panose="020B0604020202020204" pitchFamily="34" charset="0"/>
            </a:rPr>
            <a:t>Diagnosis of GDM based on single step 2 hour 75g OGTT at  24-28 weeks AOG</a:t>
          </a:r>
        </a:p>
        <a:p>
          <a:pPr marL="0" lvl="0" indent="0" algn="ctr" defTabSz="355600">
            <a:lnSpc>
              <a:spcPct val="90000"/>
            </a:lnSpc>
            <a:spcBef>
              <a:spcPct val="0"/>
            </a:spcBef>
            <a:spcAft>
              <a:spcPct val="35000"/>
            </a:spcAft>
            <a:buNone/>
          </a:pPr>
          <a:r>
            <a:rPr lang="en-GB" sz="800" kern="1200">
              <a:latin typeface="Arial" panose="020B0604020202020204" pitchFamily="34" charset="0"/>
              <a:cs typeface="Arial" panose="020B0604020202020204" pitchFamily="34" charset="0"/>
            </a:rPr>
            <a:t>Triglycerides and FBS level taken at same time</a:t>
          </a:r>
        </a:p>
        <a:p>
          <a:pPr marL="0" lvl="0" indent="0" algn="ctr" defTabSz="355600">
            <a:lnSpc>
              <a:spcPct val="90000"/>
            </a:lnSpc>
            <a:spcBef>
              <a:spcPct val="0"/>
            </a:spcBef>
            <a:spcAft>
              <a:spcPct val="35000"/>
            </a:spcAft>
            <a:buNone/>
          </a:pPr>
          <a:endParaRPr lang="en-GB" sz="800" kern="1200">
            <a:latin typeface="Arial" panose="020B0604020202020204" pitchFamily="34" charset="0"/>
            <a:cs typeface="Arial" panose="020B0604020202020204" pitchFamily="34" charset="0"/>
          </a:endParaRPr>
        </a:p>
      </dsp:txBody>
      <dsp:txXfrm>
        <a:off x="3129870" y="4145625"/>
        <a:ext cx="1970800" cy="688499"/>
      </dsp:txXfrm>
    </dsp:sp>
    <dsp:sp modelId="{ED26E2F2-619E-49E8-B2C6-85E3414272F5}">
      <dsp:nvSpPr>
        <dsp:cNvPr id="0" name=""/>
        <dsp:cNvSpPr/>
      </dsp:nvSpPr>
      <dsp:spPr>
        <a:xfrm>
          <a:off x="3616185" y="5320459"/>
          <a:ext cx="1970800" cy="98540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Compute for TyG index calcutated as</a:t>
          </a:r>
        </a:p>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ln [Fasting TG (mg/dl) x Fasting glucose (mg/dl)] / 2</a:t>
          </a:r>
        </a:p>
      </dsp:txBody>
      <dsp:txXfrm>
        <a:off x="3616185" y="5320459"/>
        <a:ext cx="1970800" cy="985400"/>
      </dsp:txXfrm>
    </dsp:sp>
    <dsp:sp modelId="{74784D9E-87FF-44B1-9EC7-8AC05BA0DCD4}">
      <dsp:nvSpPr>
        <dsp:cNvPr id="0" name=""/>
        <dsp:cNvSpPr/>
      </dsp:nvSpPr>
      <dsp:spPr>
        <a:xfrm>
          <a:off x="154355" y="1708366"/>
          <a:ext cx="2867514" cy="15570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GB"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Exclusion criteria:</a:t>
          </a:r>
        </a:p>
        <a:p>
          <a:pPr marL="0" lvl="0" indent="0" algn="l" defTabSz="4445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 Pregnant women with pre-existing Diabetes Diagnosis/ history of GDM</a:t>
          </a:r>
          <a:endParaRPr lang="en-PH" sz="800" kern="1200">
            <a:latin typeface="Arial" panose="020B0604020202020204" pitchFamily="34" charset="0"/>
            <a:cs typeface="Arial" panose="020B0604020202020204" pitchFamily="34" charset="0"/>
          </a:endParaRPr>
        </a:p>
        <a:p>
          <a:pPr marL="0" lvl="0" indent="0" algn="l" defTabSz="444500">
            <a:lnSpc>
              <a:spcPct val="90000"/>
            </a:lnSpc>
            <a:spcBef>
              <a:spcPct val="0"/>
            </a:spcBef>
            <a:spcAft>
              <a:spcPct val="35000"/>
            </a:spcAft>
            <a:buFont typeface="Wingdings" pitchFamily="2" charset="2"/>
            <a:buNone/>
          </a:pPr>
          <a:r>
            <a:rPr lang="en-US" sz="800" kern="1200">
              <a:latin typeface="Arial" panose="020B0604020202020204" pitchFamily="34" charset="0"/>
              <a:cs typeface="Arial" panose="020B0604020202020204" pitchFamily="34" charset="0"/>
            </a:rPr>
            <a:t>- Multiple Pregnancies</a:t>
          </a:r>
          <a:endParaRPr lang="en-PH" sz="800" kern="1200">
            <a:latin typeface="Arial" panose="020B0604020202020204" pitchFamily="34" charset="0"/>
            <a:cs typeface="Arial" panose="020B0604020202020204" pitchFamily="34" charset="0"/>
          </a:endParaRPr>
        </a:p>
        <a:p>
          <a:pPr marL="0" lvl="0" indent="0" algn="l" defTabSz="444500">
            <a:lnSpc>
              <a:spcPct val="90000"/>
            </a:lnSpc>
            <a:spcBef>
              <a:spcPct val="0"/>
            </a:spcBef>
            <a:spcAft>
              <a:spcPct val="35000"/>
            </a:spcAft>
            <a:buFont typeface="Wingdings" pitchFamily="2" charset="2"/>
            <a:buNone/>
          </a:pPr>
          <a:r>
            <a:rPr lang="en-US" sz="800" kern="1200">
              <a:latin typeface="Arial" panose="020B0604020202020204" pitchFamily="34" charset="0"/>
              <a:cs typeface="Arial" panose="020B0604020202020204" pitchFamily="34" charset="0"/>
            </a:rPr>
            <a:t>- Known Pregnancy Complications (e.g., known congenital anomalies, severe intrauterine growth restriction, etc) </a:t>
          </a:r>
          <a:endParaRPr lang="en-PH" sz="800" kern="1200">
            <a:latin typeface="Arial" panose="020B0604020202020204" pitchFamily="34" charset="0"/>
            <a:cs typeface="Arial" panose="020B0604020202020204" pitchFamily="34" charset="0"/>
          </a:endParaRPr>
        </a:p>
        <a:p>
          <a:pPr marL="0" lvl="0" indent="0" algn="l" defTabSz="444500">
            <a:lnSpc>
              <a:spcPct val="90000"/>
            </a:lnSpc>
            <a:spcBef>
              <a:spcPct val="0"/>
            </a:spcBef>
            <a:spcAft>
              <a:spcPct val="35000"/>
            </a:spcAft>
            <a:buFont typeface="Wingdings" pitchFamily="2" charset="2"/>
            <a:buNone/>
          </a:pPr>
          <a:r>
            <a:rPr lang="en-US" sz="800" kern="1200">
              <a:latin typeface="Arial" panose="020B0604020202020204" pitchFamily="34" charset="0"/>
              <a:cs typeface="Arial" panose="020B0604020202020204" pitchFamily="34" charset="0"/>
            </a:rPr>
            <a:t>- Chronic Medical Conditions (e.g., chronic kidney disease, autoimmune disorders</a:t>
          </a:r>
        </a:p>
        <a:p>
          <a:pPr marL="0" lvl="0" indent="0" algn="l" defTabSz="444500">
            <a:lnSpc>
              <a:spcPct val="90000"/>
            </a:lnSpc>
            <a:spcBef>
              <a:spcPct val="0"/>
            </a:spcBef>
            <a:spcAft>
              <a:spcPct val="35000"/>
            </a:spcAft>
            <a:buFont typeface="Wingdings" pitchFamily="2" charset="2"/>
            <a:buNone/>
          </a:pPr>
          <a:r>
            <a:rPr lang="en-US" sz="800" kern="1200">
              <a:latin typeface="Arial" panose="020B0604020202020204" pitchFamily="34" charset="0"/>
              <a:cs typeface="Arial" panose="020B0604020202020204" pitchFamily="34" charset="0"/>
            </a:rPr>
            <a:t>- Medication Use (e.g., corticosteroids, antipsychotics, etc) </a:t>
          </a:r>
        </a:p>
        <a:p>
          <a:pPr marL="0" lvl="0" indent="0" algn="l" defTabSz="444500">
            <a:lnSpc>
              <a:spcPct val="90000"/>
            </a:lnSpc>
            <a:spcBef>
              <a:spcPct val="0"/>
            </a:spcBef>
            <a:spcAft>
              <a:spcPct val="35000"/>
            </a:spcAft>
            <a:buFont typeface="Wingdings" pitchFamily="2" charset="2"/>
            <a:buNone/>
          </a:pPr>
          <a:r>
            <a:rPr lang="en-US" sz="800" kern="1200">
              <a:latin typeface="Arial" panose="020B0604020202020204" pitchFamily="34" charset="0"/>
              <a:cs typeface="Arial" panose="020B0604020202020204" pitchFamily="34" charset="0"/>
            </a:rPr>
            <a:t>- Incomplete Follow-Up Data </a:t>
          </a:r>
        </a:p>
        <a:p>
          <a:pPr marL="0" lvl="0" indent="0" algn="l" defTabSz="444500">
            <a:lnSpc>
              <a:spcPct val="90000"/>
            </a:lnSpc>
            <a:spcBef>
              <a:spcPct val="0"/>
            </a:spcBef>
            <a:spcAft>
              <a:spcPct val="35000"/>
            </a:spcAft>
            <a:buFont typeface="Wingdings" pitchFamily="2" charset="2"/>
            <a:buNone/>
          </a:pPr>
          <a:r>
            <a:rPr lang="en-US" sz="800" kern="1200">
              <a:latin typeface="Arial" panose="020B0604020202020204" pitchFamily="34" charset="0"/>
              <a:cs typeface="Arial" panose="020B0604020202020204" pitchFamily="34" charset="0"/>
            </a:rPr>
            <a:t>- Non-Filipino Ethnicity</a:t>
          </a:r>
          <a:r>
            <a:rPr lang="en-US" sz="1200" kern="1200">
              <a:latin typeface="Arial" panose="020B0604020202020204" pitchFamily="34" charset="0"/>
              <a:cs typeface="Arial" panose="020B0604020202020204" pitchFamily="34" charset="0"/>
            </a:rPr>
            <a:t> </a:t>
          </a:r>
          <a:endParaRPr lang="en-GB" sz="12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endParaRPr lang="en-GB" sz="1000" kern="1200">
            <a:latin typeface="Arial" panose="020B0604020202020204" pitchFamily="34" charset="0"/>
            <a:cs typeface="Arial" panose="020B0604020202020204" pitchFamily="34" charset="0"/>
          </a:endParaRPr>
        </a:p>
      </dsp:txBody>
      <dsp:txXfrm>
        <a:off x="154355" y="1708366"/>
        <a:ext cx="2867514" cy="15570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Medicine User</dc:creator>
  <cp:lastModifiedBy>Microsoft Office User</cp:lastModifiedBy>
  <cp:revision>13</cp:revision>
  <dcterms:created xsi:type="dcterms:W3CDTF">2024-01-03T07:16:00Z</dcterms:created>
  <dcterms:modified xsi:type="dcterms:W3CDTF">2024-01-03T08:57:00Z</dcterms:modified>
</cp:coreProperties>
</file>