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8F34F">
      <w:r>
        <mc:AlternateContent>
          <mc:Choice Requires="wps">
            <w:drawing>
              <wp:anchor distT="0" distB="0" distL="114300" distR="114300" simplePos="0" relativeHeight="251662336" behindDoc="0" locked="0" layoutInCell="1" allowOverlap="1">
                <wp:simplePos x="0" y="0"/>
                <wp:positionH relativeFrom="column">
                  <wp:posOffset>-1069340</wp:posOffset>
                </wp:positionH>
                <wp:positionV relativeFrom="paragraph">
                  <wp:posOffset>8566785</wp:posOffset>
                </wp:positionV>
                <wp:extent cx="4151630" cy="555625"/>
                <wp:effectExtent l="0" t="0" r="0" b="0"/>
                <wp:wrapNone/>
                <wp:docPr id="706" name="文本框 705"/>
                <wp:cNvGraphicFramePr/>
                <a:graphic xmlns:a="http://schemas.openxmlformats.org/drawingml/2006/main">
                  <a:graphicData uri="http://schemas.microsoft.com/office/word/2010/wordprocessingShape">
                    <wps:wsp>
                      <wps:cNvSpPr txBox="1"/>
                      <wps:spPr>
                        <a:xfrm>
                          <a:off x="1090295" y="3058160"/>
                          <a:ext cx="4151630" cy="555625"/>
                        </a:xfrm>
                        <a:prstGeom prst="rect">
                          <a:avLst/>
                        </a:prstGeom>
                        <a:noFill/>
                      </wps:spPr>
                      <wps:txbx>
                        <w:txbxContent>
                          <w:p w14:paraId="48524DE1">
                            <w:pPr>
                              <w:pStyle w:val="13"/>
                              <w:adjustRightInd w:val="0"/>
                              <w:snapToGrid w:val="0"/>
                              <w:jc w:val="left"/>
                              <w:rPr>
                                <w:rFonts w:hint="default" w:ascii="Arial" w:hAnsi="Arial" w:cs="Arial"/>
                                <w:b/>
                                <w:bCs/>
                                <w:color w:val="0070C0"/>
                                <w:sz w:val="40"/>
                                <w:szCs w:val="40"/>
                                <w:lang w:val="en-US"/>
                              </w:rPr>
                            </w:pPr>
                            <w:r>
                              <w:rPr>
                                <w:rFonts w:hint="default" w:ascii="Arial" w:hAnsi="Arial" w:cs="Arial"/>
                                <w:b/>
                                <w:bCs/>
                                <w:color w:val="0070C0"/>
                                <w:sz w:val="40"/>
                                <w:szCs w:val="40"/>
                                <w:lang w:val="en-US"/>
                              </w:rPr>
                              <w:t>DATA ENGINEER INTERNSHIP</w:t>
                            </w:r>
                            <w:r>
                              <w:rPr>
                                <w:rFonts w:hint="default" w:ascii="Arial" w:hAnsi="Arial" w:cs="Arial"/>
                                <w:b/>
                                <w:bCs/>
                                <w:color w:val="0070C0"/>
                                <w:sz w:val="40"/>
                                <w:szCs w:val="40"/>
                                <w:lang w:val="en-US"/>
                              </w:rPr>
                              <w:br w:type="textWrapping"/>
                            </w:r>
                            <w:r>
                              <w:rPr>
                                <w:rFonts w:hint="default" w:ascii="Arial" w:hAnsi="Arial" w:cs="Arial"/>
                                <w:b/>
                                <w:bCs/>
                                <w:color w:val="0070C0"/>
                                <w:sz w:val="40"/>
                                <w:szCs w:val="40"/>
                                <w:lang w:val="en-US"/>
                              </w:rPr>
                              <w:t>TECHNICAL ASSESSMENT</w:t>
                            </w:r>
                          </w:p>
                          <w:p w14:paraId="5938CF54">
                            <w:pPr>
                              <w:pStyle w:val="13"/>
                              <w:adjustRightInd w:val="0"/>
                              <w:snapToGrid w:val="0"/>
                              <w:jc w:val="left"/>
                              <w:rPr>
                                <w:rFonts w:hint="default" w:ascii="Arial" w:hAnsi="Arial" w:cs="Arial"/>
                                <w:b/>
                                <w:bCs/>
                                <w:color w:val="0070C0"/>
                                <w:sz w:val="40"/>
                                <w:szCs w:val="40"/>
                                <w:lang w:val="en-US"/>
                              </w:rPr>
                            </w:pPr>
                          </w:p>
                          <w:p w14:paraId="10B8E53C">
                            <w:pPr>
                              <w:pStyle w:val="13"/>
                              <w:adjustRightInd w:val="0"/>
                              <w:snapToGrid w:val="0"/>
                              <w:jc w:val="left"/>
                              <w:rPr>
                                <w:rFonts w:hint="default" w:ascii="Arial" w:hAnsi="Arial" w:cs="Arial"/>
                                <w:b/>
                                <w:bCs/>
                                <w:color w:val="0070C0"/>
                                <w:sz w:val="30"/>
                                <w:szCs w:val="30"/>
                                <w:lang w:val="en-US"/>
                              </w:rPr>
                            </w:pPr>
                            <w:r>
                              <w:rPr>
                                <w:rFonts w:hint="default" w:ascii="Arial" w:hAnsi="Arial" w:cs="Arial"/>
                                <w:b/>
                                <w:bCs/>
                                <w:color w:val="0070C0"/>
                                <w:sz w:val="30"/>
                                <w:szCs w:val="30"/>
                                <w:lang w:val="en-US"/>
                              </w:rPr>
                              <w:t>SHEHAN UYANWATTE</w:t>
                            </w:r>
                          </w:p>
                        </w:txbxContent>
                      </wps:txbx>
                      <wps:bodyPr wrap="square">
                        <a:spAutoFit/>
                      </wps:bodyPr>
                    </wps:wsp>
                  </a:graphicData>
                </a:graphic>
              </wp:anchor>
            </w:drawing>
          </mc:Choice>
          <mc:Fallback>
            <w:pict>
              <v:shape id="文本框 705" o:spid="_x0000_s1026" o:spt="202" type="#_x0000_t202" style="position:absolute;left:0pt;margin-left:-84.2pt;margin-top:674.55pt;height:43.75pt;width:326.9pt;z-index:251662336;mso-width-relative:page;mso-height-relative:page;" filled="f" stroked="f" coordsize="21600,21600" o:gfxdata="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p4254NoAAAAOAQAADwAAAAAAAAABACAAAAAiAAAAZHJzL2Rvd25y&#10;ZXYueG1sUEsBAhQAFAAAAAgAh07iQJ2bdqHDAQAAYgMAAA4AAAAAAAAAAQAgAAAAKQEAAGRycy9l&#10;Mm9Eb2MueG1sUEsFBgAAAAAGAAYAWQEAAF4FAAAAAA==&#10;">
                <v:fill on="f" focussize="0,0"/>
                <v:stroke on="f"/>
                <v:imagedata o:title=""/>
                <o:lock v:ext="edit" aspectratio="f"/>
                <v:textbox style="mso-fit-shape-to-text:t;">
                  <w:txbxContent>
                    <w:p w14:paraId="48524DE1">
                      <w:pPr>
                        <w:pStyle w:val="13"/>
                        <w:adjustRightInd w:val="0"/>
                        <w:snapToGrid w:val="0"/>
                        <w:jc w:val="left"/>
                        <w:rPr>
                          <w:rFonts w:hint="default" w:ascii="Arial" w:hAnsi="Arial" w:cs="Arial"/>
                          <w:b/>
                          <w:bCs/>
                          <w:color w:val="0070C0"/>
                          <w:sz w:val="40"/>
                          <w:szCs w:val="40"/>
                          <w:lang w:val="en-US"/>
                        </w:rPr>
                      </w:pPr>
                      <w:r>
                        <w:rPr>
                          <w:rFonts w:hint="default" w:ascii="Arial" w:hAnsi="Arial" w:cs="Arial"/>
                          <w:b/>
                          <w:bCs/>
                          <w:color w:val="0070C0"/>
                          <w:sz w:val="40"/>
                          <w:szCs w:val="40"/>
                          <w:lang w:val="en-US"/>
                        </w:rPr>
                        <w:t>DATA ENGINEER INTERNSHIP</w:t>
                      </w:r>
                      <w:r>
                        <w:rPr>
                          <w:rFonts w:hint="default" w:ascii="Arial" w:hAnsi="Arial" w:cs="Arial"/>
                          <w:b/>
                          <w:bCs/>
                          <w:color w:val="0070C0"/>
                          <w:sz w:val="40"/>
                          <w:szCs w:val="40"/>
                          <w:lang w:val="en-US"/>
                        </w:rPr>
                        <w:br w:type="textWrapping"/>
                      </w:r>
                      <w:r>
                        <w:rPr>
                          <w:rFonts w:hint="default" w:ascii="Arial" w:hAnsi="Arial" w:cs="Arial"/>
                          <w:b/>
                          <w:bCs/>
                          <w:color w:val="0070C0"/>
                          <w:sz w:val="40"/>
                          <w:szCs w:val="40"/>
                          <w:lang w:val="en-US"/>
                        </w:rPr>
                        <w:t>TECHNICAL ASSESSMENT</w:t>
                      </w:r>
                    </w:p>
                    <w:p w14:paraId="5938CF54">
                      <w:pPr>
                        <w:pStyle w:val="13"/>
                        <w:adjustRightInd w:val="0"/>
                        <w:snapToGrid w:val="0"/>
                        <w:jc w:val="left"/>
                        <w:rPr>
                          <w:rFonts w:hint="default" w:ascii="Arial" w:hAnsi="Arial" w:cs="Arial"/>
                          <w:b/>
                          <w:bCs/>
                          <w:color w:val="0070C0"/>
                          <w:sz w:val="40"/>
                          <w:szCs w:val="40"/>
                          <w:lang w:val="en-US"/>
                        </w:rPr>
                      </w:pPr>
                    </w:p>
                    <w:p w14:paraId="10B8E53C">
                      <w:pPr>
                        <w:pStyle w:val="13"/>
                        <w:adjustRightInd w:val="0"/>
                        <w:snapToGrid w:val="0"/>
                        <w:jc w:val="left"/>
                        <w:rPr>
                          <w:rFonts w:hint="default" w:ascii="Arial" w:hAnsi="Arial" w:cs="Arial"/>
                          <w:b/>
                          <w:bCs/>
                          <w:color w:val="0070C0"/>
                          <w:sz w:val="30"/>
                          <w:szCs w:val="30"/>
                          <w:lang w:val="en-US"/>
                        </w:rPr>
                      </w:pPr>
                      <w:r>
                        <w:rPr>
                          <w:rFonts w:hint="default" w:ascii="Arial" w:hAnsi="Arial" w:cs="Arial"/>
                          <w:b/>
                          <w:bCs/>
                          <w:color w:val="0070C0"/>
                          <w:sz w:val="30"/>
                          <w:szCs w:val="30"/>
                          <w:lang w:val="en-US"/>
                        </w:rPr>
                        <w:t>SHEHAN UYANWATTE</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-1022350</wp:posOffset>
                </wp:positionH>
                <wp:positionV relativeFrom="paragraph">
                  <wp:posOffset>1054735</wp:posOffset>
                </wp:positionV>
                <wp:extent cx="6553200" cy="2072640"/>
                <wp:effectExtent l="0" t="0" r="0" b="0"/>
                <wp:wrapNone/>
                <wp:docPr id="705" name="文本框 704"/>
                <wp:cNvGraphicFramePr/>
                <a:graphic xmlns:a="http://schemas.openxmlformats.org/drawingml/2006/main">
                  <a:graphicData uri="http://schemas.microsoft.com/office/word/2010/wordprocessingShape">
                    <wps:wsp>
                      <wps:cNvSpPr txBox="1"/>
                      <wps:spPr>
                        <a:xfrm>
                          <a:off x="1062990" y="1314450"/>
                          <a:ext cx="6553200" cy="2072640"/>
                        </a:xfrm>
                        <a:prstGeom prst="rect">
                          <a:avLst/>
                        </a:prstGeom>
                        <a:noFill/>
                      </wps:spPr>
                      <wps:txbx>
                        <w:txbxContent>
                          <w:p w14:paraId="7232468F">
                            <w:pPr>
                              <w:jc w:val="left"/>
                              <w:rPr>
                                <w:b/>
                                <w:bCs/>
                                <w:color w:val="FFFFFF" w:themeColor="background1"/>
                                <w:sz w:val="100"/>
                                <w:szCs w:val="100"/>
                                <w14:textFill>
                                  <w14:solidFill>
                                    <w14:schemeClr w14:val="bg1"/>
                                  </w14:solidFill>
                                </w14:textFill>
                              </w:rPr>
                            </w:pPr>
                            <w:r>
                              <w:rPr>
                                <w:b/>
                                <w:bCs/>
                                <w:color w:val="FFFFFF" w:themeColor="background1"/>
                                <w:sz w:val="100"/>
                                <w:szCs w:val="100"/>
                                <w14:textFill>
                                  <w14:solidFill>
                                    <w14:schemeClr w14:val="bg1"/>
                                  </w14:solidFill>
                                </w14:textFill>
                              </w:rPr>
                              <w:t xml:space="preserve">MARKET INTELLIGENCE REPORT: </w:t>
                            </w:r>
                            <w:r>
                              <w:rPr>
                                <w:rFonts w:hint="default"/>
                                <w:b/>
                                <w:bCs/>
                                <w:color w:val="0070C0"/>
                                <w:sz w:val="100"/>
                                <w:szCs w:val="10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AIRBNB</w:t>
                            </w:r>
                            <w:r>
                              <w:rPr>
                                <w:rFonts w:hint="default"/>
                                <w:b/>
                                <w:bCs/>
                                <w:color w:val="FFFFFF" w:themeColor="background1"/>
                                <w:sz w:val="100"/>
                                <w:szCs w:val="100"/>
                                <w:lang w:val="en-US"/>
                                <w14:textFill>
                                  <w14:solidFill>
                                    <w14:schemeClr w14:val="bg1"/>
                                  </w14:solidFill>
                                </w14:textFill>
                              </w:rPr>
                              <w:t xml:space="preserve"> ECOSYSTEM IN </w:t>
                            </w:r>
                            <w:r>
                              <w:rPr>
                                <w:b/>
                                <w:bCs/>
                                <w:color w:val="FFFFFF" w:themeColor="background1"/>
                                <w:sz w:val="100"/>
                                <w:szCs w:val="100"/>
                                <w14:textFill>
                                  <w14:solidFill>
                                    <w14:schemeClr w14:val="bg1"/>
                                  </w14:solidFill>
                                </w14:textFill>
                              </w:rPr>
                              <w:t>LONDON</w:t>
                            </w:r>
                          </w:p>
                        </w:txbxContent>
                      </wps:txbx>
                      <wps:bodyPr wrap="square" rtlCol="0">
                        <a:spAutoFit/>
                      </wps:bodyPr>
                    </wps:wsp>
                  </a:graphicData>
                </a:graphic>
              </wp:anchor>
            </w:drawing>
          </mc:Choice>
          <mc:Fallback>
            <w:pict>
              <v:shape id="文本框 704" o:spid="_x0000_s1026" o:spt="202" type="#_x0000_t202" style="position:absolute;left:0pt;margin-left:-80.5pt;margin-top:83.05pt;height:163.2pt;width:516pt;z-index:251660288;mso-width-relative:page;mso-height-relative:page;" filled="f" stroked="f" coordsize="21600,21600" o:gfxdata="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JpsvRtkAAAAMAQAADwAAAAAAAAABACAAAAAiAAAAZHJz&#10;L2Rvd25yZXYueG1sUEsBAhQAFAAAAAgAh07iQApT61TKAQAAbgMAAA4AAAAAAAAAAQAgAAAAKAEA&#10;AGRycy9lMm9Eb2MueG1sUEsFBgAAAAAGAAYAWQEAAGQFAAAAAA==&#10;">
                <v:fill on="f" focussize="0,0"/>
                <v:stroke on="f"/>
                <v:imagedata o:title=""/>
                <o:lock v:ext="edit" aspectratio="f"/>
                <v:textbox style="mso-fit-shape-to-text:t;">
                  <w:txbxContent>
                    <w:p w14:paraId="7232468F">
                      <w:pPr>
                        <w:jc w:val="left"/>
                        <w:rPr>
                          <w:b/>
                          <w:bCs/>
                          <w:color w:val="FFFFFF" w:themeColor="background1"/>
                          <w:sz w:val="100"/>
                          <w:szCs w:val="100"/>
                          <w14:textFill>
                            <w14:solidFill>
                              <w14:schemeClr w14:val="bg1"/>
                            </w14:solidFill>
                          </w14:textFill>
                        </w:rPr>
                      </w:pPr>
                      <w:r>
                        <w:rPr>
                          <w:b/>
                          <w:bCs/>
                          <w:color w:val="FFFFFF" w:themeColor="background1"/>
                          <w:sz w:val="100"/>
                          <w:szCs w:val="100"/>
                          <w14:textFill>
                            <w14:solidFill>
                              <w14:schemeClr w14:val="bg1"/>
                            </w14:solidFill>
                          </w14:textFill>
                        </w:rPr>
                        <w:t xml:space="preserve">MARKET INTELLIGENCE REPORT: </w:t>
                      </w:r>
                      <w:r>
                        <w:rPr>
                          <w:rFonts w:hint="default"/>
                          <w:b/>
                          <w:bCs/>
                          <w:color w:val="0070C0"/>
                          <w:sz w:val="100"/>
                          <w:szCs w:val="100"/>
                          <w:lang w:val="en-U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AIRBNB</w:t>
                      </w:r>
                      <w:r>
                        <w:rPr>
                          <w:rFonts w:hint="default"/>
                          <w:b/>
                          <w:bCs/>
                          <w:color w:val="FFFFFF" w:themeColor="background1"/>
                          <w:sz w:val="100"/>
                          <w:szCs w:val="100"/>
                          <w:lang w:val="en-US"/>
                          <w14:textFill>
                            <w14:solidFill>
                              <w14:schemeClr w14:val="bg1"/>
                            </w14:solidFill>
                          </w14:textFill>
                        </w:rPr>
                        <w:t xml:space="preserve"> ECOSYSTEM IN </w:t>
                      </w:r>
                      <w:r>
                        <w:rPr>
                          <w:b/>
                          <w:bCs/>
                          <w:color w:val="FFFFFF" w:themeColor="background1"/>
                          <w:sz w:val="100"/>
                          <w:szCs w:val="100"/>
                          <w14:textFill>
                            <w14:solidFill>
                              <w14:schemeClr w14:val="bg1"/>
                            </w14:solidFill>
                          </w14:textFill>
                        </w:rPr>
                        <w:t>LONDON</w:t>
                      </w:r>
                    </w:p>
                  </w:txbxContent>
                </v:textbox>
              </v:shape>
            </w:pict>
          </mc:Fallback>
        </mc:AlternateContent>
      </w:r>
      <w:r>
        <w:drawing>
          <wp:anchor distT="0" distB="0" distL="114300" distR="114300" simplePos="0" relativeHeight="251661312" behindDoc="1" locked="0" layoutInCell="1" allowOverlap="1">
            <wp:simplePos x="0" y="0"/>
            <wp:positionH relativeFrom="column">
              <wp:posOffset>-1150620</wp:posOffset>
            </wp:positionH>
            <wp:positionV relativeFrom="paragraph">
              <wp:posOffset>-926465</wp:posOffset>
            </wp:positionV>
            <wp:extent cx="7585710" cy="10725785"/>
            <wp:effectExtent l="0" t="0" r="8890" b="5715"/>
            <wp:wrapNone/>
            <wp:docPr id="6" name="图片 6" descr="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20"/>
                    <pic:cNvPicPr>
                      <a:picLocks noChangeAspect="1"/>
                    </pic:cNvPicPr>
                  </pic:nvPicPr>
                  <pic:blipFill>
                    <a:blip r:embed="rId5"/>
                    <a:stretch>
                      <a:fillRect/>
                    </a:stretch>
                  </pic:blipFill>
                  <pic:spPr>
                    <a:xfrm>
                      <a:off x="0" y="0"/>
                      <a:ext cx="7585710" cy="10725785"/>
                    </a:xfrm>
                    <a:prstGeom prst="rect">
                      <a:avLst/>
                    </a:prstGeom>
                  </pic:spPr>
                </pic:pic>
              </a:graphicData>
            </a:graphic>
          </wp:anchor>
        </w:drawing>
      </w:r>
      <w:r>
        <w:rPr>
          <w:rFonts w:hint="default"/>
          <w:lang w:val="en-US"/>
        </w:rPr>
        <w:drawing>
          <wp:anchor distT="0" distB="0" distL="114300" distR="114300" simplePos="0" relativeHeight="251664384" behindDoc="0" locked="0" layoutInCell="1" allowOverlap="1">
            <wp:simplePos x="0" y="0"/>
            <wp:positionH relativeFrom="column">
              <wp:posOffset>-923925</wp:posOffset>
            </wp:positionH>
            <wp:positionV relativeFrom="paragraph">
              <wp:posOffset>-167005</wp:posOffset>
            </wp:positionV>
            <wp:extent cx="3179445" cy="725805"/>
            <wp:effectExtent l="0" t="0" r="8255" b="10795"/>
            <wp:wrapNone/>
            <wp:docPr id="4" name="Picture 4" descr="logo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Blue"/>
                    <pic:cNvPicPr>
                      <a:picLocks noChangeAspect="1"/>
                    </pic:cNvPicPr>
                  </pic:nvPicPr>
                  <pic:blipFill>
                    <a:blip r:embed="rId6"/>
                    <a:stretch>
                      <a:fillRect/>
                    </a:stretch>
                  </pic:blipFill>
                  <pic:spPr>
                    <a:xfrm>
                      <a:off x="0" y="0"/>
                      <a:ext cx="3179445" cy="725805"/>
                    </a:xfrm>
                    <a:prstGeom prst="rect">
                      <a:avLst/>
                    </a:prstGeom>
                  </pic:spPr>
                </pic:pic>
              </a:graphicData>
            </a:graphic>
          </wp:anchor>
        </w:drawing>
      </w:r>
      <w:r>
        <w:rPr>
          <w:sz w:val="21"/>
        </w:rPr>
        <mc:AlternateContent>
          <mc:Choice Requires="wps">
            <w:drawing>
              <wp:anchor distT="0" distB="0" distL="114300" distR="114300" simplePos="0" relativeHeight="251659264" behindDoc="0" locked="0" layoutInCell="1" allowOverlap="1">
                <wp:simplePos x="0" y="0"/>
                <wp:positionH relativeFrom="column">
                  <wp:posOffset>-1148080</wp:posOffset>
                </wp:positionH>
                <wp:positionV relativeFrom="paragraph">
                  <wp:posOffset>-247650</wp:posOffset>
                </wp:positionV>
                <wp:extent cx="3563620" cy="909955"/>
                <wp:effectExtent l="6350" t="6350" r="11430" b="10795"/>
                <wp:wrapNone/>
                <wp:docPr id="7" name="Rectangle 7"/>
                <wp:cNvGraphicFramePr/>
                <a:graphic xmlns:a="http://schemas.openxmlformats.org/drawingml/2006/main">
                  <a:graphicData uri="http://schemas.microsoft.com/office/word/2010/wordprocessingShape">
                    <wps:wsp>
                      <wps:cNvSpPr/>
                      <wps:spPr>
                        <a:xfrm>
                          <a:off x="22860" y="666750"/>
                          <a:ext cx="3563620" cy="909955"/>
                        </a:xfrm>
                        <a:prstGeom prst="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4pt;margin-top:-19.5pt;height:71.65pt;width:280.6pt;z-index:251659264;v-text-anchor:middle;mso-width-relative:page;mso-height-relative:page;" fillcolor="#FFFFFF [3212]" filled="t" stroked="t" coordsize="21600,21600" o:gfxdata="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SIcMZ2QAAAAwBAAAPAAAAAAAA&#10;AAEAIAAAACIAAABkcnMvZG93bnJldi54bWxQSwECFAAUAAAACACHTuJAP5i/uoMCAAAiBQAADgAA&#10;AAAAAAABACAAAAAoAQAAZHJzL2Uyb0RvYy54bWxQSwUGAAAAAAYABgBZAQAAHQYAAAAA&#10;">
                <v:fill on="t" focussize="0,0"/>
                <v:stroke weight="1pt" color="#2E54A1 [2404]" miterlimit="8" joinstyle="miter"/>
                <v:imagedata o:title=""/>
                <o:lock v:ext="edit" aspectratio="f"/>
              </v:rect>
            </w:pict>
          </mc:Fallback>
        </mc:AlternateContent>
      </w:r>
    </w:p>
    <w:p w14:paraId="00045B32">
      <w:pPr>
        <w:rPr>
          <w:rFonts w:hint="default"/>
          <w:lang w:val="en-US"/>
        </w:rPr>
        <w:sectPr>
          <w:footerReference r:id="rId3" w:type="default"/>
          <w:pgSz w:w="11906" w:h="16838"/>
          <w:pgMar w:top="1440" w:right="1800" w:bottom="1440" w:left="1800" w:header="720" w:footer="720" w:gutter="0"/>
          <w:cols w:space="720" w:num="1"/>
          <w:docGrid w:linePitch="360" w:charSpace="0"/>
        </w:sectPr>
      </w:pPr>
    </w:p>
    <w:p w14:paraId="32D50E4A">
      <w:pPr>
        <w:rPr>
          <w:rFonts w:hint="default"/>
          <w:b/>
          <w:bCs/>
          <w:sz w:val="40"/>
          <w:szCs w:val="40"/>
          <w:lang w:val="en-US"/>
        </w:rPr>
      </w:pPr>
      <w:r>
        <w:rPr>
          <w:rFonts w:hint="default"/>
          <w:b/>
          <w:bCs/>
          <w:sz w:val="40"/>
          <w:szCs w:val="40"/>
          <w:lang w:val="en-US"/>
        </w:rPr>
        <w:t>Contents</w:t>
      </w:r>
    </w:p>
    <w:p w14:paraId="53B1F7D6">
      <w:pPr>
        <w:rPr>
          <w:rFonts w:hint="default"/>
          <w:b/>
          <w:bCs/>
          <w:sz w:val="40"/>
          <w:szCs w:val="40"/>
          <w:lang w:val="en-US"/>
        </w:rPr>
      </w:pPr>
    </w:p>
    <w:p w14:paraId="53608880">
      <w:pPr>
        <w:numPr>
          <w:ilvl w:val="0"/>
          <w:numId w:val="1"/>
        </w:numPr>
        <w:spacing w:line="360" w:lineRule="auto"/>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fldChar w:fldCharType="begin"/>
      </w:r>
      <w:r>
        <w:rPr>
          <w:rFonts w:hint="default"/>
          <w:b/>
          <w:bCs/>
          <w:color w:val="000000" w:themeColor="text1"/>
          <w:sz w:val="32"/>
          <w:szCs w:val="32"/>
          <w:lang w:val="en-US"/>
          <w14:textFill>
            <w14:solidFill>
              <w14:schemeClr w14:val="tx1"/>
            </w14:solidFill>
          </w14:textFill>
        </w:rPr>
        <w:instrText xml:space="preserve"> HYPERLINK \l "ExecutiveSummary" </w:instrText>
      </w:r>
      <w:r>
        <w:rPr>
          <w:rFonts w:hint="default"/>
          <w:b/>
          <w:bCs/>
          <w:color w:val="000000" w:themeColor="text1"/>
          <w:sz w:val="32"/>
          <w:szCs w:val="32"/>
          <w:lang w:val="en-US"/>
          <w14:textFill>
            <w14:solidFill>
              <w14:schemeClr w14:val="tx1"/>
            </w14:solidFill>
          </w14:textFill>
        </w:rPr>
        <w:fldChar w:fldCharType="separate"/>
      </w:r>
      <w:r>
        <w:rPr>
          <w:rStyle w:val="8"/>
          <w:rFonts w:hint="default"/>
          <w:b/>
          <w:bCs/>
          <w:color w:val="000000" w:themeColor="text1"/>
          <w:sz w:val="32"/>
          <w:szCs w:val="32"/>
          <w:lang w:val="en-US"/>
          <w14:textFill>
            <w14:solidFill>
              <w14:schemeClr w14:val="tx1"/>
            </w14:solidFill>
          </w14:textFill>
        </w:rPr>
        <w:t>Executive Summary</w:t>
      </w:r>
      <w:r>
        <w:rPr>
          <w:rFonts w:hint="default"/>
          <w:b/>
          <w:bCs/>
          <w:color w:val="000000" w:themeColor="text1"/>
          <w:sz w:val="32"/>
          <w:szCs w:val="32"/>
          <w:lang w:val="en-US"/>
          <w14:textFill>
            <w14:solidFill>
              <w14:schemeClr w14:val="tx1"/>
            </w14:solidFill>
          </w14:textFill>
        </w:rPr>
        <w:fldChar w:fldCharType="end"/>
      </w:r>
      <w:bookmarkStart w:id="11" w:name="_GoBack"/>
      <w:bookmarkEnd w:id="11"/>
    </w:p>
    <w:p w14:paraId="06EF4008">
      <w:pPr>
        <w:numPr>
          <w:ilvl w:val="0"/>
          <w:numId w:val="1"/>
        </w:numPr>
        <w:spacing w:line="360" w:lineRule="auto"/>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fldChar w:fldCharType="begin"/>
      </w:r>
      <w:r>
        <w:rPr>
          <w:rFonts w:hint="default"/>
          <w:b/>
          <w:bCs/>
          <w:color w:val="000000" w:themeColor="text1"/>
          <w:sz w:val="32"/>
          <w:szCs w:val="32"/>
          <w:lang w:val="en-US"/>
          <w14:textFill>
            <w14:solidFill>
              <w14:schemeClr w14:val="tx1"/>
            </w14:solidFill>
          </w14:textFill>
        </w:rPr>
        <w:instrText xml:space="preserve"> HYPERLINK \l "ScopeObjectives" </w:instrText>
      </w:r>
      <w:r>
        <w:rPr>
          <w:rFonts w:hint="default"/>
          <w:b/>
          <w:bCs/>
          <w:color w:val="000000" w:themeColor="text1"/>
          <w:sz w:val="32"/>
          <w:szCs w:val="32"/>
          <w:lang w:val="en-US"/>
          <w14:textFill>
            <w14:solidFill>
              <w14:schemeClr w14:val="tx1"/>
            </w14:solidFill>
          </w14:textFill>
        </w:rPr>
        <w:fldChar w:fldCharType="separate"/>
      </w:r>
      <w:r>
        <w:rPr>
          <w:rStyle w:val="12"/>
          <w:rFonts w:hint="default"/>
          <w:b/>
          <w:bCs/>
          <w:color w:val="000000" w:themeColor="text1"/>
          <w:sz w:val="32"/>
          <w:szCs w:val="32"/>
          <w:lang w:val="en-US"/>
          <w14:textFill>
            <w14:solidFill>
              <w14:schemeClr w14:val="tx1"/>
            </w14:solidFill>
          </w14:textFill>
        </w:rPr>
        <w:t>Objectives and Scope</w:t>
      </w:r>
      <w:r>
        <w:rPr>
          <w:rFonts w:hint="default"/>
          <w:b/>
          <w:bCs/>
          <w:color w:val="000000" w:themeColor="text1"/>
          <w:sz w:val="32"/>
          <w:szCs w:val="32"/>
          <w:lang w:val="en-US"/>
          <w14:textFill>
            <w14:solidFill>
              <w14:schemeClr w14:val="tx1"/>
            </w14:solidFill>
          </w14:textFill>
        </w:rPr>
        <w:fldChar w:fldCharType="end"/>
      </w:r>
    </w:p>
    <w:p w14:paraId="0A200752">
      <w:pPr>
        <w:numPr>
          <w:ilvl w:val="0"/>
          <w:numId w:val="1"/>
        </w:numPr>
        <w:spacing w:line="360" w:lineRule="auto"/>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fldChar w:fldCharType="begin"/>
      </w:r>
      <w:r>
        <w:rPr>
          <w:rFonts w:hint="default"/>
          <w:b/>
          <w:bCs/>
          <w:color w:val="000000" w:themeColor="text1"/>
          <w:sz w:val="32"/>
          <w:szCs w:val="32"/>
          <w:lang w:val="en-US"/>
          <w14:textFill>
            <w14:solidFill>
              <w14:schemeClr w14:val="tx1"/>
            </w14:solidFill>
          </w14:textFill>
        </w:rPr>
        <w:instrText xml:space="preserve"> HYPERLINK \l "DatasetOverview" </w:instrText>
      </w:r>
      <w:r>
        <w:rPr>
          <w:rFonts w:hint="default"/>
          <w:b/>
          <w:bCs/>
          <w:color w:val="000000" w:themeColor="text1"/>
          <w:sz w:val="32"/>
          <w:szCs w:val="32"/>
          <w:lang w:val="en-US"/>
          <w14:textFill>
            <w14:solidFill>
              <w14:schemeClr w14:val="tx1"/>
            </w14:solidFill>
          </w14:textFill>
        </w:rPr>
        <w:fldChar w:fldCharType="separate"/>
      </w:r>
      <w:r>
        <w:rPr>
          <w:rStyle w:val="12"/>
          <w:rFonts w:hint="default"/>
          <w:b/>
          <w:bCs/>
          <w:color w:val="000000" w:themeColor="text1"/>
          <w:sz w:val="32"/>
          <w:szCs w:val="32"/>
          <w:lang w:val="en-US"/>
          <w14:textFill>
            <w14:solidFill>
              <w14:schemeClr w14:val="tx1"/>
            </w14:solidFill>
          </w14:textFill>
        </w:rPr>
        <w:t>Dataset Overview</w:t>
      </w:r>
      <w:r>
        <w:rPr>
          <w:rFonts w:hint="default"/>
          <w:b/>
          <w:bCs/>
          <w:color w:val="000000" w:themeColor="text1"/>
          <w:sz w:val="32"/>
          <w:szCs w:val="32"/>
          <w:lang w:val="en-US"/>
          <w14:textFill>
            <w14:solidFill>
              <w14:schemeClr w14:val="tx1"/>
            </w14:solidFill>
          </w14:textFill>
        </w:rPr>
        <w:fldChar w:fldCharType="end"/>
      </w:r>
    </w:p>
    <w:p w14:paraId="191B4885">
      <w:pPr>
        <w:numPr>
          <w:ilvl w:val="0"/>
          <w:numId w:val="1"/>
        </w:numPr>
        <w:spacing w:line="360" w:lineRule="auto"/>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fldChar w:fldCharType="begin"/>
      </w:r>
      <w:r>
        <w:rPr>
          <w:rFonts w:hint="default"/>
          <w:b/>
          <w:bCs/>
          <w:color w:val="000000" w:themeColor="text1"/>
          <w:sz w:val="32"/>
          <w:szCs w:val="32"/>
          <w:lang w:val="en-US"/>
          <w14:textFill>
            <w14:solidFill>
              <w14:schemeClr w14:val="tx1"/>
            </w14:solidFill>
          </w14:textFill>
        </w:rPr>
        <w:instrText xml:space="preserve"> HYPERLINK \l "Methodology" </w:instrText>
      </w:r>
      <w:r>
        <w:rPr>
          <w:rFonts w:hint="default"/>
          <w:b/>
          <w:bCs/>
          <w:color w:val="000000" w:themeColor="text1"/>
          <w:sz w:val="32"/>
          <w:szCs w:val="32"/>
          <w:lang w:val="en-US"/>
          <w14:textFill>
            <w14:solidFill>
              <w14:schemeClr w14:val="tx1"/>
            </w14:solidFill>
          </w14:textFill>
        </w:rPr>
        <w:fldChar w:fldCharType="separate"/>
      </w:r>
      <w:r>
        <w:rPr>
          <w:rStyle w:val="12"/>
          <w:rFonts w:hint="default"/>
          <w:b/>
          <w:bCs/>
          <w:color w:val="000000" w:themeColor="text1"/>
          <w:sz w:val="32"/>
          <w:szCs w:val="32"/>
          <w:lang w:val="en-US"/>
          <w14:textFill>
            <w14:solidFill>
              <w14:schemeClr w14:val="tx1"/>
            </w14:solidFill>
          </w14:textFill>
        </w:rPr>
        <w:t>Methodology</w:t>
      </w:r>
      <w:r>
        <w:rPr>
          <w:rFonts w:hint="default"/>
          <w:b/>
          <w:bCs/>
          <w:color w:val="000000" w:themeColor="text1"/>
          <w:sz w:val="32"/>
          <w:szCs w:val="32"/>
          <w:lang w:val="en-US"/>
          <w14:textFill>
            <w14:solidFill>
              <w14:schemeClr w14:val="tx1"/>
            </w14:solidFill>
          </w14:textFill>
        </w:rPr>
        <w:fldChar w:fldCharType="end"/>
      </w:r>
    </w:p>
    <w:p w14:paraId="2947BF7E">
      <w:pPr>
        <w:numPr>
          <w:ilvl w:val="0"/>
          <w:numId w:val="1"/>
        </w:numPr>
        <w:spacing w:line="360" w:lineRule="auto"/>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fldChar w:fldCharType="begin"/>
      </w:r>
      <w:r>
        <w:rPr>
          <w:rFonts w:hint="default"/>
          <w:b/>
          <w:bCs/>
          <w:color w:val="000000" w:themeColor="text1"/>
          <w:sz w:val="32"/>
          <w:szCs w:val="32"/>
          <w:lang w:val="en-US"/>
          <w14:textFill>
            <w14:solidFill>
              <w14:schemeClr w14:val="tx1"/>
            </w14:solidFill>
          </w14:textFill>
        </w:rPr>
        <w:instrText xml:space="preserve"> HYPERLINK \l "EngineeringApproach" </w:instrText>
      </w:r>
      <w:r>
        <w:rPr>
          <w:rFonts w:hint="default"/>
          <w:b/>
          <w:bCs/>
          <w:color w:val="000000" w:themeColor="text1"/>
          <w:sz w:val="32"/>
          <w:szCs w:val="32"/>
          <w:lang w:val="en-US"/>
          <w14:textFill>
            <w14:solidFill>
              <w14:schemeClr w14:val="tx1"/>
            </w14:solidFill>
          </w14:textFill>
        </w:rPr>
        <w:fldChar w:fldCharType="separate"/>
      </w:r>
      <w:r>
        <w:rPr>
          <w:rStyle w:val="12"/>
          <w:rFonts w:hint="default"/>
          <w:b/>
          <w:bCs/>
          <w:color w:val="000000" w:themeColor="text1"/>
          <w:sz w:val="32"/>
          <w:szCs w:val="32"/>
          <w:lang w:val="en-US"/>
          <w14:textFill>
            <w14:solidFill>
              <w14:schemeClr w14:val="tx1"/>
            </w14:solidFill>
          </w14:textFill>
        </w:rPr>
        <w:t>Engineering Approach</w:t>
      </w:r>
      <w:r>
        <w:rPr>
          <w:rFonts w:hint="default"/>
          <w:b/>
          <w:bCs/>
          <w:color w:val="000000" w:themeColor="text1"/>
          <w:sz w:val="32"/>
          <w:szCs w:val="32"/>
          <w:lang w:val="en-US"/>
          <w14:textFill>
            <w14:solidFill>
              <w14:schemeClr w14:val="tx1"/>
            </w14:solidFill>
          </w14:textFill>
        </w:rPr>
        <w:fldChar w:fldCharType="end"/>
      </w:r>
    </w:p>
    <w:p w14:paraId="5A0D5FCC">
      <w:pPr>
        <w:numPr>
          <w:ilvl w:val="0"/>
          <w:numId w:val="1"/>
        </w:numPr>
        <w:spacing w:line="360" w:lineRule="auto"/>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fldChar w:fldCharType="begin"/>
      </w:r>
      <w:r>
        <w:rPr>
          <w:rFonts w:hint="default"/>
          <w:b/>
          <w:bCs/>
          <w:color w:val="000000" w:themeColor="text1"/>
          <w:sz w:val="32"/>
          <w:szCs w:val="32"/>
          <w:lang w:val="en-US"/>
          <w14:textFill>
            <w14:solidFill>
              <w14:schemeClr w14:val="tx1"/>
            </w14:solidFill>
          </w14:textFill>
        </w:rPr>
        <w:instrText xml:space="preserve"> HYPERLINK \l "ExploratoryDataAn" </w:instrText>
      </w:r>
      <w:r>
        <w:rPr>
          <w:rFonts w:hint="default"/>
          <w:b/>
          <w:bCs/>
          <w:color w:val="000000" w:themeColor="text1"/>
          <w:sz w:val="32"/>
          <w:szCs w:val="32"/>
          <w:lang w:val="en-US"/>
          <w14:textFill>
            <w14:solidFill>
              <w14:schemeClr w14:val="tx1"/>
            </w14:solidFill>
          </w14:textFill>
        </w:rPr>
        <w:fldChar w:fldCharType="separate"/>
      </w:r>
      <w:r>
        <w:rPr>
          <w:rStyle w:val="12"/>
          <w:rFonts w:hint="default"/>
          <w:b/>
          <w:bCs/>
          <w:color w:val="000000" w:themeColor="text1"/>
          <w:sz w:val="32"/>
          <w:szCs w:val="32"/>
          <w:lang w:val="en-US"/>
          <w14:textFill>
            <w14:solidFill>
              <w14:schemeClr w14:val="tx1"/>
            </w14:solidFill>
          </w14:textFill>
        </w:rPr>
        <w:t>EDA Findings</w:t>
      </w:r>
      <w:r>
        <w:rPr>
          <w:rFonts w:hint="default"/>
          <w:b/>
          <w:bCs/>
          <w:color w:val="000000" w:themeColor="text1"/>
          <w:sz w:val="32"/>
          <w:szCs w:val="32"/>
          <w:lang w:val="en-US"/>
          <w14:textFill>
            <w14:solidFill>
              <w14:schemeClr w14:val="tx1"/>
            </w14:solidFill>
          </w14:textFill>
        </w:rPr>
        <w:fldChar w:fldCharType="end"/>
      </w:r>
    </w:p>
    <w:p w14:paraId="0401AF27">
      <w:pPr>
        <w:numPr>
          <w:ilvl w:val="0"/>
          <w:numId w:val="1"/>
        </w:numPr>
        <w:spacing w:line="360" w:lineRule="auto"/>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fldChar w:fldCharType="begin"/>
      </w:r>
      <w:r>
        <w:rPr>
          <w:rFonts w:hint="default"/>
          <w:b/>
          <w:bCs/>
          <w:color w:val="000000" w:themeColor="text1"/>
          <w:sz w:val="32"/>
          <w:szCs w:val="32"/>
          <w:lang w:val="en-US"/>
          <w14:textFill>
            <w14:solidFill>
              <w14:schemeClr w14:val="tx1"/>
            </w14:solidFill>
          </w14:textFill>
        </w:rPr>
        <w:instrText xml:space="preserve"> HYPERLINK \l "BusinessReco" </w:instrText>
      </w:r>
      <w:r>
        <w:rPr>
          <w:rFonts w:hint="default"/>
          <w:b/>
          <w:bCs/>
          <w:color w:val="000000" w:themeColor="text1"/>
          <w:sz w:val="32"/>
          <w:szCs w:val="32"/>
          <w:lang w:val="en-US"/>
          <w14:textFill>
            <w14:solidFill>
              <w14:schemeClr w14:val="tx1"/>
            </w14:solidFill>
          </w14:textFill>
        </w:rPr>
        <w:fldChar w:fldCharType="separate"/>
      </w:r>
      <w:r>
        <w:rPr>
          <w:rStyle w:val="12"/>
          <w:rFonts w:hint="default"/>
          <w:b/>
          <w:bCs/>
          <w:color w:val="000000" w:themeColor="text1"/>
          <w:sz w:val="32"/>
          <w:szCs w:val="32"/>
          <w:lang w:val="en-US"/>
          <w14:textFill>
            <w14:solidFill>
              <w14:schemeClr w14:val="tx1"/>
            </w14:solidFill>
          </w14:textFill>
        </w:rPr>
        <w:t>Recommendations</w:t>
      </w:r>
      <w:r>
        <w:rPr>
          <w:rFonts w:hint="default"/>
          <w:b/>
          <w:bCs/>
          <w:color w:val="000000" w:themeColor="text1"/>
          <w:sz w:val="32"/>
          <w:szCs w:val="32"/>
          <w:lang w:val="en-US"/>
          <w14:textFill>
            <w14:solidFill>
              <w14:schemeClr w14:val="tx1"/>
            </w14:solidFill>
          </w14:textFill>
        </w:rPr>
        <w:fldChar w:fldCharType="end"/>
      </w:r>
    </w:p>
    <w:p w14:paraId="0080F533">
      <w:pPr>
        <w:numPr>
          <w:ilvl w:val="0"/>
          <w:numId w:val="1"/>
        </w:numPr>
        <w:spacing w:line="360" w:lineRule="auto"/>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fldChar w:fldCharType="begin"/>
      </w:r>
      <w:r>
        <w:rPr>
          <w:rFonts w:hint="default"/>
          <w:b/>
          <w:bCs/>
          <w:color w:val="000000" w:themeColor="text1"/>
          <w:sz w:val="32"/>
          <w:szCs w:val="32"/>
          <w:lang w:val="en-US"/>
          <w14:textFill>
            <w14:solidFill>
              <w14:schemeClr w14:val="tx1"/>
            </w14:solidFill>
          </w14:textFill>
        </w:rPr>
        <w:instrText xml:space="preserve"> HYPERLINK \l "Limitations" </w:instrText>
      </w:r>
      <w:r>
        <w:rPr>
          <w:rFonts w:hint="default"/>
          <w:b/>
          <w:bCs/>
          <w:color w:val="000000" w:themeColor="text1"/>
          <w:sz w:val="32"/>
          <w:szCs w:val="32"/>
          <w:lang w:val="en-US"/>
          <w14:textFill>
            <w14:solidFill>
              <w14:schemeClr w14:val="tx1"/>
            </w14:solidFill>
          </w14:textFill>
        </w:rPr>
        <w:fldChar w:fldCharType="separate"/>
      </w:r>
      <w:r>
        <w:rPr>
          <w:rStyle w:val="12"/>
          <w:rFonts w:hint="default"/>
          <w:b/>
          <w:bCs/>
          <w:color w:val="000000" w:themeColor="text1"/>
          <w:sz w:val="32"/>
          <w:szCs w:val="32"/>
          <w:lang w:val="en-US"/>
          <w14:textFill>
            <w14:solidFill>
              <w14:schemeClr w14:val="tx1"/>
            </w14:solidFill>
          </w14:textFill>
        </w:rPr>
        <w:t>Limitations and Caveats</w:t>
      </w:r>
      <w:r>
        <w:rPr>
          <w:rFonts w:hint="default"/>
          <w:b/>
          <w:bCs/>
          <w:color w:val="000000" w:themeColor="text1"/>
          <w:sz w:val="32"/>
          <w:szCs w:val="32"/>
          <w:lang w:val="en-US"/>
          <w14:textFill>
            <w14:solidFill>
              <w14:schemeClr w14:val="tx1"/>
            </w14:solidFill>
          </w14:textFill>
        </w:rPr>
        <w:fldChar w:fldCharType="end"/>
      </w:r>
    </w:p>
    <w:p w14:paraId="16E3A63E">
      <w:pPr>
        <w:numPr>
          <w:ilvl w:val="0"/>
          <w:numId w:val="1"/>
        </w:numPr>
        <w:spacing w:line="360" w:lineRule="auto"/>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fldChar w:fldCharType="begin"/>
      </w:r>
      <w:r>
        <w:rPr>
          <w:rFonts w:hint="default"/>
          <w:b/>
          <w:bCs/>
          <w:color w:val="000000" w:themeColor="text1"/>
          <w:sz w:val="32"/>
          <w:szCs w:val="32"/>
          <w:lang w:val="en-US"/>
          <w14:textFill>
            <w14:solidFill>
              <w14:schemeClr w14:val="tx1"/>
            </w14:solidFill>
          </w14:textFill>
        </w:rPr>
        <w:instrText xml:space="preserve"> HYPERLINK \l "FutureImpro" </w:instrText>
      </w:r>
      <w:r>
        <w:rPr>
          <w:rFonts w:hint="default"/>
          <w:b/>
          <w:bCs/>
          <w:color w:val="000000" w:themeColor="text1"/>
          <w:sz w:val="32"/>
          <w:szCs w:val="32"/>
          <w:lang w:val="en-US"/>
          <w14:textFill>
            <w14:solidFill>
              <w14:schemeClr w14:val="tx1"/>
            </w14:solidFill>
          </w14:textFill>
        </w:rPr>
        <w:fldChar w:fldCharType="separate"/>
      </w:r>
      <w:r>
        <w:rPr>
          <w:rStyle w:val="12"/>
          <w:rFonts w:hint="default"/>
          <w:b/>
          <w:bCs/>
          <w:color w:val="000000" w:themeColor="text1"/>
          <w:sz w:val="32"/>
          <w:szCs w:val="32"/>
          <w:lang w:val="en-US"/>
          <w14:textFill>
            <w14:solidFill>
              <w14:schemeClr w14:val="tx1"/>
            </w14:solidFill>
          </w14:textFill>
        </w:rPr>
        <w:t>Future Improvements</w:t>
      </w:r>
      <w:r>
        <w:rPr>
          <w:rFonts w:hint="default"/>
          <w:b/>
          <w:bCs/>
          <w:color w:val="000000" w:themeColor="text1"/>
          <w:sz w:val="32"/>
          <w:szCs w:val="32"/>
          <w:lang w:val="en-US"/>
          <w14:textFill>
            <w14:solidFill>
              <w14:schemeClr w14:val="tx1"/>
            </w14:solidFill>
          </w14:textFill>
        </w:rPr>
        <w:fldChar w:fldCharType="end"/>
      </w:r>
    </w:p>
    <w:p w14:paraId="2AF971E9">
      <w:pPr>
        <w:numPr>
          <w:ilvl w:val="0"/>
          <w:numId w:val="1"/>
        </w:numPr>
        <w:spacing w:line="360" w:lineRule="auto"/>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fldChar w:fldCharType="begin"/>
      </w:r>
      <w:r>
        <w:rPr>
          <w:rFonts w:hint="default"/>
          <w:b/>
          <w:bCs/>
          <w:color w:val="000000" w:themeColor="text1"/>
          <w:sz w:val="32"/>
          <w:szCs w:val="32"/>
          <w:lang w:val="en-US"/>
          <w14:textFill>
            <w14:solidFill>
              <w14:schemeClr w14:val="tx1"/>
            </w14:solidFill>
          </w14:textFill>
        </w:rPr>
        <w:instrText xml:space="preserve"> HYPERLINK \l "Reflec" </w:instrText>
      </w:r>
      <w:r>
        <w:rPr>
          <w:rFonts w:hint="default"/>
          <w:b/>
          <w:bCs/>
          <w:color w:val="000000" w:themeColor="text1"/>
          <w:sz w:val="32"/>
          <w:szCs w:val="32"/>
          <w:lang w:val="en-US"/>
          <w14:textFill>
            <w14:solidFill>
              <w14:schemeClr w14:val="tx1"/>
            </w14:solidFill>
          </w14:textFill>
        </w:rPr>
        <w:fldChar w:fldCharType="separate"/>
      </w:r>
      <w:r>
        <w:rPr>
          <w:rStyle w:val="12"/>
          <w:rFonts w:hint="default"/>
          <w:b/>
          <w:bCs/>
          <w:color w:val="000000" w:themeColor="text1"/>
          <w:sz w:val="32"/>
          <w:szCs w:val="32"/>
          <w:lang w:val="en-US"/>
          <w14:textFill>
            <w14:solidFill>
              <w14:schemeClr w14:val="tx1"/>
            </w14:solidFill>
          </w14:textFill>
        </w:rPr>
        <w:t>Reflection</w:t>
      </w:r>
      <w:r>
        <w:rPr>
          <w:rFonts w:hint="default"/>
          <w:b/>
          <w:bCs/>
          <w:color w:val="000000" w:themeColor="text1"/>
          <w:sz w:val="32"/>
          <w:szCs w:val="32"/>
          <w:lang w:val="en-US"/>
          <w14:textFill>
            <w14:solidFill>
              <w14:schemeClr w14:val="tx1"/>
            </w14:solidFill>
          </w14:textFill>
        </w:rPr>
        <w:fldChar w:fldCharType="end"/>
      </w:r>
    </w:p>
    <w:p w14:paraId="06791C18">
      <w:pPr>
        <w:numPr>
          <w:ilvl w:val="0"/>
          <w:numId w:val="1"/>
        </w:numPr>
        <w:spacing w:line="360" w:lineRule="auto"/>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fldChar w:fldCharType="begin"/>
      </w:r>
      <w:r>
        <w:rPr>
          <w:rFonts w:hint="default"/>
          <w:b/>
          <w:bCs/>
          <w:color w:val="000000" w:themeColor="text1"/>
          <w:sz w:val="32"/>
          <w:szCs w:val="32"/>
          <w:lang w:val="en-US"/>
          <w14:textFill>
            <w14:solidFill>
              <w14:schemeClr w14:val="tx1"/>
            </w14:solidFill>
          </w14:textFill>
        </w:rPr>
        <w:instrText xml:space="preserve"> HYPERLINK \l "AIUSage" </w:instrText>
      </w:r>
      <w:r>
        <w:rPr>
          <w:rFonts w:hint="default"/>
          <w:b/>
          <w:bCs/>
          <w:color w:val="000000" w:themeColor="text1"/>
          <w:sz w:val="32"/>
          <w:szCs w:val="32"/>
          <w:lang w:val="en-US"/>
          <w14:textFill>
            <w14:solidFill>
              <w14:schemeClr w14:val="tx1"/>
            </w14:solidFill>
          </w14:textFill>
        </w:rPr>
        <w:fldChar w:fldCharType="separate"/>
      </w:r>
      <w:r>
        <w:rPr>
          <w:rStyle w:val="12"/>
          <w:rFonts w:hint="default"/>
          <w:b/>
          <w:bCs/>
          <w:color w:val="000000" w:themeColor="text1"/>
          <w:sz w:val="32"/>
          <w:szCs w:val="32"/>
          <w:lang w:val="en-US"/>
          <w14:textFill>
            <w14:solidFill>
              <w14:schemeClr w14:val="tx1"/>
            </w14:solidFill>
          </w14:textFill>
        </w:rPr>
        <w:t>AI Usage Disclosure</w:t>
      </w:r>
      <w:r>
        <w:rPr>
          <w:rFonts w:hint="default"/>
          <w:b/>
          <w:bCs/>
          <w:color w:val="000000" w:themeColor="text1"/>
          <w:sz w:val="32"/>
          <w:szCs w:val="32"/>
          <w:lang w:val="en-US"/>
          <w14:textFill>
            <w14:solidFill>
              <w14:schemeClr w14:val="tx1"/>
            </w14:solidFill>
          </w14:textFill>
        </w:rPr>
        <w:fldChar w:fldCharType="end"/>
      </w:r>
    </w:p>
    <w:p w14:paraId="466E3F96">
      <w:pPr>
        <w:rPr>
          <w:rFonts w:hint="default"/>
          <w:b/>
          <w:bCs/>
          <w:sz w:val="40"/>
          <w:szCs w:val="40"/>
          <w:lang w:val="en-US"/>
        </w:rPr>
      </w:pPr>
      <w:r>
        <w:rPr>
          <w:rFonts w:hint="default"/>
          <w:b/>
          <w:bCs/>
          <w:sz w:val="40"/>
          <w:szCs w:val="40"/>
          <w:lang w:val="en-US"/>
        </w:rPr>
        <w:br w:type="page"/>
      </w:r>
    </w:p>
    <w:p w14:paraId="575F8847">
      <w:pPr>
        <w:numPr>
          <w:ilvl w:val="0"/>
          <w:numId w:val="2"/>
        </w:numPr>
        <w:rPr>
          <w:rFonts w:hint="default"/>
          <w:b/>
          <w:bCs/>
          <w:sz w:val="40"/>
          <w:szCs w:val="40"/>
          <w:u w:val="none"/>
          <w:lang w:val="en-US"/>
        </w:rPr>
      </w:pPr>
      <w:bookmarkStart w:id="0" w:name="ExecutiveSummary"/>
      <w:r>
        <w:rPr>
          <w:rFonts w:hint="default"/>
          <w:b/>
          <w:bCs/>
          <w:sz w:val="40"/>
          <w:szCs w:val="40"/>
          <w:u w:val="none"/>
          <w:lang w:val="en-US"/>
        </w:rPr>
        <w:t xml:space="preserve">Executive </w:t>
      </w:r>
      <w:bookmarkEnd w:id="0"/>
      <w:r>
        <w:rPr>
          <w:rFonts w:hint="default"/>
          <w:b/>
          <w:bCs/>
          <w:sz w:val="40"/>
          <w:szCs w:val="40"/>
          <w:u w:val="none"/>
          <w:lang w:val="en-US"/>
        </w:rPr>
        <w:t>Summary</w:t>
      </w:r>
    </w:p>
    <w:p w14:paraId="3616970B">
      <w:pPr>
        <w:rPr>
          <w:rFonts w:hint="default"/>
          <w:b/>
          <w:bCs/>
          <w:sz w:val="26"/>
          <w:szCs w:val="26"/>
          <w:u w:val="none"/>
          <w:lang w:val="en-US"/>
        </w:rPr>
      </w:pPr>
    </w:p>
    <w:p w14:paraId="656EE32B">
      <w:pPr>
        <w:rPr>
          <w:rFonts w:hint="default"/>
          <w:b/>
          <w:bCs/>
          <w:sz w:val="26"/>
          <w:szCs w:val="26"/>
          <w:u w:val="none"/>
          <w:lang w:val="en-US"/>
        </w:rPr>
      </w:pPr>
      <w:r>
        <w:rPr>
          <w:rFonts w:hint="default"/>
          <w:b/>
          <w:bCs/>
          <w:sz w:val="26"/>
          <w:szCs w:val="26"/>
          <w:u w:val="none"/>
          <w:lang w:val="en-US"/>
        </w:rPr>
        <w:t>1.1 Dataset Overview</w:t>
      </w:r>
    </w:p>
    <w:p w14:paraId="466C01FB">
      <w:pPr>
        <w:rPr>
          <w:rFonts w:hint="default"/>
          <w:b/>
          <w:bCs/>
          <w:sz w:val="26"/>
          <w:szCs w:val="26"/>
          <w:u w:val="none"/>
          <w:lang w:val="en-US"/>
        </w:rPr>
      </w:pPr>
    </w:p>
    <w:p w14:paraId="57A56B62">
      <w:pPr>
        <w:rPr>
          <w:rFonts w:hint="default"/>
          <w:b w:val="0"/>
          <w:bCs w:val="0"/>
          <w:sz w:val="26"/>
          <w:szCs w:val="26"/>
          <w:u w:val="none"/>
          <w:lang w:val="en-US"/>
        </w:rPr>
      </w:pPr>
      <w:r>
        <w:rPr>
          <w:rFonts w:hint="default"/>
          <w:b w:val="0"/>
          <w:bCs w:val="0"/>
          <w:sz w:val="26"/>
          <w:szCs w:val="26"/>
          <w:u w:val="none"/>
          <w:lang w:val="en-US"/>
        </w:rPr>
        <w:t>This report analyzes the London Airbnb dataset through three key phases: dataset familiarization, data engineering, and exploratory data analysis. The dataset comprises over 96,000 listings, 35 million calendar records, and 2 million reviews, providing comprehensive insight into listing characteristics, host behavior, pricing patterns, availability, and customer engagement across London. During the familiarization phase, the dataset structure, relationships, primary and foreign keys, and business context were examined to establish a foundation for subsequent analysis.</w:t>
      </w:r>
    </w:p>
    <w:p w14:paraId="304F641A">
      <w:pPr>
        <w:rPr>
          <w:rFonts w:hint="default"/>
          <w:b w:val="0"/>
          <w:bCs w:val="0"/>
          <w:sz w:val="26"/>
          <w:szCs w:val="26"/>
          <w:u w:val="none"/>
          <w:lang w:val="en-US"/>
        </w:rPr>
      </w:pPr>
    </w:p>
    <w:p w14:paraId="6F2B7F54">
      <w:pPr>
        <w:rPr>
          <w:rFonts w:hint="default"/>
          <w:b/>
          <w:bCs/>
          <w:sz w:val="26"/>
          <w:szCs w:val="26"/>
          <w:u w:val="none"/>
          <w:lang w:val="en-US"/>
        </w:rPr>
      </w:pPr>
      <w:r>
        <w:rPr>
          <w:rFonts w:hint="default"/>
          <w:b/>
          <w:bCs/>
          <w:sz w:val="26"/>
          <w:szCs w:val="26"/>
          <w:u w:val="none"/>
          <w:lang w:val="en-US"/>
        </w:rPr>
        <w:t>1.2 Data Quality and Engineering</w:t>
      </w:r>
    </w:p>
    <w:p w14:paraId="452BAECA">
      <w:pPr>
        <w:rPr>
          <w:rFonts w:hint="default"/>
          <w:b/>
          <w:bCs/>
          <w:sz w:val="26"/>
          <w:szCs w:val="26"/>
          <w:u w:val="none"/>
          <w:lang w:val="en-US"/>
        </w:rPr>
      </w:pPr>
    </w:p>
    <w:p w14:paraId="546E2E1A">
      <w:pPr>
        <w:rPr>
          <w:rFonts w:hint="default"/>
          <w:b w:val="0"/>
          <w:bCs w:val="0"/>
          <w:sz w:val="26"/>
          <w:szCs w:val="26"/>
          <w:u w:val="none"/>
          <w:lang w:val="en-US"/>
        </w:rPr>
      </w:pPr>
      <w:r>
        <w:rPr>
          <w:rFonts w:hint="default"/>
          <w:b w:val="0"/>
          <w:bCs w:val="0"/>
          <w:sz w:val="26"/>
          <w:szCs w:val="26"/>
          <w:u w:val="none"/>
          <w:lang w:val="en-US"/>
        </w:rPr>
        <w:t>The data engineering process focused on profiling dataset attributes, identifying relationships between tables, and evaluating overall data quality. Several challenges were identified, including missing values in critical attributes such as price, neighbourhood information, and licensing data, as well as inconsistencies in data types and ambiguous fields across multiple files. While the majority of records were complete and suitable for analysis, these quality issues highlighted the importance of data cleansing and standardization to ensure reliable analytical outcomes and improve the accuracy of future predictive models.</w:t>
      </w:r>
    </w:p>
    <w:p w14:paraId="31B24141">
      <w:pPr>
        <w:rPr>
          <w:rFonts w:hint="default"/>
          <w:b w:val="0"/>
          <w:bCs w:val="0"/>
          <w:sz w:val="26"/>
          <w:szCs w:val="26"/>
          <w:u w:val="none"/>
          <w:lang w:val="en-US"/>
        </w:rPr>
      </w:pPr>
    </w:p>
    <w:p w14:paraId="7C4FD089">
      <w:pPr>
        <w:rPr>
          <w:rFonts w:hint="default"/>
          <w:b/>
          <w:bCs/>
          <w:sz w:val="26"/>
          <w:szCs w:val="26"/>
          <w:u w:val="none"/>
          <w:lang w:val="en-US"/>
        </w:rPr>
      </w:pPr>
      <w:r>
        <w:rPr>
          <w:rFonts w:hint="default"/>
          <w:b/>
          <w:bCs/>
          <w:sz w:val="26"/>
          <w:szCs w:val="26"/>
          <w:u w:val="none"/>
          <w:lang w:val="en-US"/>
        </w:rPr>
        <w:t>1.3 Key Analytical Findings</w:t>
      </w:r>
    </w:p>
    <w:p w14:paraId="5D268056">
      <w:pPr>
        <w:rPr>
          <w:rFonts w:hint="default"/>
          <w:b/>
          <w:bCs/>
          <w:sz w:val="26"/>
          <w:szCs w:val="26"/>
          <w:u w:val="none"/>
          <w:lang w:val="en-US"/>
        </w:rPr>
      </w:pPr>
    </w:p>
    <w:p w14:paraId="0ABA2A7B">
      <w:pPr>
        <w:rPr>
          <w:rFonts w:hint="default"/>
          <w:b w:val="0"/>
          <w:bCs w:val="0"/>
          <w:sz w:val="26"/>
          <w:szCs w:val="26"/>
          <w:u w:val="none"/>
          <w:lang w:val="en-US"/>
        </w:rPr>
      </w:pPr>
      <w:r>
        <w:rPr>
          <w:rFonts w:hint="default"/>
          <w:b w:val="0"/>
          <w:bCs w:val="0"/>
          <w:sz w:val="26"/>
          <w:szCs w:val="26"/>
          <w:u w:val="none"/>
          <w:lang w:val="en-US"/>
        </w:rPr>
        <w:t>Exploratory data analysis revealed significant variation in pricing across London boroughs, room types, and property categories. Premium central locations such as Westminster and Kensington &amp; Chelsea consistently commanded higher prices, while outer boroughs offered more affordable accommodation options. The market demonstrated a strong right-skewed distribution, where a relatively small number of luxury properties and professional hosts generated a disproportionate share of listings and revenue. Seasonal analysis further indicated that host minimum-night requirements remain relatively stable throughout the year, despite fluctuations in demand and occupancy levels.</w:t>
      </w:r>
    </w:p>
    <w:p w14:paraId="581E3007">
      <w:pPr>
        <w:rPr>
          <w:rFonts w:hint="default"/>
          <w:b w:val="0"/>
          <w:bCs w:val="0"/>
          <w:sz w:val="26"/>
          <w:szCs w:val="26"/>
          <w:u w:val="none"/>
          <w:lang w:val="en-US"/>
        </w:rPr>
      </w:pPr>
    </w:p>
    <w:p w14:paraId="4C48D0F8">
      <w:pPr>
        <w:rPr>
          <w:rFonts w:hint="default"/>
          <w:b/>
          <w:bCs/>
          <w:sz w:val="26"/>
          <w:szCs w:val="26"/>
          <w:u w:val="none"/>
          <w:lang w:val="en-US"/>
        </w:rPr>
      </w:pPr>
      <w:r>
        <w:rPr>
          <w:rFonts w:hint="default"/>
          <w:b/>
          <w:bCs/>
          <w:sz w:val="26"/>
          <w:szCs w:val="26"/>
          <w:u w:val="none"/>
          <w:lang w:val="en-US"/>
        </w:rPr>
        <w:t>1.4 Business Insights</w:t>
      </w:r>
    </w:p>
    <w:p w14:paraId="305170E8">
      <w:pPr>
        <w:rPr>
          <w:rFonts w:hint="default"/>
          <w:b/>
          <w:bCs/>
          <w:sz w:val="26"/>
          <w:szCs w:val="26"/>
          <w:u w:val="none"/>
          <w:lang w:val="en-US"/>
        </w:rPr>
      </w:pPr>
    </w:p>
    <w:p w14:paraId="0F11200B">
      <w:pPr>
        <w:rPr>
          <w:rFonts w:hint="default"/>
          <w:b w:val="0"/>
          <w:bCs w:val="0"/>
          <w:sz w:val="26"/>
          <w:szCs w:val="26"/>
          <w:u w:val="none"/>
          <w:lang w:val="en-US"/>
        </w:rPr>
      </w:pPr>
      <w:r>
        <w:rPr>
          <w:rFonts w:hint="default"/>
          <w:b w:val="0"/>
          <w:bCs w:val="0"/>
          <w:sz w:val="26"/>
          <w:szCs w:val="26"/>
          <w:u w:val="none"/>
          <w:lang w:val="en-US"/>
        </w:rPr>
        <w:t>The findings highlight a highly concentrated marketplace where professional multi-property operators control a substantial portion of available inventory, despite single-property hosts representing the majority of host accounts. Furthermore, listings with competitive pricing structures were observed to attract higher review volumes and stronger booking activity, emphasizing the relationship between affordability and market performance. Overall, the analysis provides valuable insight into the operational structure, pricing dynamics, and supply-side characteristics of the London Airbnb ecosystem while demonstrating the importance of robust data preparation practices in supporting data-driven decision-making.</w:t>
      </w:r>
    </w:p>
    <w:p w14:paraId="444D8988">
      <w:pPr>
        <w:numPr>
          <w:ilvl w:val="0"/>
          <w:numId w:val="2"/>
        </w:numPr>
        <w:ind w:left="0" w:leftChars="0" w:firstLine="0" w:firstLineChars="0"/>
        <w:rPr>
          <w:rFonts w:hint="default"/>
          <w:b/>
          <w:bCs/>
          <w:sz w:val="40"/>
          <w:szCs w:val="40"/>
          <w:u w:val="none"/>
          <w:lang w:val="en-US"/>
        </w:rPr>
      </w:pPr>
      <w:bookmarkStart w:id="1" w:name="ScopeObjectives"/>
      <w:r>
        <w:rPr>
          <w:rFonts w:hint="default"/>
          <w:b/>
          <w:bCs/>
          <w:sz w:val="40"/>
          <w:szCs w:val="40"/>
          <w:u w:val="none"/>
          <w:lang w:val="en-US"/>
        </w:rPr>
        <w:t>Scope and Objectives</w:t>
      </w:r>
    </w:p>
    <w:bookmarkEnd w:id="1"/>
    <w:p w14:paraId="12993D65">
      <w:pPr>
        <w:rPr>
          <w:rFonts w:hint="default"/>
          <w:b w:val="0"/>
          <w:bCs w:val="0"/>
          <w:sz w:val="26"/>
          <w:szCs w:val="26"/>
          <w:u w:val="none"/>
          <w:lang w:val="en-US"/>
        </w:rPr>
      </w:pPr>
    </w:p>
    <w:p w14:paraId="0D0C7648">
      <w:pPr>
        <w:rPr>
          <w:rFonts w:hint="default"/>
          <w:b/>
          <w:bCs/>
          <w:sz w:val="26"/>
          <w:szCs w:val="26"/>
          <w:u w:val="none"/>
          <w:lang w:val="en-US"/>
        </w:rPr>
      </w:pPr>
      <w:r>
        <w:rPr>
          <w:rFonts w:hint="default"/>
          <w:b/>
          <w:bCs/>
          <w:sz w:val="26"/>
          <w:szCs w:val="26"/>
          <w:u w:val="none"/>
          <w:lang w:val="en-US"/>
        </w:rPr>
        <w:t>2.1 Scope</w:t>
      </w:r>
    </w:p>
    <w:p w14:paraId="14C6B263">
      <w:pPr>
        <w:rPr>
          <w:rFonts w:hint="default"/>
          <w:b/>
          <w:bCs/>
          <w:sz w:val="26"/>
          <w:szCs w:val="26"/>
          <w:u w:val="none"/>
          <w:lang w:val="en-US"/>
        </w:rPr>
      </w:pPr>
    </w:p>
    <w:p w14:paraId="660A597C">
      <w:pPr>
        <w:rPr>
          <w:rFonts w:hint="default"/>
          <w:b w:val="0"/>
          <w:bCs w:val="0"/>
          <w:sz w:val="26"/>
          <w:szCs w:val="26"/>
          <w:u w:val="none"/>
          <w:lang w:val="en-US"/>
        </w:rPr>
      </w:pPr>
      <w:r>
        <w:rPr>
          <w:rFonts w:hint="default"/>
          <w:b w:val="0"/>
          <w:bCs w:val="0"/>
          <w:sz w:val="26"/>
          <w:szCs w:val="26"/>
          <w:u w:val="none"/>
          <w:lang w:val="en-US"/>
        </w:rPr>
        <w:t>The scope of this study encompasses the analysis of the London Airbnb dataset using a structured data analytics workflow consisting of dataset familiarization, data engineering, and exploratory data analysis. The project focuses on understanding the dataset structure, identifying relationships between multiple data sources, evaluating data quality, and preparing the data for analytical use. The analysis covers key aspects of the Airbnb marketplace, including listings, pricing, neighbourhoods, host characteristics, availability patterns, and customer reviews. The study is limited to the data available within the provided dataset and does not incorporate external market, economic, or demographic factors.</w:t>
      </w:r>
    </w:p>
    <w:p w14:paraId="2E510B8A">
      <w:pPr>
        <w:rPr>
          <w:rFonts w:hint="default"/>
          <w:b w:val="0"/>
          <w:bCs w:val="0"/>
          <w:sz w:val="26"/>
          <w:szCs w:val="26"/>
          <w:u w:val="none"/>
          <w:lang w:val="en-US"/>
        </w:rPr>
      </w:pPr>
    </w:p>
    <w:p w14:paraId="1B2CA83A">
      <w:pPr>
        <w:rPr>
          <w:rFonts w:hint="default"/>
          <w:b/>
          <w:bCs/>
          <w:sz w:val="26"/>
          <w:szCs w:val="26"/>
          <w:u w:val="none"/>
          <w:lang w:val="en-US"/>
        </w:rPr>
      </w:pPr>
      <w:r>
        <w:rPr>
          <w:rFonts w:hint="default"/>
          <w:b/>
          <w:bCs/>
          <w:sz w:val="26"/>
          <w:szCs w:val="26"/>
          <w:u w:val="none"/>
          <w:lang w:val="en-US"/>
        </w:rPr>
        <w:t>2.2 Objectives</w:t>
      </w:r>
    </w:p>
    <w:p w14:paraId="5AD6C6E0">
      <w:pPr>
        <w:rPr>
          <w:rFonts w:hint="default"/>
          <w:b/>
          <w:bCs/>
          <w:sz w:val="26"/>
          <w:szCs w:val="26"/>
          <w:u w:val="none"/>
          <w:lang w:val="en-US"/>
        </w:rPr>
      </w:pPr>
    </w:p>
    <w:p w14:paraId="656918CB">
      <w:pPr>
        <w:rPr>
          <w:rFonts w:hint="default"/>
          <w:b w:val="0"/>
          <w:bCs w:val="0"/>
          <w:sz w:val="26"/>
          <w:szCs w:val="26"/>
          <w:u w:val="none"/>
          <w:lang w:val="en-US"/>
        </w:rPr>
      </w:pPr>
      <w:r>
        <w:rPr>
          <w:rFonts w:hint="default"/>
          <w:b w:val="0"/>
          <w:bCs w:val="0"/>
          <w:sz w:val="26"/>
          <w:szCs w:val="26"/>
          <w:u w:val="none"/>
          <w:lang w:val="en-US"/>
        </w:rPr>
        <w:t>The primary objective of this project is to derive meaningful business and operational insights from the London Airbnb dataset through systematic data exploration and analysis. Specific objectives include understanding the dataset schema and business context, identifying data quality issues and inconsistencies, establishing relationships between data entities, and evaluating the suitability of the dataset for analytical and predictive purposes. Furthermore, the project aims to investigate pricing behavior across different neighbourhoods and property types, examine host and listing characteristics, analyze seasonal trends and market dynamics, and identify factors that influence listing performance and customer engagement. Ultimately, the study seeks to provide data-driven insights that support informed decision-making and demonstrate the practical application of data engineering and analytical techniques in a real-world marketplace environment.</w:t>
      </w:r>
    </w:p>
    <w:p w14:paraId="023D8E92">
      <w:pPr>
        <w:rPr>
          <w:rFonts w:hint="default"/>
          <w:b w:val="0"/>
          <w:bCs w:val="0"/>
          <w:sz w:val="26"/>
          <w:szCs w:val="26"/>
          <w:u w:val="none"/>
          <w:lang w:val="en-US"/>
        </w:rPr>
      </w:pPr>
    </w:p>
    <w:p w14:paraId="3B4F2EC9">
      <w:pPr>
        <w:rPr>
          <w:rFonts w:hint="default"/>
          <w:b w:val="0"/>
          <w:bCs w:val="0"/>
          <w:sz w:val="26"/>
          <w:szCs w:val="26"/>
          <w:u w:val="none"/>
          <w:lang w:val="en-US"/>
        </w:rPr>
      </w:pPr>
    </w:p>
    <w:p w14:paraId="2167370B">
      <w:pPr>
        <w:rPr>
          <w:rFonts w:hint="default"/>
          <w:b w:val="0"/>
          <w:bCs w:val="0"/>
          <w:sz w:val="26"/>
          <w:szCs w:val="26"/>
          <w:u w:val="none"/>
          <w:lang w:val="en-US"/>
        </w:rPr>
      </w:pPr>
    </w:p>
    <w:p w14:paraId="36B38E5C">
      <w:pPr>
        <w:rPr>
          <w:rFonts w:hint="default"/>
          <w:b w:val="0"/>
          <w:bCs w:val="0"/>
          <w:sz w:val="26"/>
          <w:szCs w:val="26"/>
          <w:u w:val="none"/>
          <w:lang w:val="en-US"/>
        </w:rPr>
      </w:pPr>
    </w:p>
    <w:p w14:paraId="1BB72457">
      <w:pPr>
        <w:rPr>
          <w:rFonts w:hint="default"/>
          <w:b w:val="0"/>
          <w:bCs w:val="0"/>
          <w:sz w:val="26"/>
          <w:szCs w:val="26"/>
          <w:u w:val="none"/>
          <w:lang w:val="en-US"/>
        </w:rPr>
      </w:pPr>
    </w:p>
    <w:p w14:paraId="5DD26F1E">
      <w:pPr>
        <w:rPr>
          <w:rFonts w:hint="default"/>
          <w:b w:val="0"/>
          <w:bCs w:val="0"/>
          <w:sz w:val="26"/>
          <w:szCs w:val="26"/>
          <w:u w:val="none"/>
          <w:lang w:val="en-US"/>
        </w:rPr>
      </w:pPr>
    </w:p>
    <w:p w14:paraId="13AC1F4E">
      <w:pPr>
        <w:rPr>
          <w:rFonts w:hint="default"/>
          <w:b w:val="0"/>
          <w:bCs w:val="0"/>
          <w:sz w:val="26"/>
          <w:szCs w:val="26"/>
          <w:u w:val="none"/>
          <w:lang w:val="en-US"/>
        </w:rPr>
      </w:pPr>
    </w:p>
    <w:p w14:paraId="3DA20EE0">
      <w:pPr>
        <w:rPr>
          <w:rFonts w:hint="default"/>
          <w:b w:val="0"/>
          <w:bCs w:val="0"/>
          <w:sz w:val="26"/>
          <w:szCs w:val="26"/>
          <w:u w:val="none"/>
          <w:lang w:val="en-US"/>
        </w:rPr>
      </w:pPr>
    </w:p>
    <w:p w14:paraId="721B7E06">
      <w:pPr>
        <w:rPr>
          <w:rFonts w:hint="default"/>
          <w:b w:val="0"/>
          <w:bCs w:val="0"/>
          <w:sz w:val="26"/>
          <w:szCs w:val="26"/>
          <w:u w:val="none"/>
          <w:lang w:val="en-US"/>
        </w:rPr>
      </w:pPr>
    </w:p>
    <w:p w14:paraId="55A80C16">
      <w:pPr>
        <w:rPr>
          <w:rFonts w:hint="default"/>
          <w:b w:val="0"/>
          <w:bCs w:val="0"/>
          <w:sz w:val="26"/>
          <w:szCs w:val="26"/>
          <w:u w:val="none"/>
          <w:lang w:val="en-US"/>
        </w:rPr>
      </w:pPr>
    </w:p>
    <w:p w14:paraId="1BD5E563">
      <w:pPr>
        <w:rPr>
          <w:rFonts w:hint="default"/>
          <w:b w:val="0"/>
          <w:bCs w:val="0"/>
          <w:sz w:val="26"/>
          <w:szCs w:val="26"/>
          <w:u w:val="none"/>
          <w:lang w:val="en-US"/>
        </w:rPr>
      </w:pPr>
    </w:p>
    <w:p w14:paraId="658D1517">
      <w:pPr>
        <w:rPr>
          <w:rFonts w:hint="default"/>
          <w:b w:val="0"/>
          <w:bCs w:val="0"/>
          <w:sz w:val="26"/>
          <w:szCs w:val="26"/>
          <w:u w:val="none"/>
          <w:lang w:val="en-US"/>
        </w:rPr>
      </w:pPr>
    </w:p>
    <w:p w14:paraId="6036DBD5">
      <w:pPr>
        <w:rPr>
          <w:rFonts w:hint="default"/>
          <w:b w:val="0"/>
          <w:bCs w:val="0"/>
          <w:sz w:val="26"/>
          <w:szCs w:val="26"/>
          <w:u w:val="none"/>
          <w:lang w:val="en-US"/>
        </w:rPr>
      </w:pPr>
    </w:p>
    <w:p w14:paraId="07B0BA05">
      <w:pPr>
        <w:rPr>
          <w:rFonts w:hint="default"/>
          <w:b w:val="0"/>
          <w:bCs w:val="0"/>
          <w:sz w:val="26"/>
          <w:szCs w:val="26"/>
          <w:u w:val="none"/>
          <w:lang w:val="en-US"/>
        </w:rPr>
      </w:pPr>
    </w:p>
    <w:p w14:paraId="796AFB61">
      <w:pPr>
        <w:rPr>
          <w:rFonts w:hint="default"/>
          <w:b w:val="0"/>
          <w:bCs w:val="0"/>
          <w:sz w:val="26"/>
          <w:szCs w:val="26"/>
          <w:u w:val="none"/>
          <w:lang w:val="en-US"/>
        </w:rPr>
      </w:pPr>
    </w:p>
    <w:p w14:paraId="3B816EB3">
      <w:pPr>
        <w:rPr>
          <w:rFonts w:hint="default"/>
          <w:b w:val="0"/>
          <w:bCs w:val="0"/>
          <w:sz w:val="26"/>
          <w:szCs w:val="26"/>
          <w:u w:val="none"/>
          <w:lang w:val="en-US"/>
        </w:rPr>
      </w:pPr>
    </w:p>
    <w:p w14:paraId="61D99FCA">
      <w:pPr>
        <w:rPr>
          <w:rFonts w:hint="default"/>
          <w:b w:val="0"/>
          <w:bCs w:val="0"/>
          <w:sz w:val="26"/>
          <w:szCs w:val="26"/>
          <w:u w:val="none"/>
          <w:lang w:val="en-US"/>
        </w:rPr>
      </w:pPr>
    </w:p>
    <w:p w14:paraId="13B03FBB">
      <w:pPr>
        <w:numPr>
          <w:ilvl w:val="0"/>
          <w:numId w:val="2"/>
        </w:numPr>
        <w:ind w:left="0" w:leftChars="0" w:firstLine="0" w:firstLineChars="0"/>
        <w:rPr>
          <w:rFonts w:hint="default"/>
          <w:b w:val="0"/>
          <w:bCs w:val="0"/>
          <w:sz w:val="40"/>
          <w:szCs w:val="40"/>
          <w:u w:val="none"/>
          <w:lang w:val="en-US"/>
        </w:rPr>
      </w:pPr>
      <w:bookmarkStart w:id="2" w:name="DatasetOverview"/>
      <w:r>
        <w:rPr>
          <w:rFonts w:hint="default"/>
          <w:b/>
          <w:bCs/>
          <w:sz w:val="40"/>
          <w:szCs w:val="40"/>
          <w:u w:val="none"/>
          <w:lang w:val="en-US"/>
        </w:rPr>
        <w:t>Dataset Overview</w:t>
      </w:r>
    </w:p>
    <w:bookmarkEnd w:id="2"/>
    <w:p w14:paraId="0ACA377C">
      <w:pPr>
        <w:widowControl w:val="0"/>
        <w:numPr>
          <w:numId w:val="0"/>
        </w:numPr>
        <w:jc w:val="both"/>
        <w:rPr>
          <w:rFonts w:hint="default"/>
          <w:b w:val="0"/>
          <w:bCs w:val="0"/>
          <w:sz w:val="26"/>
          <w:szCs w:val="26"/>
          <w:u w:val="none"/>
          <w:lang w:val="en-US"/>
        </w:rPr>
      </w:pPr>
    </w:p>
    <w:p w14:paraId="7A014E73">
      <w:pPr>
        <w:widowControl w:val="0"/>
        <w:numPr>
          <w:numId w:val="0"/>
        </w:numPr>
        <w:jc w:val="both"/>
        <w:rPr>
          <w:rFonts w:hint="default"/>
          <w:b w:val="0"/>
          <w:bCs w:val="0"/>
          <w:sz w:val="26"/>
          <w:szCs w:val="26"/>
          <w:u w:val="none"/>
          <w:lang w:val="en-US"/>
        </w:rPr>
      </w:pPr>
      <w:r>
        <w:rPr>
          <w:rFonts w:hint="default"/>
          <w:b w:val="0"/>
          <w:bCs w:val="0"/>
          <w:sz w:val="26"/>
          <w:szCs w:val="26"/>
          <w:u w:val="none"/>
          <w:lang w:val="en-US" w:eastAsia="zh-CN"/>
        </w:rPr>
        <w:t xml:space="preserve">The dataset provides a comprehensive, multi-layered snapshot of the London short-term rental market as of September 2025. It is structured to capture listing-level details, temporal availability, and historical guest engagement, providing a sufficient foundation for market analysis, provided that specific data quality gaps are addressed. </w:t>
      </w:r>
    </w:p>
    <w:p w14:paraId="13C30040">
      <w:pPr>
        <w:widowControl w:val="0"/>
        <w:numPr>
          <w:numId w:val="0"/>
        </w:numPr>
        <w:jc w:val="both"/>
        <w:rPr>
          <w:rFonts w:hint="default"/>
          <w:b w:val="0"/>
          <w:bCs w:val="0"/>
          <w:sz w:val="26"/>
          <w:szCs w:val="26"/>
          <w:u w:val="none"/>
          <w:lang w:val="en-US"/>
        </w:rPr>
      </w:pPr>
    </w:p>
    <w:p w14:paraId="263347A1">
      <w:pPr>
        <w:widowControl w:val="0"/>
        <w:numPr>
          <w:numId w:val="0"/>
        </w:numPr>
        <w:jc w:val="both"/>
        <w:rPr>
          <w:rFonts w:hint="default"/>
          <w:b w:val="0"/>
          <w:bCs w:val="0"/>
          <w:sz w:val="26"/>
          <w:szCs w:val="26"/>
          <w:u w:val="none"/>
          <w:lang w:val="en-US" w:eastAsia="zh-CN"/>
        </w:rPr>
      </w:pPr>
      <w:r>
        <w:rPr>
          <w:rFonts w:hint="default"/>
          <w:b/>
          <w:bCs/>
          <w:sz w:val="26"/>
          <w:szCs w:val="26"/>
          <w:u w:val="none"/>
          <w:lang w:val="en-US"/>
        </w:rPr>
        <w:t>3.1 Core File Inventory</w:t>
      </w:r>
    </w:p>
    <w:p w14:paraId="36C2EA0E">
      <w:pPr>
        <w:widowControl w:val="0"/>
        <w:numPr>
          <w:numId w:val="0"/>
        </w:numPr>
        <w:jc w:val="both"/>
        <w:rPr>
          <w:rFonts w:hint="default"/>
          <w:b w:val="0"/>
          <w:bCs w:val="0"/>
          <w:sz w:val="26"/>
          <w:szCs w:val="26"/>
          <w:u w:val="none"/>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437"/>
        <w:gridCol w:w="6397"/>
        <w:gridCol w:w="1682"/>
      </w:tblGrid>
      <w:tr w14:paraId="79991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7" w:type="dxa"/>
          </w:tcPr>
          <w:p w14:paraId="04300159">
            <w:pPr>
              <w:widowControl w:val="0"/>
              <w:numPr>
                <w:numId w:val="0"/>
              </w:numPr>
              <w:jc w:val="both"/>
              <w:rPr>
                <w:rFonts w:hint="default"/>
                <w:b/>
                <w:bCs/>
                <w:sz w:val="26"/>
                <w:szCs w:val="26"/>
                <w:u w:val="none"/>
                <w:vertAlign w:val="baseline"/>
                <w:lang w:val="en-US" w:eastAsia="zh-CN"/>
              </w:rPr>
            </w:pPr>
            <w:r>
              <w:rPr>
                <w:rFonts w:hint="default"/>
                <w:b/>
                <w:bCs/>
                <w:sz w:val="26"/>
                <w:szCs w:val="26"/>
                <w:u w:val="none"/>
                <w:vertAlign w:val="baseline"/>
                <w:lang w:val="en-US" w:eastAsia="zh-CN"/>
              </w:rPr>
              <w:t>Name</w:t>
            </w:r>
          </w:p>
        </w:tc>
        <w:tc>
          <w:tcPr>
            <w:tcW w:w="6397" w:type="dxa"/>
          </w:tcPr>
          <w:p w14:paraId="73720D9C">
            <w:pPr>
              <w:widowControl w:val="0"/>
              <w:numPr>
                <w:numId w:val="0"/>
              </w:numPr>
              <w:jc w:val="both"/>
              <w:rPr>
                <w:rFonts w:hint="default"/>
                <w:b/>
                <w:bCs/>
                <w:sz w:val="26"/>
                <w:szCs w:val="26"/>
                <w:u w:val="none"/>
                <w:vertAlign w:val="baseline"/>
                <w:lang w:val="en-US" w:eastAsia="zh-CN"/>
              </w:rPr>
            </w:pPr>
            <w:r>
              <w:rPr>
                <w:rFonts w:hint="default"/>
                <w:b/>
                <w:bCs/>
                <w:sz w:val="26"/>
                <w:szCs w:val="26"/>
                <w:u w:val="none"/>
                <w:vertAlign w:val="baseline"/>
                <w:lang w:val="en-US" w:eastAsia="zh-CN"/>
              </w:rPr>
              <w:t>Content</w:t>
            </w:r>
          </w:p>
        </w:tc>
        <w:tc>
          <w:tcPr>
            <w:tcW w:w="1682" w:type="dxa"/>
          </w:tcPr>
          <w:p w14:paraId="6BBEC5E4">
            <w:pPr>
              <w:widowControl w:val="0"/>
              <w:numPr>
                <w:numId w:val="0"/>
              </w:numPr>
              <w:jc w:val="both"/>
              <w:rPr>
                <w:rFonts w:hint="default"/>
                <w:b/>
                <w:bCs/>
                <w:sz w:val="26"/>
                <w:szCs w:val="26"/>
                <w:u w:val="none"/>
                <w:vertAlign w:val="baseline"/>
                <w:lang w:val="en-US" w:eastAsia="zh-CN"/>
              </w:rPr>
            </w:pPr>
            <w:r>
              <w:rPr>
                <w:rFonts w:hint="default"/>
                <w:b/>
                <w:bCs/>
                <w:sz w:val="26"/>
                <w:szCs w:val="26"/>
                <w:u w:val="none"/>
                <w:vertAlign w:val="baseline"/>
                <w:lang w:val="en-US" w:eastAsia="zh-CN"/>
              </w:rPr>
              <w:t>Rows</w:t>
            </w:r>
          </w:p>
        </w:tc>
      </w:tr>
      <w:tr w14:paraId="7D35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7" w:type="dxa"/>
          </w:tcPr>
          <w:p w14:paraId="5C5510CC">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lang w:val="en-US"/>
              </w:rPr>
              <w:t>Calendar.csv.gz</w:t>
            </w:r>
          </w:p>
        </w:tc>
        <w:tc>
          <w:tcPr>
            <w:tcW w:w="6397" w:type="dxa"/>
          </w:tcPr>
          <w:p w14:paraId="76F72BD7">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lang w:val="en-US"/>
              </w:rPr>
              <w:t>Forward-looking availability and night-count policy</w:t>
            </w:r>
          </w:p>
        </w:tc>
        <w:tc>
          <w:tcPr>
            <w:tcW w:w="1682" w:type="dxa"/>
          </w:tcPr>
          <w:p w14:paraId="5E9E7C84">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lang w:val="en-US" w:eastAsia="zh-CN"/>
              </w:rPr>
              <w:t xml:space="preserve">35,357,974 </w:t>
            </w:r>
          </w:p>
        </w:tc>
      </w:tr>
      <w:tr w14:paraId="66AB6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7" w:type="dxa"/>
          </w:tcPr>
          <w:p w14:paraId="4CD6EA76">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Listings.csv.gz</w:t>
            </w:r>
          </w:p>
        </w:tc>
        <w:tc>
          <w:tcPr>
            <w:tcW w:w="6397" w:type="dxa"/>
          </w:tcPr>
          <w:p w14:paraId="42D299FB">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Master inventory with host details and property attributes</w:t>
            </w:r>
          </w:p>
        </w:tc>
        <w:tc>
          <w:tcPr>
            <w:tcW w:w="1682" w:type="dxa"/>
          </w:tcPr>
          <w:p w14:paraId="06B08F87">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96,871</w:t>
            </w:r>
          </w:p>
        </w:tc>
      </w:tr>
      <w:tr w14:paraId="34F3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7" w:type="dxa"/>
          </w:tcPr>
          <w:p w14:paraId="2725AEE2">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Reviews.csv.gz</w:t>
            </w:r>
          </w:p>
        </w:tc>
        <w:tc>
          <w:tcPr>
            <w:tcW w:w="6397" w:type="dxa"/>
          </w:tcPr>
          <w:p w14:paraId="2CE35873">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Historical guest feedback and engagement velocity</w:t>
            </w:r>
          </w:p>
        </w:tc>
        <w:tc>
          <w:tcPr>
            <w:tcW w:w="1682" w:type="dxa"/>
          </w:tcPr>
          <w:p w14:paraId="056E4E43">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2,097,996</w:t>
            </w:r>
          </w:p>
        </w:tc>
      </w:tr>
      <w:tr w14:paraId="4A42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7" w:type="dxa"/>
          </w:tcPr>
          <w:p w14:paraId="1BF01DA6">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Listings.csv</w:t>
            </w:r>
          </w:p>
        </w:tc>
        <w:tc>
          <w:tcPr>
            <w:tcW w:w="6397" w:type="dxa"/>
          </w:tcPr>
          <w:p w14:paraId="49C15B4C">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Summarized version of listings.csv.gz</w:t>
            </w:r>
          </w:p>
        </w:tc>
        <w:tc>
          <w:tcPr>
            <w:tcW w:w="1682" w:type="dxa"/>
          </w:tcPr>
          <w:p w14:paraId="0937142A">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96,871</w:t>
            </w:r>
          </w:p>
        </w:tc>
      </w:tr>
      <w:tr w14:paraId="7994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7" w:type="dxa"/>
          </w:tcPr>
          <w:p w14:paraId="3DA69E47">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Neighbourhood.csv.gz</w:t>
            </w:r>
          </w:p>
        </w:tc>
        <w:tc>
          <w:tcPr>
            <w:tcW w:w="6397" w:type="dxa"/>
          </w:tcPr>
          <w:p w14:paraId="6CF35852">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Consists of neighbourhood details</w:t>
            </w:r>
          </w:p>
        </w:tc>
        <w:tc>
          <w:tcPr>
            <w:tcW w:w="1682" w:type="dxa"/>
          </w:tcPr>
          <w:p w14:paraId="39D7F771">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33</w:t>
            </w:r>
          </w:p>
        </w:tc>
      </w:tr>
      <w:tr w14:paraId="0C90E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37" w:type="dxa"/>
          </w:tcPr>
          <w:p w14:paraId="5BDE2B4F">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Reviews.csv</w:t>
            </w:r>
          </w:p>
        </w:tc>
        <w:tc>
          <w:tcPr>
            <w:tcW w:w="6397" w:type="dxa"/>
          </w:tcPr>
          <w:p w14:paraId="2E684C63">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Summarized version of reviews.csv.gz</w:t>
            </w:r>
          </w:p>
        </w:tc>
        <w:tc>
          <w:tcPr>
            <w:tcW w:w="1682" w:type="dxa"/>
          </w:tcPr>
          <w:p w14:paraId="43E42A57">
            <w:pPr>
              <w:widowControl w:val="0"/>
              <w:numPr>
                <w:numId w:val="0"/>
              </w:numPr>
              <w:jc w:val="both"/>
              <w:rPr>
                <w:rFonts w:hint="default"/>
                <w:b w:val="0"/>
                <w:bCs w:val="0"/>
                <w:sz w:val="24"/>
                <w:szCs w:val="24"/>
                <w:u w:val="none"/>
                <w:vertAlign w:val="baseline"/>
                <w:lang w:val="en-US" w:eastAsia="zh-CN"/>
              </w:rPr>
            </w:pPr>
            <w:r>
              <w:rPr>
                <w:rFonts w:hint="default"/>
                <w:b w:val="0"/>
                <w:bCs w:val="0"/>
                <w:sz w:val="24"/>
                <w:szCs w:val="24"/>
                <w:u w:val="none"/>
                <w:vertAlign w:val="baseline"/>
                <w:lang w:val="en-US" w:eastAsia="zh-CN"/>
              </w:rPr>
              <w:t>2,097,996</w:t>
            </w:r>
          </w:p>
        </w:tc>
      </w:tr>
    </w:tbl>
    <w:p w14:paraId="36114EC1">
      <w:pPr>
        <w:widowControl w:val="0"/>
        <w:numPr>
          <w:numId w:val="0"/>
        </w:numPr>
        <w:jc w:val="both"/>
        <w:rPr>
          <w:rFonts w:hint="default"/>
          <w:b w:val="0"/>
          <w:bCs w:val="0"/>
          <w:sz w:val="26"/>
          <w:szCs w:val="26"/>
          <w:u w:val="none"/>
          <w:lang w:val="en-US" w:eastAsia="zh-CN"/>
        </w:rPr>
      </w:pPr>
    </w:p>
    <w:p w14:paraId="5F8DFFA4">
      <w:pPr>
        <w:widowControl w:val="0"/>
        <w:numPr>
          <w:numId w:val="0"/>
        </w:numPr>
        <w:jc w:val="both"/>
        <w:rPr>
          <w:rFonts w:hint="default"/>
          <w:b/>
          <w:bCs/>
          <w:sz w:val="26"/>
          <w:szCs w:val="26"/>
          <w:u w:val="none"/>
          <w:lang w:val="en-US"/>
        </w:rPr>
      </w:pPr>
      <w:r>
        <w:rPr>
          <w:rFonts w:hint="default"/>
          <w:b/>
          <w:bCs/>
          <w:sz w:val="26"/>
          <w:szCs w:val="26"/>
          <w:u w:val="none"/>
          <w:lang w:val="en-US"/>
        </w:rPr>
        <w:t>3.2 Data Quality &amp; Integrity</w:t>
      </w:r>
    </w:p>
    <w:p w14:paraId="75516693">
      <w:pPr>
        <w:widowControl w:val="0"/>
        <w:numPr>
          <w:numId w:val="0"/>
        </w:numPr>
        <w:jc w:val="both"/>
        <w:rPr>
          <w:rFonts w:hint="default"/>
          <w:b/>
          <w:bCs/>
          <w:sz w:val="26"/>
          <w:szCs w:val="26"/>
          <w:u w:val="none"/>
          <w:lang w:val="en-US"/>
        </w:rPr>
      </w:pPr>
    </w:p>
    <w:p w14:paraId="7C467C92">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 xml:space="preserve">While the dataset is extensive, rigorous data cleansing is required before building predictive or statistical models. Key challenges include: </w:t>
      </w:r>
    </w:p>
    <w:p w14:paraId="07D3043C">
      <w:pPr>
        <w:widowControl w:val="0"/>
        <w:numPr>
          <w:numId w:val="0"/>
        </w:numPr>
        <w:jc w:val="both"/>
        <w:rPr>
          <w:rFonts w:hint="default"/>
          <w:b w:val="0"/>
          <w:bCs w:val="0"/>
          <w:sz w:val="26"/>
          <w:szCs w:val="26"/>
          <w:u w:val="none"/>
          <w:lang w:val="en-US"/>
        </w:rPr>
      </w:pPr>
    </w:p>
    <w:p w14:paraId="05818AA1">
      <w:pPr>
        <w:widowControl w:val="0"/>
        <w:numPr>
          <w:numId w:val="0"/>
        </w:numPr>
        <w:jc w:val="both"/>
        <w:rPr>
          <w:rFonts w:hint="default"/>
          <w:b w:val="0"/>
          <w:bCs w:val="0"/>
          <w:sz w:val="26"/>
          <w:szCs w:val="26"/>
          <w:u w:val="none"/>
          <w:lang w:val="en-US"/>
        </w:rPr>
      </w:pPr>
      <w:r>
        <w:rPr>
          <w:rFonts w:hint="default"/>
          <w:b/>
          <w:bCs/>
          <w:sz w:val="26"/>
          <w:szCs w:val="26"/>
          <w:u w:val="none"/>
          <w:lang w:val="en-US"/>
        </w:rPr>
        <w:t>Critical Field Missingness:</w:t>
      </w:r>
    </w:p>
    <w:p w14:paraId="091C99AB">
      <w:pPr>
        <w:widowControl w:val="0"/>
        <w:numPr>
          <w:ilvl w:val="0"/>
          <w:numId w:val="3"/>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 xml:space="preserve">The calendar.csv.gz file contains zero usable data for price and adjusted_price, rendering it unusable for direct revenue forecasting without external price matching. </w:t>
      </w:r>
    </w:p>
    <w:p w14:paraId="5052C6D6">
      <w:pPr>
        <w:widowControl w:val="0"/>
        <w:numPr>
          <w:ilvl w:val="0"/>
          <w:numId w:val="3"/>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 xml:space="preserve">The primary listings.csv.gz file suffers from significant gaps, including 34,908 null records for price and estimated annual revenue. </w:t>
      </w:r>
    </w:p>
    <w:p w14:paraId="2BE267FF">
      <w:pPr>
        <w:widowControl w:val="0"/>
        <w:numPr>
          <w:numId w:val="0"/>
        </w:numPr>
        <w:jc w:val="both"/>
        <w:rPr>
          <w:rFonts w:hint="default"/>
          <w:b w:val="0"/>
          <w:bCs w:val="0"/>
          <w:sz w:val="26"/>
          <w:szCs w:val="26"/>
          <w:u w:val="none"/>
          <w:lang w:val="en-US"/>
        </w:rPr>
      </w:pPr>
    </w:p>
    <w:p w14:paraId="44F6E5F4">
      <w:pPr>
        <w:widowControl w:val="0"/>
        <w:numPr>
          <w:numId w:val="0"/>
        </w:numPr>
        <w:jc w:val="both"/>
        <w:rPr>
          <w:rFonts w:hint="default"/>
          <w:b w:val="0"/>
          <w:bCs w:val="0"/>
          <w:sz w:val="26"/>
          <w:szCs w:val="26"/>
          <w:u w:val="none"/>
          <w:lang w:val="en-US"/>
        </w:rPr>
      </w:pPr>
      <w:r>
        <w:rPr>
          <w:rFonts w:hint="default"/>
          <w:b/>
          <w:bCs/>
          <w:sz w:val="26"/>
          <w:szCs w:val="26"/>
          <w:u w:val="none"/>
          <w:lang w:val="en-US"/>
        </w:rPr>
        <w:t>Field Ambiguity:</w:t>
      </w:r>
      <w:r>
        <w:rPr>
          <w:rFonts w:hint="default"/>
          <w:b w:val="0"/>
          <w:bCs w:val="0"/>
          <w:sz w:val="26"/>
          <w:szCs w:val="26"/>
          <w:u w:val="none"/>
          <w:lang w:val="en-US"/>
        </w:rPr>
        <w:t xml:space="preserve"> There is significant overlap and redundancy in column definitions. Fields such as id, listing_id, price, minimum_nights, and name appear across multiple files without clear lineage, increasing the risk of join errors. </w:t>
      </w:r>
    </w:p>
    <w:p w14:paraId="5FD5A3A2">
      <w:pPr>
        <w:widowControl w:val="0"/>
        <w:numPr>
          <w:numId w:val="0"/>
        </w:numPr>
        <w:jc w:val="both"/>
        <w:rPr>
          <w:rFonts w:hint="default"/>
          <w:b w:val="0"/>
          <w:bCs w:val="0"/>
          <w:sz w:val="26"/>
          <w:szCs w:val="26"/>
          <w:u w:val="none"/>
          <w:lang w:val="en-US"/>
        </w:rPr>
      </w:pPr>
    </w:p>
    <w:p w14:paraId="00EF7EDE">
      <w:pPr>
        <w:widowControl w:val="0"/>
        <w:numPr>
          <w:numId w:val="0"/>
        </w:numPr>
        <w:jc w:val="both"/>
        <w:rPr>
          <w:rFonts w:hint="default"/>
          <w:b w:val="0"/>
          <w:bCs w:val="0"/>
          <w:sz w:val="26"/>
          <w:szCs w:val="26"/>
          <w:u w:val="none"/>
          <w:lang w:val="en-US"/>
        </w:rPr>
      </w:pPr>
      <w:r>
        <w:rPr>
          <w:rFonts w:hint="default"/>
          <w:b/>
          <w:bCs/>
          <w:sz w:val="26"/>
          <w:szCs w:val="26"/>
          <w:u w:val="none"/>
          <w:lang w:val="en-US"/>
        </w:rPr>
        <w:t>Temporal Limitations:</w:t>
      </w:r>
      <w:r>
        <w:rPr>
          <w:rFonts w:hint="default"/>
          <w:b w:val="0"/>
          <w:bCs w:val="0"/>
          <w:sz w:val="26"/>
          <w:szCs w:val="26"/>
          <w:u w:val="none"/>
          <w:lang w:val="en-US"/>
        </w:rPr>
        <w:t xml:space="preserve"> The dataset represents a static scrape from September 2025. It does not provide real-time updates or a dynamic historical ledger, meaning models trained on this data will capture market conditions at that specific point in time rather than ongoing, real-time trends. </w:t>
      </w:r>
    </w:p>
    <w:p w14:paraId="4FF55840">
      <w:pPr>
        <w:widowControl w:val="0"/>
        <w:numPr>
          <w:numId w:val="0"/>
        </w:numPr>
        <w:jc w:val="both"/>
        <w:rPr>
          <w:rFonts w:hint="default"/>
          <w:b w:val="0"/>
          <w:bCs w:val="0"/>
          <w:sz w:val="26"/>
          <w:szCs w:val="26"/>
          <w:u w:val="none"/>
          <w:lang w:val="en-US"/>
        </w:rPr>
      </w:pPr>
    </w:p>
    <w:p w14:paraId="41F2E158">
      <w:pPr>
        <w:widowControl w:val="0"/>
        <w:numPr>
          <w:numId w:val="0"/>
        </w:numPr>
        <w:jc w:val="both"/>
        <w:rPr>
          <w:rFonts w:hint="default"/>
          <w:b/>
          <w:bCs/>
          <w:sz w:val="26"/>
          <w:szCs w:val="26"/>
          <w:u w:val="none"/>
          <w:lang w:val="en-US"/>
        </w:rPr>
      </w:pPr>
      <w:r>
        <w:rPr>
          <w:rFonts w:hint="default"/>
          <w:b/>
          <w:bCs/>
          <w:sz w:val="26"/>
          <w:szCs w:val="26"/>
          <w:u w:val="none"/>
          <w:lang w:val="en-US"/>
        </w:rPr>
        <w:t>3.3 Analytical Implications</w:t>
      </w:r>
    </w:p>
    <w:p w14:paraId="4C07271F">
      <w:pPr>
        <w:widowControl w:val="0"/>
        <w:numPr>
          <w:numId w:val="0"/>
        </w:numPr>
        <w:jc w:val="both"/>
        <w:rPr>
          <w:rFonts w:hint="default"/>
          <w:b/>
          <w:bCs/>
          <w:sz w:val="26"/>
          <w:szCs w:val="26"/>
          <w:u w:val="none"/>
          <w:lang w:val="en-US"/>
        </w:rPr>
      </w:pPr>
    </w:p>
    <w:p w14:paraId="29A1AEA1">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 xml:space="preserve">The high volume of null values in critical pricing fields and the lack of historical continuity mean that the dataset is best utilized as a structural baseline. To derive accurate insights, one must implement robust data imputation techniques or apply systematic filtering rules to remove incomplete records before attempting to model market elasticity or revenue performance. </w:t>
      </w:r>
    </w:p>
    <w:p w14:paraId="4AEDBD65">
      <w:pPr>
        <w:widowControl w:val="0"/>
        <w:numPr>
          <w:numId w:val="0"/>
        </w:numPr>
        <w:jc w:val="both"/>
        <w:rPr>
          <w:rFonts w:hint="default"/>
          <w:b w:val="0"/>
          <w:bCs w:val="0"/>
          <w:sz w:val="26"/>
          <w:szCs w:val="26"/>
          <w:u w:val="none"/>
          <w:lang w:val="en-US"/>
        </w:rPr>
      </w:pPr>
    </w:p>
    <w:p w14:paraId="6AAE058F">
      <w:pPr>
        <w:widowControl w:val="0"/>
        <w:numPr>
          <w:ilvl w:val="0"/>
          <w:numId w:val="2"/>
        </w:numPr>
        <w:ind w:left="0" w:leftChars="0" w:firstLine="0" w:firstLineChars="0"/>
        <w:jc w:val="both"/>
        <w:rPr>
          <w:rFonts w:hint="default"/>
          <w:b/>
          <w:bCs/>
          <w:sz w:val="40"/>
          <w:szCs w:val="40"/>
          <w:u w:val="none"/>
          <w:lang w:val="en-US"/>
        </w:rPr>
      </w:pPr>
      <w:bookmarkStart w:id="3" w:name="Methodology"/>
      <w:r>
        <w:rPr>
          <w:rFonts w:hint="default"/>
          <w:b/>
          <w:bCs/>
          <w:sz w:val="40"/>
          <w:szCs w:val="40"/>
          <w:u w:val="none"/>
          <w:lang w:val="en-US"/>
        </w:rPr>
        <w:t>Methodology</w:t>
      </w:r>
      <w:bookmarkEnd w:id="3"/>
    </w:p>
    <w:p w14:paraId="198A80B4">
      <w:pPr>
        <w:widowControl w:val="0"/>
        <w:numPr>
          <w:numId w:val="0"/>
        </w:numPr>
        <w:ind w:leftChars="0"/>
        <w:jc w:val="both"/>
        <w:rPr>
          <w:rFonts w:hint="default"/>
          <w:b/>
          <w:bCs/>
          <w:sz w:val="40"/>
          <w:szCs w:val="40"/>
          <w:u w:val="none"/>
          <w:lang w:val="en-US"/>
        </w:rPr>
      </w:pPr>
    </w:p>
    <w:p w14:paraId="1E8AB25C">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To convert raw platform snapshots into reliable market intelligence, a structured four-stage analytics pipeline must be implemented. This methodology addresses systemic data gaps while preserving structural market insights.</w:t>
      </w:r>
    </w:p>
    <w:p w14:paraId="0C741457">
      <w:pPr>
        <w:widowControl w:val="0"/>
        <w:numPr>
          <w:numId w:val="0"/>
        </w:numPr>
        <w:jc w:val="both"/>
        <w:rPr>
          <w:rFonts w:hint="default"/>
          <w:b w:val="0"/>
          <w:bCs w:val="0"/>
          <w:sz w:val="26"/>
          <w:szCs w:val="26"/>
          <w:u w:val="none"/>
          <w:lang w:val="en-US"/>
        </w:rPr>
      </w:pPr>
    </w:p>
    <w:p w14:paraId="435FB454">
      <w:pPr>
        <w:widowControl w:val="0"/>
        <w:numPr>
          <w:numId w:val="0"/>
        </w:numPr>
        <w:jc w:val="both"/>
        <w:rPr>
          <w:rFonts w:hint="default"/>
          <w:b/>
          <w:bCs/>
          <w:sz w:val="26"/>
          <w:szCs w:val="26"/>
          <w:u w:val="none"/>
          <w:lang w:val="en-US"/>
        </w:rPr>
      </w:pPr>
      <w:r>
        <w:rPr>
          <w:rFonts w:hint="default"/>
          <w:b/>
          <w:bCs/>
          <w:sz w:val="26"/>
          <w:szCs w:val="26"/>
          <w:u w:val="none"/>
          <w:lang w:val="en-US"/>
        </w:rPr>
        <w:t>4.1 Data Engineering &amp; Clean-Up</w:t>
      </w:r>
    </w:p>
    <w:p w14:paraId="1A5041B8">
      <w:pPr>
        <w:widowControl w:val="0"/>
        <w:numPr>
          <w:numId w:val="0"/>
        </w:numPr>
        <w:jc w:val="both"/>
        <w:rPr>
          <w:rFonts w:hint="default"/>
          <w:b/>
          <w:bCs/>
          <w:sz w:val="26"/>
          <w:szCs w:val="26"/>
          <w:u w:val="none"/>
          <w:lang w:val="en-US"/>
        </w:rPr>
      </w:pPr>
    </w:p>
    <w:p w14:paraId="52322A26">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Because the raw data contains significant structural missingness, a strict data decontamination process is required before modeling:</w:t>
      </w:r>
    </w:p>
    <w:p w14:paraId="11C0342C">
      <w:pPr>
        <w:widowControl w:val="0"/>
        <w:numPr>
          <w:numId w:val="0"/>
        </w:numPr>
        <w:jc w:val="both"/>
        <w:rPr>
          <w:rFonts w:hint="default"/>
          <w:b w:val="0"/>
          <w:bCs w:val="0"/>
          <w:sz w:val="26"/>
          <w:szCs w:val="26"/>
          <w:u w:val="none"/>
          <w:lang w:val="en-US"/>
        </w:rPr>
      </w:pPr>
    </w:p>
    <w:p w14:paraId="68AF0F4D">
      <w:pPr>
        <w:widowControl w:val="0"/>
        <w:numPr>
          <w:numId w:val="0"/>
        </w:numPr>
        <w:jc w:val="both"/>
        <w:rPr>
          <w:rFonts w:hint="default"/>
          <w:b w:val="0"/>
          <w:bCs w:val="0"/>
          <w:sz w:val="26"/>
          <w:szCs w:val="26"/>
          <w:u w:val="none"/>
          <w:lang w:val="en-US"/>
        </w:rPr>
      </w:pPr>
      <w:r>
        <w:rPr>
          <w:rFonts w:hint="default"/>
          <w:b/>
          <w:bCs/>
          <w:sz w:val="26"/>
          <w:szCs w:val="26"/>
          <w:u w:val="none"/>
          <w:lang w:val="en-US"/>
        </w:rPr>
        <w:t>Handling Price Missingness:</w:t>
      </w:r>
      <w:r>
        <w:rPr>
          <w:rFonts w:hint="default"/>
          <w:b w:val="0"/>
          <w:bCs w:val="0"/>
          <w:sz w:val="26"/>
          <w:szCs w:val="26"/>
          <w:u w:val="none"/>
          <w:lang w:val="en-US"/>
        </w:rPr>
        <w:t xml:space="preserve"> Records missing vital pricing or revenue attributes (34,908 rows in the main inventory table) will be filtered out to prevent downstream distortion. </w:t>
      </w:r>
    </w:p>
    <w:p w14:paraId="488AC5E3">
      <w:pPr>
        <w:widowControl w:val="0"/>
        <w:numPr>
          <w:numId w:val="0"/>
        </w:numPr>
        <w:jc w:val="both"/>
        <w:rPr>
          <w:rFonts w:hint="default"/>
          <w:b w:val="0"/>
          <w:bCs w:val="0"/>
          <w:sz w:val="26"/>
          <w:szCs w:val="26"/>
          <w:u w:val="none"/>
          <w:lang w:val="en-US"/>
        </w:rPr>
      </w:pPr>
    </w:p>
    <w:p w14:paraId="46D69E9C">
      <w:pPr>
        <w:widowControl w:val="0"/>
        <w:numPr>
          <w:numId w:val="0"/>
        </w:numPr>
        <w:jc w:val="both"/>
        <w:rPr>
          <w:rFonts w:hint="default"/>
          <w:b w:val="0"/>
          <w:bCs w:val="0"/>
          <w:sz w:val="26"/>
          <w:szCs w:val="26"/>
          <w:u w:val="none"/>
          <w:lang w:val="en-US"/>
        </w:rPr>
      </w:pPr>
      <w:r>
        <w:rPr>
          <w:rFonts w:hint="default"/>
          <w:b/>
          <w:bCs/>
          <w:sz w:val="26"/>
          <w:szCs w:val="26"/>
          <w:u w:val="none"/>
          <w:lang w:val="en-US"/>
        </w:rPr>
        <w:t>Data Type Cleanse:</w:t>
      </w:r>
      <w:r>
        <w:rPr>
          <w:rFonts w:hint="default"/>
          <w:b w:val="0"/>
          <w:bCs w:val="0"/>
          <w:sz w:val="26"/>
          <w:szCs w:val="26"/>
          <w:u w:val="none"/>
          <w:lang w:val="en-US"/>
        </w:rPr>
        <w:t xml:space="preserve"> Data such as Price, which were indicated as VARCHAR was cleaned into FLOAT</w:t>
      </w:r>
    </w:p>
    <w:p w14:paraId="73430E35">
      <w:pPr>
        <w:widowControl w:val="0"/>
        <w:numPr>
          <w:numId w:val="0"/>
        </w:numPr>
        <w:jc w:val="both"/>
        <w:rPr>
          <w:rFonts w:hint="default"/>
          <w:b w:val="0"/>
          <w:bCs w:val="0"/>
          <w:sz w:val="26"/>
          <w:szCs w:val="26"/>
          <w:u w:val="none"/>
          <w:lang w:val="en-US"/>
        </w:rPr>
      </w:pPr>
    </w:p>
    <w:p w14:paraId="15EB4136">
      <w:pPr>
        <w:widowControl w:val="0"/>
        <w:numPr>
          <w:numId w:val="0"/>
        </w:numPr>
        <w:jc w:val="both"/>
        <w:rPr>
          <w:rFonts w:hint="default"/>
          <w:b w:val="0"/>
          <w:bCs w:val="0"/>
          <w:sz w:val="26"/>
          <w:szCs w:val="26"/>
          <w:u w:val="none"/>
          <w:lang w:val="en-US"/>
        </w:rPr>
      </w:pPr>
      <w:r>
        <w:rPr>
          <w:rFonts w:hint="default"/>
          <w:b/>
          <w:bCs/>
          <w:sz w:val="26"/>
          <w:szCs w:val="26"/>
          <w:u w:val="none"/>
          <w:lang w:val="en-US"/>
        </w:rPr>
        <w:t>Resolving Ambiguity:</w:t>
      </w:r>
      <w:r>
        <w:rPr>
          <w:rFonts w:hint="default"/>
          <w:b w:val="0"/>
          <w:bCs w:val="0"/>
          <w:sz w:val="26"/>
          <w:szCs w:val="26"/>
          <w:u w:val="none"/>
          <w:lang w:val="en-US"/>
        </w:rPr>
        <w:t xml:space="preserve"> Strict schema mapping was implemented to the Database, so that the valuable insights can be extracted with minimal effort, such as combining Calendar file and Listing file to extract data on prices. </w:t>
      </w:r>
    </w:p>
    <w:p w14:paraId="4576062E">
      <w:pPr>
        <w:widowControl w:val="0"/>
        <w:numPr>
          <w:numId w:val="0"/>
        </w:numPr>
        <w:jc w:val="both"/>
        <w:rPr>
          <w:rFonts w:hint="default"/>
          <w:b w:val="0"/>
          <w:bCs w:val="0"/>
          <w:sz w:val="26"/>
          <w:szCs w:val="26"/>
          <w:u w:val="none"/>
          <w:lang w:val="en-US"/>
        </w:rPr>
      </w:pPr>
    </w:p>
    <w:p w14:paraId="647B9F58">
      <w:pPr>
        <w:widowControl w:val="0"/>
        <w:numPr>
          <w:numId w:val="0"/>
        </w:numPr>
        <w:ind w:leftChars="0"/>
        <w:jc w:val="both"/>
        <w:rPr>
          <w:rFonts w:hint="default"/>
          <w:b/>
          <w:bCs/>
          <w:sz w:val="26"/>
          <w:szCs w:val="26"/>
          <w:u w:val="none"/>
          <w:lang w:val="en-US"/>
        </w:rPr>
      </w:pPr>
      <w:r>
        <w:rPr>
          <w:rFonts w:hint="default"/>
          <w:b/>
          <w:bCs/>
          <w:sz w:val="26"/>
          <w:szCs w:val="26"/>
          <w:u w:val="none"/>
          <w:lang w:val="en-US"/>
        </w:rPr>
        <w:t>4.2 Exploratory Data Analysis (EDA)</w:t>
      </w:r>
    </w:p>
    <w:p w14:paraId="37DC5958">
      <w:pPr>
        <w:widowControl w:val="0"/>
        <w:numPr>
          <w:numId w:val="0"/>
        </w:numPr>
        <w:ind w:leftChars="0"/>
        <w:jc w:val="both"/>
        <w:rPr>
          <w:rFonts w:hint="default"/>
          <w:b/>
          <w:bCs/>
          <w:sz w:val="26"/>
          <w:szCs w:val="26"/>
          <w:u w:val="none"/>
          <w:lang w:val="en-US"/>
        </w:rPr>
      </w:pPr>
    </w:p>
    <w:p w14:paraId="64A1A212">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With clean data established, statistical and visual profiling will be conducted to map core marketplace behaviors:</w:t>
      </w:r>
    </w:p>
    <w:p w14:paraId="4FC69917">
      <w:pPr>
        <w:widowControl w:val="0"/>
        <w:numPr>
          <w:numId w:val="0"/>
        </w:numPr>
        <w:jc w:val="both"/>
        <w:rPr>
          <w:rFonts w:hint="default"/>
          <w:b w:val="0"/>
          <w:bCs w:val="0"/>
          <w:sz w:val="26"/>
          <w:szCs w:val="26"/>
          <w:u w:val="none"/>
          <w:lang w:val="en-US"/>
        </w:rPr>
      </w:pPr>
    </w:p>
    <w:p w14:paraId="475F86C1">
      <w:pPr>
        <w:widowControl w:val="0"/>
        <w:numPr>
          <w:numId w:val="0"/>
        </w:numPr>
        <w:jc w:val="both"/>
        <w:rPr>
          <w:rFonts w:hint="default"/>
          <w:b w:val="0"/>
          <w:bCs w:val="0"/>
          <w:sz w:val="26"/>
          <w:szCs w:val="26"/>
          <w:u w:val="none"/>
          <w:lang w:val="en-US"/>
        </w:rPr>
      </w:pPr>
      <w:r>
        <w:rPr>
          <w:rFonts w:hint="default"/>
          <w:b/>
          <w:bCs/>
          <w:sz w:val="26"/>
          <w:szCs w:val="26"/>
          <w:u w:val="none"/>
          <w:lang w:val="en-US"/>
        </w:rPr>
        <w:t>Price Probability Density:</w:t>
      </w:r>
      <w:r>
        <w:rPr>
          <w:rFonts w:hint="default"/>
          <w:b w:val="0"/>
          <w:bCs w:val="0"/>
          <w:sz w:val="26"/>
          <w:szCs w:val="26"/>
          <w:u w:val="none"/>
          <w:lang w:val="en-US"/>
        </w:rPr>
        <w:t xml:space="preserve"> </w:t>
      </w:r>
      <w:r>
        <w:rPr>
          <w:rFonts w:hint="default"/>
          <w:b w:val="0"/>
          <w:bCs w:val="0"/>
          <w:sz w:val="26"/>
          <w:szCs w:val="26"/>
          <w:u w:val="none"/>
          <w:lang w:val="en-US" w:eastAsia="zh-CN"/>
        </w:rPr>
        <w:t>This probability density plot reveals that shared and private rooms sharply concentrate below $100, whereas entire homes and hotel rooms map to much broader, higher pricing distributions.</w:t>
      </w:r>
    </w:p>
    <w:p w14:paraId="1CA73C5D">
      <w:pPr>
        <w:widowControl w:val="0"/>
        <w:numPr>
          <w:numId w:val="0"/>
        </w:numPr>
        <w:jc w:val="both"/>
        <w:rPr>
          <w:rFonts w:hint="default"/>
          <w:b w:val="0"/>
          <w:bCs w:val="0"/>
          <w:sz w:val="26"/>
          <w:szCs w:val="26"/>
          <w:u w:val="none"/>
          <w:lang w:val="en-US"/>
        </w:rPr>
      </w:pPr>
    </w:p>
    <w:p w14:paraId="203D3B13">
      <w:pPr>
        <w:widowControl w:val="0"/>
        <w:numPr>
          <w:numId w:val="0"/>
        </w:numPr>
        <w:jc w:val="both"/>
        <w:rPr>
          <w:rFonts w:hint="default"/>
          <w:b w:val="0"/>
          <w:bCs w:val="0"/>
          <w:sz w:val="26"/>
          <w:szCs w:val="26"/>
          <w:u w:val="none"/>
          <w:lang w:val="en-US"/>
        </w:rPr>
      </w:pPr>
      <w:r>
        <w:rPr>
          <w:rFonts w:hint="default"/>
          <w:b/>
          <w:bCs/>
          <w:sz w:val="26"/>
          <w:szCs w:val="26"/>
          <w:u w:val="none"/>
          <w:lang w:val="en-US"/>
        </w:rPr>
        <w:t>Seasonal Price Shifts:</w:t>
      </w:r>
      <w:r>
        <w:rPr>
          <w:rFonts w:hint="default"/>
          <w:b w:val="0"/>
          <w:bCs w:val="0"/>
          <w:sz w:val="26"/>
          <w:szCs w:val="26"/>
          <w:u w:val="none"/>
          <w:lang w:val="en-US"/>
        </w:rPr>
        <w:t xml:space="preserve"> This bar chart illustrates a counterintuitive marketplace trend where average nightly listing rates drop significantly from a high of $260 during the low season down to $185 in the peak season.</w:t>
      </w:r>
    </w:p>
    <w:p w14:paraId="0DE43AA6">
      <w:pPr>
        <w:widowControl w:val="0"/>
        <w:numPr>
          <w:numId w:val="0"/>
        </w:numPr>
        <w:jc w:val="both"/>
        <w:rPr>
          <w:rFonts w:hint="default"/>
          <w:b w:val="0"/>
          <w:bCs w:val="0"/>
          <w:sz w:val="26"/>
          <w:szCs w:val="26"/>
          <w:u w:val="none"/>
          <w:lang w:val="en-US"/>
        </w:rPr>
      </w:pPr>
    </w:p>
    <w:p w14:paraId="5EF4E541">
      <w:pPr>
        <w:widowControl w:val="0"/>
        <w:numPr>
          <w:numId w:val="0"/>
        </w:numPr>
        <w:jc w:val="both"/>
        <w:rPr>
          <w:rFonts w:hint="default"/>
          <w:b w:val="0"/>
          <w:bCs w:val="0"/>
          <w:sz w:val="26"/>
          <w:szCs w:val="26"/>
          <w:u w:val="none"/>
          <w:lang w:val="en-US"/>
        </w:rPr>
      </w:pPr>
      <w:r>
        <w:rPr>
          <w:rFonts w:hint="default"/>
          <w:b/>
          <w:bCs/>
          <w:sz w:val="26"/>
          <w:szCs w:val="26"/>
          <w:u w:val="none"/>
          <w:lang w:val="en-US"/>
        </w:rPr>
        <w:t>Structural Stay Policies:</w:t>
      </w:r>
      <w:r>
        <w:rPr>
          <w:rFonts w:hint="default"/>
          <w:b w:val="0"/>
          <w:bCs w:val="0"/>
          <w:sz w:val="26"/>
          <w:szCs w:val="26"/>
          <w:u w:val="none"/>
          <w:lang w:val="en-US"/>
        </w:rPr>
        <w:t xml:space="preserve"> This comparison chart demonstrates that average minimum stay restrictions remain structurally locked between 3.0 and 3.2 nights across low, shoulder, and peak booking seasons.</w:t>
      </w:r>
    </w:p>
    <w:p w14:paraId="74CFFE1D">
      <w:pPr>
        <w:widowControl w:val="0"/>
        <w:numPr>
          <w:numId w:val="0"/>
        </w:numPr>
        <w:jc w:val="both"/>
        <w:rPr>
          <w:rFonts w:hint="default"/>
          <w:b w:val="0"/>
          <w:bCs w:val="0"/>
          <w:sz w:val="26"/>
          <w:szCs w:val="26"/>
          <w:u w:val="none"/>
          <w:lang w:val="en-US"/>
        </w:rPr>
      </w:pPr>
    </w:p>
    <w:p w14:paraId="37A1E005">
      <w:pPr>
        <w:widowControl w:val="0"/>
        <w:numPr>
          <w:numId w:val="0"/>
        </w:numPr>
        <w:jc w:val="both"/>
        <w:rPr>
          <w:rFonts w:hint="default"/>
          <w:b w:val="0"/>
          <w:bCs w:val="0"/>
          <w:sz w:val="26"/>
          <w:szCs w:val="26"/>
          <w:u w:val="none"/>
          <w:lang w:val="en-US"/>
        </w:rPr>
      </w:pPr>
      <w:r>
        <w:rPr>
          <w:rFonts w:hint="default"/>
          <w:b/>
          <w:bCs/>
          <w:sz w:val="26"/>
          <w:szCs w:val="26"/>
          <w:u w:val="none"/>
          <w:lang w:val="en-US"/>
        </w:rPr>
        <w:t>Host Account Count:</w:t>
      </w:r>
      <w:r>
        <w:rPr>
          <w:rFonts w:hint="default"/>
          <w:b w:val="0"/>
          <w:bCs w:val="0"/>
          <w:sz w:val="26"/>
          <w:szCs w:val="26"/>
          <w:u w:val="none"/>
          <w:lang w:val="en-US"/>
        </w:rPr>
        <w:t xml:space="preserve"> This metric chart displays the market's operational breakdown, highlighting that single-listing casual operators represent the vast numerical majority of unique host accounts on the platform.</w:t>
      </w:r>
    </w:p>
    <w:p w14:paraId="79A3280D">
      <w:pPr>
        <w:widowControl w:val="0"/>
        <w:numPr>
          <w:numId w:val="0"/>
        </w:numPr>
        <w:jc w:val="both"/>
        <w:rPr>
          <w:rFonts w:hint="default"/>
          <w:b w:val="0"/>
          <w:bCs w:val="0"/>
          <w:sz w:val="26"/>
          <w:szCs w:val="26"/>
          <w:u w:val="none"/>
          <w:lang w:val="en-US"/>
        </w:rPr>
      </w:pPr>
    </w:p>
    <w:p w14:paraId="6C24195F">
      <w:pPr>
        <w:widowControl w:val="0"/>
        <w:numPr>
          <w:numId w:val="0"/>
        </w:numPr>
        <w:jc w:val="both"/>
        <w:rPr>
          <w:rFonts w:hint="default"/>
          <w:b w:val="0"/>
          <w:bCs w:val="0"/>
          <w:sz w:val="26"/>
          <w:szCs w:val="26"/>
          <w:u w:val="none"/>
          <w:lang w:val="en-US"/>
        </w:rPr>
      </w:pPr>
    </w:p>
    <w:p w14:paraId="0A3072A9">
      <w:pPr>
        <w:widowControl w:val="0"/>
        <w:numPr>
          <w:numId w:val="0"/>
        </w:numPr>
        <w:jc w:val="both"/>
        <w:rPr>
          <w:rFonts w:hint="default"/>
          <w:b w:val="0"/>
          <w:bCs w:val="0"/>
          <w:sz w:val="26"/>
          <w:szCs w:val="26"/>
          <w:u w:val="none"/>
          <w:lang w:val="en-US"/>
        </w:rPr>
      </w:pPr>
      <w:r>
        <w:rPr>
          <w:rFonts w:hint="default"/>
          <w:b/>
          <w:bCs/>
          <w:sz w:val="26"/>
          <w:szCs w:val="26"/>
          <w:u w:val="none"/>
          <w:lang w:val="en-US"/>
        </w:rPr>
        <w:t>Operator Pricing Strategy:</w:t>
      </w:r>
      <w:r>
        <w:rPr>
          <w:rFonts w:hint="default"/>
          <w:b w:val="0"/>
          <w:bCs w:val="0"/>
          <w:sz w:val="26"/>
          <w:szCs w:val="26"/>
          <w:u w:val="none"/>
          <w:lang w:val="en-US"/>
        </w:rPr>
        <w:t xml:space="preserve"> This density distribution chart demonstrates that professional operators systematically push their listing curves rightward to achieve higher median price points than casual operators.</w:t>
      </w:r>
    </w:p>
    <w:p w14:paraId="5FEAA9C7">
      <w:pPr>
        <w:widowControl w:val="0"/>
        <w:numPr>
          <w:numId w:val="0"/>
        </w:numPr>
        <w:jc w:val="both"/>
        <w:rPr>
          <w:rFonts w:hint="default"/>
          <w:b w:val="0"/>
          <w:bCs w:val="0"/>
          <w:sz w:val="26"/>
          <w:szCs w:val="26"/>
          <w:u w:val="none"/>
          <w:lang w:val="en-US"/>
        </w:rPr>
      </w:pPr>
    </w:p>
    <w:p w14:paraId="14EC16C3">
      <w:pPr>
        <w:widowControl w:val="0"/>
        <w:numPr>
          <w:numId w:val="0"/>
        </w:numPr>
        <w:jc w:val="both"/>
        <w:rPr>
          <w:rFonts w:hint="default"/>
          <w:b w:val="0"/>
          <w:bCs w:val="0"/>
          <w:sz w:val="26"/>
          <w:szCs w:val="26"/>
          <w:u w:val="none"/>
          <w:lang w:val="en-US"/>
        </w:rPr>
      </w:pPr>
      <w:r>
        <w:rPr>
          <w:rFonts w:hint="default"/>
          <w:b/>
          <w:bCs/>
          <w:sz w:val="26"/>
          <w:szCs w:val="26"/>
          <w:u w:val="none"/>
          <w:lang w:val="en-US"/>
        </w:rPr>
        <w:t>Supply-Side Lorenz Curve:</w:t>
      </w:r>
      <w:r>
        <w:rPr>
          <w:rFonts w:hint="default"/>
          <w:b w:val="0"/>
          <w:bCs w:val="0"/>
          <w:sz w:val="26"/>
          <w:szCs w:val="26"/>
          <w:u w:val="none"/>
          <w:lang w:val="en-US"/>
        </w:rPr>
        <w:t xml:space="preserve"> This cumulative distribution curve confirms a stark Pareto imbalance in market concentration, where the top 12% of multi-listing hosts command over 50% of the active platform supply.</w:t>
      </w:r>
    </w:p>
    <w:p w14:paraId="1E62DFF5">
      <w:pPr>
        <w:widowControl w:val="0"/>
        <w:numPr>
          <w:numId w:val="0"/>
        </w:numPr>
        <w:jc w:val="both"/>
        <w:rPr>
          <w:rFonts w:hint="default"/>
          <w:b w:val="0"/>
          <w:bCs w:val="0"/>
          <w:sz w:val="26"/>
          <w:szCs w:val="26"/>
          <w:u w:val="none"/>
          <w:lang w:val="en-US"/>
        </w:rPr>
      </w:pPr>
    </w:p>
    <w:p w14:paraId="43412351">
      <w:pPr>
        <w:widowControl w:val="0"/>
        <w:numPr>
          <w:numId w:val="0"/>
        </w:numPr>
        <w:jc w:val="both"/>
        <w:rPr>
          <w:rFonts w:hint="default"/>
          <w:b w:val="0"/>
          <w:bCs w:val="0"/>
          <w:sz w:val="26"/>
          <w:szCs w:val="26"/>
          <w:u w:val="none"/>
          <w:lang w:val="en-US"/>
        </w:rPr>
      </w:pPr>
      <w:r>
        <w:rPr>
          <w:rFonts w:hint="default"/>
          <w:b/>
          <w:bCs/>
          <w:sz w:val="26"/>
          <w:szCs w:val="26"/>
          <w:u w:val="none"/>
          <w:lang w:val="en-US"/>
        </w:rPr>
        <w:t>Valuation Booking Velocity:</w:t>
      </w:r>
      <w:r>
        <w:rPr>
          <w:rFonts w:hint="default"/>
          <w:b w:val="0"/>
          <w:bCs w:val="0"/>
          <w:sz w:val="26"/>
          <w:szCs w:val="26"/>
          <w:u w:val="none"/>
          <w:lang w:val="en-US"/>
        </w:rPr>
        <w:t xml:space="preserve"> This scatter plot with a negative regression trend line shows that a high accumulation of guest reviews clusters almost exclusively within highly competitive, lower-priced listing brackets.</w:t>
      </w:r>
    </w:p>
    <w:p w14:paraId="78456E39">
      <w:pPr>
        <w:widowControl w:val="0"/>
        <w:numPr>
          <w:numId w:val="0"/>
        </w:numPr>
        <w:jc w:val="both"/>
        <w:rPr>
          <w:rFonts w:hint="default"/>
          <w:b w:val="0"/>
          <w:bCs w:val="0"/>
          <w:sz w:val="26"/>
          <w:szCs w:val="26"/>
          <w:u w:val="none"/>
          <w:lang w:val="en-US"/>
        </w:rPr>
      </w:pPr>
    </w:p>
    <w:p w14:paraId="525BDF5D">
      <w:pPr>
        <w:widowControl w:val="0"/>
        <w:numPr>
          <w:numId w:val="0"/>
        </w:numPr>
        <w:jc w:val="both"/>
        <w:rPr>
          <w:rFonts w:hint="default"/>
          <w:b w:val="0"/>
          <w:bCs w:val="0"/>
          <w:sz w:val="26"/>
          <w:szCs w:val="26"/>
          <w:u w:val="none"/>
          <w:lang w:val="en-US"/>
        </w:rPr>
      </w:pPr>
      <w:r>
        <w:rPr>
          <w:rFonts w:hint="default"/>
          <w:b/>
          <w:bCs/>
          <w:sz w:val="26"/>
          <w:szCs w:val="26"/>
          <w:u w:val="none"/>
          <w:lang w:val="en-US"/>
        </w:rPr>
        <w:t>Market Skewness Profile:</w:t>
      </w:r>
      <w:r>
        <w:rPr>
          <w:rFonts w:hint="default"/>
          <w:b w:val="0"/>
          <w:bCs w:val="0"/>
          <w:sz w:val="26"/>
          <w:szCs w:val="26"/>
          <w:u w:val="none"/>
          <w:lang w:val="en-US"/>
        </w:rPr>
        <w:t xml:space="preserve"> This overall market histogram highlights a highly right-skewed pricing distribution, driving a visible gap between the market's $130 median price baseline and its $159 mean average.</w:t>
      </w:r>
    </w:p>
    <w:p w14:paraId="5E054551">
      <w:pPr>
        <w:widowControl w:val="0"/>
        <w:numPr>
          <w:numId w:val="0"/>
        </w:numPr>
        <w:jc w:val="both"/>
        <w:rPr>
          <w:rFonts w:hint="default"/>
          <w:b w:val="0"/>
          <w:bCs w:val="0"/>
          <w:sz w:val="26"/>
          <w:szCs w:val="26"/>
          <w:u w:val="none"/>
          <w:lang w:val="en-US"/>
        </w:rPr>
      </w:pPr>
    </w:p>
    <w:p w14:paraId="4ECB1288">
      <w:pPr>
        <w:widowControl w:val="0"/>
        <w:numPr>
          <w:numId w:val="0"/>
        </w:numPr>
        <w:jc w:val="both"/>
        <w:rPr>
          <w:rFonts w:hint="default"/>
          <w:b w:val="0"/>
          <w:bCs w:val="0"/>
          <w:sz w:val="26"/>
          <w:szCs w:val="26"/>
          <w:u w:val="none"/>
          <w:lang w:val="en-US"/>
        </w:rPr>
      </w:pPr>
      <w:r>
        <w:rPr>
          <w:rFonts w:hint="default"/>
          <w:b/>
          <w:bCs/>
          <w:sz w:val="26"/>
          <w:szCs w:val="26"/>
          <w:u w:val="none"/>
          <w:lang w:val="en-US"/>
        </w:rPr>
        <w:t>Spatial Valuation Spreads:</w:t>
      </w:r>
      <w:r>
        <w:rPr>
          <w:rFonts w:hint="default"/>
          <w:b w:val="0"/>
          <w:bCs w:val="0"/>
          <w:sz w:val="26"/>
          <w:szCs w:val="26"/>
          <w:u w:val="none"/>
          <w:lang w:val="en-US"/>
        </w:rPr>
        <w:t xml:space="preserve"> This horizontal box plot maps location premiums across London, showing premium pricing bands in Westminster and Kensington and Chelsea contrasted against tightly compressed budgets in Tower Hamlets.</w:t>
      </w:r>
    </w:p>
    <w:p w14:paraId="5621BCD9">
      <w:pPr>
        <w:widowControl w:val="0"/>
        <w:numPr>
          <w:numId w:val="0"/>
        </w:numPr>
        <w:jc w:val="both"/>
        <w:rPr>
          <w:rFonts w:hint="default"/>
          <w:b w:val="0"/>
          <w:bCs w:val="0"/>
          <w:sz w:val="26"/>
          <w:szCs w:val="26"/>
          <w:u w:val="none"/>
          <w:lang w:val="en-US"/>
        </w:rPr>
      </w:pPr>
    </w:p>
    <w:p w14:paraId="05426F09">
      <w:pPr>
        <w:widowControl w:val="0"/>
        <w:numPr>
          <w:numId w:val="0"/>
        </w:numPr>
        <w:jc w:val="both"/>
        <w:rPr>
          <w:rFonts w:hint="default"/>
          <w:b w:val="0"/>
          <w:bCs w:val="0"/>
          <w:sz w:val="26"/>
          <w:szCs w:val="26"/>
          <w:u w:val="none"/>
          <w:lang w:val="en-US"/>
        </w:rPr>
      </w:pPr>
      <w:r>
        <w:rPr>
          <w:rFonts w:hint="default"/>
          <w:b/>
          <w:bCs/>
          <w:sz w:val="26"/>
          <w:szCs w:val="26"/>
          <w:u w:val="none"/>
          <w:lang w:val="en-US"/>
        </w:rPr>
        <w:t>Structural Layout Violins:</w:t>
      </w:r>
      <w:r>
        <w:rPr>
          <w:rFonts w:hint="default"/>
          <w:b w:val="0"/>
          <w:bCs w:val="0"/>
          <w:sz w:val="26"/>
          <w:szCs w:val="26"/>
          <w:u w:val="none"/>
          <w:lang w:val="en-US"/>
        </w:rPr>
        <w:t xml:space="preserve"> This violin plot tracks the price distribution velocity of different layouts, mapping clear asset tier increases as properties transition from single rooms up to entire apartments or commercial hotel spaces.</w:t>
      </w:r>
    </w:p>
    <w:p w14:paraId="31DA7C57">
      <w:pPr>
        <w:widowControl w:val="0"/>
        <w:numPr>
          <w:numId w:val="0"/>
        </w:numPr>
        <w:jc w:val="both"/>
        <w:rPr>
          <w:rFonts w:hint="default"/>
          <w:b w:val="0"/>
          <w:bCs w:val="0"/>
          <w:sz w:val="26"/>
          <w:szCs w:val="26"/>
          <w:u w:val="none"/>
          <w:lang w:val="en-US"/>
        </w:rPr>
      </w:pPr>
    </w:p>
    <w:p w14:paraId="745BAEF0">
      <w:pPr>
        <w:widowControl w:val="0"/>
        <w:numPr>
          <w:numId w:val="0"/>
        </w:numPr>
        <w:jc w:val="both"/>
        <w:rPr>
          <w:rFonts w:hint="default"/>
          <w:b w:val="0"/>
          <w:bCs w:val="0"/>
          <w:sz w:val="26"/>
          <w:szCs w:val="26"/>
          <w:u w:val="none"/>
          <w:lang w:val="en-US"/>
        </w:rPr>
      </w:pPr>
      <w:r>
        <w:rPr>
          <w:rFonts w:hint="default"/>
          <w:b/>
          <w:bCs/>
          <w:sz w:val="26"/>
          <w:szCs w:val="26"/>
          <w:u w:val="none"/>
          <w:lang w:val="en-US"/>
        </w:rPr>
        <w:t>Room Type Pricing Distributions:</w:t>
      </w:r>
      <w:r>
        <w:rPr>
          <w:rFonts w:hint="default"/>
          <w:b w:val="0"/>
          <w:bCs w:val="0"/>
          <w:sz w:val="26"/>
          <w:szCs w:val="26"/>
          <w:u w:val="none"/>
          <w:lang w:val="en-US"/>
        </w:rPr>
        <w:t xml:space="preserve"> This boxplot illustrates the comparative pricing midpoints and spreads across room types, highlighting that entire homes and hotel rooms command significantly higher median rates while private rooms present a massive vertical cluster of high-end price outliers. </w:t>
      </w:r>
    </w:p>
    <w:p w14:paraId="349283FC">
      <w:pPr>
        <w:widowControl w:val="0"/>
        <w:numPr>
          <w:numId w:val="0"/>
        </w:numPr>
        <w:jc w:val="both"/>
        <w:rPr>
          <w:rFonts w:hint="default"/>
          <w:b w:val="0"/>
          <w:bCs w:val="0"/>
          <w:sz w:val="26"/>
          <w:szCs w:val="26"/>
          <w:u w:val="none"/>
          <w:lang w:val="en-US"/>
        </w:rPr>
      </w:pPr>
    </w:p>
    <w:p w14:paraId="60734C98">
      <w:pPr>
        <w:widowControl w:val="0"/>
        <w:numPr>
          <w:numId w:val="0"/>
        </w:numPr>
        <w:jc w:val="both"/>
        <w:rPr>
          <w:rFonts w:hint="default"/>
          <w:b w:val="0"/>
          <w:bCs w:val="0"/>
          <w:sz w:val="26"/>
          <w:szCs w:val="26"/>
          <w:u w:val="none"/>
          <w:lang w:val="en-US"/>
        </w:rPr>
      </w:pPr>
      <w:r>
        <w:rPr>
          <w:rFonts w:hint="default"/>
          <w:b/>
          <w:bCs/>
          <w:sz w:val="26"/>
          <w:szCs w:val="26"/>
          <w:u w:val="none"/>
          <w:lang w:val="en-US"/>
        </w:rPr>
        <w:t>Review Pacing Frequency Density:</w:t>
      </w:r>
      <w:r>
        <w:rPr>
          <w:rFonts w:hint="default"/>
          <w:b w:val="0"/>
          <w:bCs w:val="0"/>
          <w:sz w:val="26"/>
          <w:szCs w:val="26"/>
          <w:u w:val="none"/>
          <w:lang w:val="en-US"/>
        </w:rPr>
        <w:t xml:space="preserve"> This frequency density histogram displays a sharp exponential decay curve in booking velocity, demonstrating that the vast majority of platform listings accumulate fewer than two reviews per month. </w:t>
      </w:r>
    </w:p>
    <w:p w14:paraId="2FD4BCBE">
      <w:pPr>
        <w:widowControl w:val="0"/>
        <w:numPr>
          <w:numId w:val="0"/>
        </w:numPr>
        <w:jc w:val="both"/>
        <w:rPr>
          <w:rFonts w:hint="default"/>
          <w:b w:val="0"/>
          <w:bCs w:val="0"/>
          <w:sz w:val="26"/>
          <w:szCs w:val="26"/>
          <w:u w:val="none"/>
          <w:lang w:val="en-US"/>
        </w:rPr>
      </w:pPr>
    </w:p>
    <w:p w14:paraId="37E680C8">
      <w:pPr>
        <w:widowControl w:val="0"/>
        <w:numPr>
          <w:numId w:val="0"/>
        </w:numPr>
        <w:jc w:val="both"/>
        <w:rPr>
          <w:rFonts w:hint="default"/>
          <w:b w:val="0"/>
          <w:bCs w:val="0"/>
          <w:sz w:val="26"/>
          <w:szCs w:val="26"/>
          <w:u w:val="none"/>
          <w:lang w:val="en-US"/>
        </w:rPr>
      </w:pPr>
      <w:r>
        <w:rPr>
          <w:rFonts w:hint="default"/>
          <w:b/>
          <w:bCs/>
          <w:sz w:val="26"/>
          <w:szCs w:val="26"/>
          <w:u w:val="none"/>
          <w:lang w:val="en-US"/>
        </w:rPr>
        <w:t>Long-Tail Host Portfolio Scale:</w:t>
      </w:r>
      <w:r>
        <w:rPr>
          <w:rFonts w:hint="default"/>
          <w:b w:val="0"/>
          <w:bCs w:val="0"/>
          <w:sz w:val="26"/>
          <w:szCs w:val="26"/>
          <w:u w:val="none"/>
          <w:lang w:val="en-US"/>
        </w:rPr>
        <w:t xml:space="preserve"> Utilizing a logarithmic scale, this distribution chart exposes a steep long-tail market structure where single-property owners make up the overwhelming majority of unique host accounts, dropping off rapidly as portfolio size increases. </w:t>
      </w:r>
    </w:p>
    <w:p w14:paraId="6987E434">
      <w:pPr>
        <w:widowControl w:val="0"/>
        <w:numPr>
          <w:numId w:val="0"/>
        </w:numPr>
        <w:jc w:val="both"/>
        <w:rPr>
          <w:rFonts w:hint="default"/>
          <w:b w:val="0"/>
          <w:bCs w:val="0"/>
          <w:sz w:val="26"/>
          <w:szCs w:val="26"/>
          <w:u w:val="none"/>
          <w:lang w:val="en-US"/>
        </w:rPr>
      </w:pPr>
    </w:p>
    <w:p w14:paraId="4B8A1B2E">
      <w:pPr>
        <w:widowControl w:val="0"/>
        <w:numPr>
          <w:numId w:val="0"/>
        </w:numPr>
        <w:jc w:val="both"/>
        <w:rPr>
          <w:rFonts w:hint="default"/>
          <w:b w:val="0"/>
          <w:bCs w:val="0"/>
          <w:sz w:val="26"/>
          <w:szCs w:val="26"/>
          <w:u w:val="none"/>
          <w:lang w:val="en-US"/>
        </w:rPr>
      </w:pPr>
    </w:p>
    <w:p w14:paraId="62EBD009">
      <w:pPr>
        <w:widowControl w:val="0"/>
        <w:numPr>
          <w:numId w:val="0"/>
        </w:numPr>
        <w:jc w:val="both"/>
        <w:rPr>
          <w:rFonts w:hint="default"/>
          <w:b w:val="0"/>
          <w:bCs w:val="0"/>
          <w:sz w:val="26"/>
          <w:szCs w:val="26"/>
          <w:u w:val="none"/>
          <w:lang w:val="en-US"/>
        </w:rPr>
      </w:pPr>
    </w:p>
    <w:p w14:paraId="06EB4398">
      <w:pPr>
        <w:widowControl w:val="0"/>
        <w:numPr>
          <w:numId w:val="0"/>
        </w:numPr>
        <w:jc w:val="both"/>
        <w:rPr>
          <w:rFonts w:hint="default"/>
          <w:b w:val="0"/>
          <w:bCs w:val="0"/>
          <w:sz w:val="26"/>
          <w:szCs w:val="26"/>
          <w:u w:val="none"/>
          <w:lang w:val="en-US"/>
        </w:rPr>
      </w:pPr>
    </w:p>
    <w:p w14:paraId="2C70F19B">
      <w:pPr>
        <w:widowControl w:val="0"/>
        <w:numPr>
          <w:numId w:val="0"/>
        </w:numPr>
        <w:jc w:val="both"/>
        <w:rPr>
          <w:rFonts w:hint="default"/>
          <w:b w:val="0"/>
          <w:bCs w:val="0"/>
          <w:sz w:val="26"/>
          <w:szCs w:val="26"/>
          <w:u w:val="none"/>
          <w:lang w:val="en-US"/>
        </w:rPr>
      </w:pPr>
    </w:p>
    <w:p w14:paraId="20606D5D">
      <w:pPr>
        <w:widowControl w:val="0"/>
        <w:numPr>
          <w:numId w:val="0"/>
        </w:numPr>
        <w:jc w:val="both"/>
        <w:rPr>
          <w:rFonts w:hint="default"/>
          <w:b w:val="0"/>
          <w:bCs w:val="0"/>
          <w:sz w:val="26"/>
          <w:szCs w:val="26"/>
          <w:u w:val="none"/>
          <w:lang w:val="en-US"/>
        </w:rPr>
      </w:pPr>
    </w:p>
    <w:p w14:paraId="16896EDB">
      <w:pPr>
        <w:widowControl w:val="0"/>
        <w:numPr>
          <w:numId w:val="0"/>
        </w:numPr>
        <w:jc w:val="both"/>
        <w:rPr>
          <w:rFonts w:hint="default"/>
          <w:b w:val="0"/>
          <w:bCs w:val="0"/>
          <w:sz w:val="26"/>
          <w:szCs w:val="26"/>
          <w:u w:val="none"/>
          <w:lang w:val="en-US"/>
        </w:rPr>
      </w:pPr>
    </w:p>
    <w:p w14:paraId="067F88B2">
      <w:pPr>
        <w:widowControl w:val="0"/>
        <w:numPr>
          <w:ilvl w:val="0"/>
          <w:numId w:val="2"/>
        </w:numPr>
        <w:ind w:left="0" w:leftChars="0" w:firstLine="0" w:firstLineChars="0"/>
        <w:jc w:val="both"/>
        <w:rPr>
          <w:rFonts w:hint="default"/>
          <w:b/>
          <w:bCs/>
          <w:sz w:val="40"/>
          <w:szCs w:val="40"/>
          <w:u w:val="none"/>
          <w:lang w:val="en-US"/>
        </w:rPr>
      </w:pPr>
      <w:bookmarkStart w:id="4" w:name="EngineeringApproach"/>
      <w:r>
        <w:rPr>
          <w:rFonts w:hint="default"/>
          <w:b/>
          <w:bCs/>
          <w:sz w:val="40"/>
          <w:szCs w:val="40"/>
          <w:u w:val="none"/>
          <w:lang w:val="en-US"/>
        </w:rPr>
        <w:t>Engineering Approach</w:t>
      </w:r>
      <w:bookmarkEnd w:id="4"/>
    </w:p>
    <w:p w14:paraId="3C7E2E3E">
      <w:pPr>
        <w:widowControl w:val="0"/>
        <w:numPr>
          <w:numId w:val="0"/>
        </w:numPr>
        <w:jc w:val="both"/>
        <w:rPr>
          <w:rFonts w:hint="default"/>
          <w:b w:val="0"/>
          <w:bCs w:val="0"/>
          <w:sz w:val="26"/>
          <w:szCs w:val="26"/>
          <w:u w:val="none"/>
          <w:lang w:val="en-US"/>
        </w:rPr>
      </w:pPr>
    </w:p>
    <w:p w14:paraId="3E555993">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The engineering phase of this project was designed to establish a reliable and scalable analytical environment capable of transforming raw Airbnb marketplace data into meaningful business insights. Given the large volume of data spread across multiple files and formats, a structured Extract, Transform, and Load (ETL) workflow was implemented to automate data acquisition, preparation, storage, and analysis.</w:t>
      </w:r>
    </w:p>
    <w:p w14:paraId="0BCFAF60">
      <w:pPr>
        <w:widowControl w:val="0"/>
        <w:numPr>
          <w:numId w:val="0"/>
        </w:numPr>
        <w:jc w:val="both"/>
        <w:rPr>
          <w:rFonts w:hint="default"/>
          <w:b w:val="0"/>
          <w:bCs w:val="0"/>
          <w:sz w:val="26"/>
          <w:szCs w:val="26"/>
          <w:u w:val="none"/>
          <w:lang w:val="en-US"/>
        </w:rPr>
      </w:pPr>
    </w:p>
    <w:p w14:paraId="4F8DCBC3">
      <w:pPr>
        <w:widowControl w:val="0"/>
        <w:numPr>
          <w:numId w:val="0"/>
        </w:numPr>
        <w:jc w:val="both"/>
        <w:rPr>
          <w:rFonts w:hint="default"/>
          <w:b/>
          <w:bCs/>
          <w:sz w:val="26"/>
          <w:szCs w:val="26"/>
          <w:u w:val="none"/>
          <w:lang w:val="en-US"/>
        </w:rPr>
      </w:pPr>
      <w:r>
        <w:rPr>
          <w:rFonts w:hint="default"/>
          <w:b/>
          <w:bCs/>
          <w:sz w:val="26"/>
          <w:szCs w:val="26"/>
          <w:u w:val="none"/>
          <w:lang w:val="en-US"/>
        </w:rPr>
        <w:t>Data Acquisition and Extraction</w:t>
      </w:r>
    </w:p>
    <w:p w14:paraId="55B38F41">
      <w:pPr>
        <w:widowControl w:val="0"/>
        <w:numPr>
          <w:numId w:val="0"/>
        </w:numPr>
        <w:jc w:val="both"/>
        <w:rPr>
          <w:rFonts w:hint="default"/>
          <w:b/>
          <w:bCs/>
          <w:sz w:val="26"/>
          <w:szCs w:val="26"/>
          <w:u w:val="none"/>
          <w:lang w:val="en-US"/>
        </w:rPr>
      </w:pPr>
    </w:p>
    <w:p w14:paraId="075EEE4F">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The first stage involved developing a Python-based data acquisition script to automate the retrieval of the London Airbnb dataset. Automating the download process ensured consistency, reproducibility, and reduced the manual effort required to obtain updated datasets in the future. The downloaded dataset contained a combination of standard CSV files and compressed GZIP (.gz) files.</w:t>
      </w:r>
    </w:p>
    <w:p w14:paraId="6DB16C17">
      <w:pPr>
        <w:widowControl w:val="0"/>
        <w:numPr>
          <w:numId w:val="0"/>
        </w:numPr>
        <w:jc w:val="both"/>
        <w:rPr>
          <w:rFonts w:hint="default"/>
          <w:b w:val="0"/>
          <w:bCs w:val="0"/>
          <w:sz w:val="26"/>
          <w:szCs w:val="26"/>
          <w:u w:val="none"/>
          <w:lang w:val="en-US"/>
        </w:rPr>
      </w:pPr>
    </w:p>
    <w:p w14:paraId="6133C43F">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To prepare the data for analysis, a dedicated extraction script was developed to decompress the .gz files and convert them into usable CSV formats. This process enabled direct inspection of the underlying data while preserving the original source files. The extraction stage ensured that all datasets were available in a consistent format for downstream processing and integration.</w:t>
      </w:r>
    </w:p>
    <w:p w14:paraId="5AB6A914">
      <w:pPr>
        <w:widowControl w:val="0"/>
        <w:numPr>
          <w:numId w:val="0"/>
        </w:numPr>
        <w:jc w:val="both"/>
        <w:rPr>
          <w:rFonts w:hint="default"/>
          <w:b w:val="0"/>
          <w:bCs w:val="0"/>
          <w:sz w:val="26"/>
          <w:szCs w:val="26"/>
          <w:u w:val="none"/>
          <w:lang w:val="en-US"/>
        </w:rPr>
      </w:pPr>
    </w:p>
    <w:p w14:paraId="14F31244">
      <w:pPr>
        <w:widowControl w:val="0"/>
        <w:numPr>
          <w:numId w:val="0"/>
        </w:numPr>
        <w:jc w:val="both"/>
        <w:rPr>
          <w:rFonts w:hint="default"/>
          <w:b/>
          <w:bCs/>
          <w:sz w:val="26"/>
          <w:szCs w:val="26"/>
          <w:u w:val="none"/>
          <w:lang w:val="en-US"/>
        </w:rPr>
      </w:pPr>
      <w:r>
        <w:rPr>
          <w:rFonts w:hint="default"/>
          <w:b/>
          <w:bCs/>
          <w:sz w:val="26"/>
          <w:szCs w:val="26"/>
          <w:u w:val="none"/>
          <w:lang w:val="en-US"/>
        </w:rPr>
        <w:t>Data Cleaning and Preparation</w:t>
      </w:r>
    </w:p>
    <w:p w14:paraId="6CCAFFC5">
      <w:pPr>
        <w:widowControl w:val="0"/>
        <w:numPr>
          <w:numId w:val="0"/>
        </w:numPr>
        <w:jc w:val="both"/>
        <w:rPr>
          <w:rFonts w:hint="default"/>
          <w:b w:val="0"/>
          <w:bCs w:val="0"/>
          <w:sz w:val="26"/>
          <w:szCs w:val="26"/>
          <w:u w:val="none"/>
          <w:lang w:val="en-US"/>
        </w:rPr>
      </w:pPr>
    </w:p>
    <w:p w14:paraId="3DA79D12">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Following extraction, a data cleaning pipeline was implemented using Python to improve the quality and usability of the datasets. The cleaning process focused on identifying and handling inconsistencies across files, standardizing data structures, and preparing the data for database ingestion. Particular attention was given to fields containing missing values, ambiguous attributes, inconsistent formats, and duplicated information.</w:t>
      </w:r>
    </w:p>
    <w:p w14:paraId="09DAD013">
      <w:pPr>
        <w:widowControl w:val="0"/>
        <w:numPr>
          <w:numId w:val="0"/>
        </w:numPr>
        <w:jc w:val="both"/>
        <w:rPr>
          <w:rFonts w:hint="default"/>
          <w:b w:val="0"/>
          <w:bCs w:val="0"/>
          <w:sz w:val="26"/>
          <w:szCs w:val="26"/>
          <w:u w:val="none"/>
          <w:lang w:val="en-US"/>
        </w:rPr>
      </w:pPr>
    </w:p>
    <w:p w14:paraId="00C33CD6">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The cleaning stage was necessary due to several data quality concerns identified during dataset familiarization. These included missing values in key attributes such as price, neighbourhood information, and licensing fields, as well as inconsistencies between CSV and CSV.GZ versions of certain datasets. By addressing these issues early in the workflow, the resulting analytical environment became more reliable and suitable for generating accurate insights.</w:t>
      </w:r>
    </w:p>
    <w:p w14:paraId="76A491B7">
      <w:pPr>
        <w:widowControl w:val="0"/>
        <w:numPr>
          <w:numId w:val="0"/>
        </w:numPr>
        <w:jc w:val="both"/>
        <w:rPr>
          <w:rFonts w:hint="default"/>
          <w:b w:val="0"/>
          <w:bCs w:val="0"/>
          <w:sz w:val="26"/>
          <w:szCs w:val="26"/>
          <w:u w:val="none"/>
          <w:lang w:val="en-US"/>
        </w:rPr>
      </w:pPr>
    </w:p>
    <w:p w14:paraId="4E5BF49F">
      <w:pPr>
        <w:widowControl w:val="0"/>
        <w:numPr>
          <w:numId w:val="0"/>
        </w:numPr>
        <w:jc w:val="both"/>
        <w:rPr>
          <w:rFonts w:hint="default"/>
          <w:b/>
          <w:bCs/>
          <w:sz w:val="26"/>
          <w:szCs w:val="26"/>
          <w:u w:val="none"/>
          <w:lang w:val="en-US"/>
        </w:rPr>
      </w:pPr>
      <w:r>
        <w:rPr>
          <w:rFonts w:hint="default"/>
          <w:b/>
          <w:bCs/>
          <w:sz w:val="26"/>
          <w:szCs w:val="26"/>
          <w:u w:val="none"/>
          <w:lang w:val="en-US"/>
        </w:rPr>
        <w:t>Dataset Profiling and Metadata Analysis</w:t>
      </w:r>
    </w:p>
    <w:p w14:paraId="660E6B11">
      <w:pPr>
        <w:widowControl w:val="0"/>
        <w:numPr>
          <w:numId w:val="0"/>
        </w:numPr>
        <w:jc w:val="both"/>
        <w:rPr>
          <w:rFonts w:hint="default"/>
          <w:b/>
          <w:bCs/>
          <w:sz w:val="26"/>
          <w:szCs w:val="26"/>
          <w:u w:val="none"/>
          <w:lang w:val="en-US"/>
        </w:rPr>
      </w:pPr>
    </w:p>
    <w:p w14:paraId="58E690B3">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Once the datasets were cleaned, a detailed profiling exercise was conducted to understand the structure and characteristics of each file. SQL DESCRIBE queries were executed against all datasets to extract metadata such as column names, data types, row counts, null counts, and field cardinality.</w:t>
      </w:r>
    </w:p>
    <w:p w14:paraId="205AD74B">
      <w:pPr>
        <w:widowControl w:val="0"/>
        <w:numPr>
          <w:numId w:val="0"/>
        </w:numPr>
        <w:jc w:val="both"/>
        <w:rPr>
          <w:rFonts w:hint="default"/>
          <w:b w:val="0"/>
          <w:bCs w:val="0"/>
          <w:sz w:val="26"/>
          <w:szCs w:val="26"/>
          <w:u w:val="none"/>
          <w:lang w:val="en-US"/>
        </w:rPr>
      </w:pPr>
    </w:p>
    <w:p w14:paraId="3897C8FE">
      <w:pPr>
        <w:widowControl w:val="0"/>
        <w:numPr>
          <w:numId w:val="0"/>
        </w:numPr>
        <w:jc w:val="both"/>
        <w:rPr>
          <w:rFonts w:hint="default"/>
          <w:b w:val="0"/>
          <w:bCs w:val="0"/>
          <w:sz w:val="26"/>
          <w:szCs w:val="26"/>
          <w:u w:val="none"/>
          <w:lang w:val="en-US"/>
        </w:rPr>
      </w:pPr>
    </w:p>
    <w:p w14:paraId="49FA46A3">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The profiling process served multiple purposes. Firstly, it enabled the identification of potential primary keys and foreign key relationships across the dataset. Secondly, it provided visibility into the completeness and quality of individual attributes. Finally, it established a documented schema reference that could be used throughout the remainder of the project.</w:t>
      </w:r>
    </w:p>
    <w:p w14:paraId="16F4DC9D">
      <w:pPr>
        <w:widowControl w:val="0"/>
        <w:numPr>
          <w:numId w:val="0"/>
        </w:numPr>
        <w:jc w:val="both"/>
        <w:rPr>
          <w:rFonts w:hint="default"/>
          <w:b w:val="0"/>
          <w:bCs w:val="0"/>
          <w:sz w:val="26"/>
          <w:szCs w:val="26"/>
          <w:u w:val="none"/>
          <w:lang w:val="en-US"/>
        </w:rPr>
      </w:pPr>
    </w:p>
    <w:p w14:paraId="10B32AEF">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This stage also helped identify limitations within the source data, including missing pricing information in calendar records, ambiguous field naming across multiple files, and inconsistencies in data availability. These observations informed the design decisions made during the data warehouse implementation.</w:t>
      </w:r>
    </w:p>
    <w:p w14:paraId="6C2E66DD">
      <w:pPr>
        <w:widowControl w:val="0"/>
        <w:numPr>
          <w:numId w:val="0"/>
        </w:numPr>
        <w:jc w:val="both"/>
        <w:rPr>
          <w:rFonts w:hint="default"/>
          <w:b w:val="0"/>
          <w:bCs w:val="0"/>
          <w:sz w:val="26"/>
          <w:szCs w:val="26"/>
          <w:u w:val="none"/>
          <w:lang w:val="en-US"/>
        </w:rPr>
      </w:pPr>
    </w:p>
    <w:p w14:paraId="1B522655">
      <w:pPr>
        <w:widowControl w:val="0"/>
        <w:numPr>
          <w:numId w:val="0"/>
        </w:numPr>
        <w:jc w:val="both"/>
        <w:rPr>
          <w:rFonts w:hint="default"/>
          <w:b/>
          <w:bCs/>
          <w:sz w:val="26"/>
          <w:szCs w:val="26"/>
          <w:u w:val="none"/>
          <w:lang w:val="en-US"/>
        </w:rPr>
      </w:pPr>
      <w:r>
        <w:rPr>
          <w:rFonts w:hint="default"/>
          <w:b/>
          <w:bCs/>
          <w:sz w:val="26"/>
          <w:szCs w:val="26"/>
          <w:u w:val="none"/>
          <w:lang w:val="en-US"/>
        </w:rPr>
        <w:t>Data Warehouse Design and Implementation</w:t>
      </w:r>
    </w:p>
    <w:p w14:paraId="69B24E4B">
      <w:pPr>
        <w:widowControl w:val="0"/>
        <w:numPr>
          <w:numId w:val="0"/>
        </w:numPr>
        <w:jc w:val="both"/>
        <w:rPr>
          <w:rFonts w:hint="default"/>
          <w:b/>
          <w:bCs/>
          <w:sz w:val="26"/>
          <w:szCs w:val="26"/>
          <w:u w:val="none"/>
          <w:lang w:val="en-US"/>
        </w:rPr>
      </w:pPr>
    </w:p>
    <w:p w14:paraId="2A071CF5">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To support efficient querying and analytical processing, a centralized database named Analytics_Warehouse was designed and implemented. Rather than storing the data in isolated tables, a star schema architecture was adopted to organize the information into a structure optimized for analytical workloads.</w:t>
      </w:r>
    </w:p>
    <w:p w14:paraId="754963C4">
      <w:pPr>
        <w:widowControl w:val="0"/>
        <w:numPr>
          <w:numId w:val="0"/>
        </w:numPr>
        <w:jc w:val="both"/>
        <w:rPr>
          <w:rFonts w:hint="default"/>
          <w:b w:val="0"/>
          <w:bCs w:val="0"/>
          <w:sz w:val="26"/>
          <w:szCs w:val="26"/>
          <w:u w:val="none"/>
          <w:lang w:val="en-US"/>
        </w:rPr>
      </w:pPr>
    </w:p>
    <w:p w14:paraId="20195B15">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The star schema design provided several advantages, including simplified query logic, improved reporting performance, and enhanced scalability for future analytical requirements. Fact tables were used to store transactional and measurable data, while dimension tables were created to represent descriptive entities such as listings, hosts, locations, and dates.</w:t>
      </w:r>
    </w:p>
    <w:p w14:paraId="3B41A4FE">
      <w:pPr>
        <w:widowControl w:val="0"/>
        <w:numPr>
          <w:numId w:val="0"/>
        </w:numPr>
        <w:jc w:val="both"/>
        <w:rPr>
          <w:rFonts w:hint="default"/>
          <w:b w:val="0"/>
          <w:bCs w:val="0"/>
          <w:sz w:val="26"/>
          <w:szCs w:val="26"/>
          <w:u w:val="none"/>
          <w:lang w:val="en-US"/>
        </w:rPr>
      </w:pPr>
    </w:p>
    <w:p w14:paraId="719B4977">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The warehouse served as the central repository for all processed Airbnb data and formed the foundation for subsequent analysis and visualization activities. By consolidating information from multiple source files into a unified analytical model, the database enabled more complex business questions to be answered efficiently.</w:t>
      </w:r>
    </w:p>
    <w:p w14:paraId="72B7099E">
      <w:pPr>
        <w:widowControl w:val="0"/>
        <w:numPr>
          <w:numId w:val="0"/>
        </w:numPr>
        <w:jc w:val="both"/>
        <w:rPr>
          <w:rFonts w:hint="default"/>
          <w:b w:val="0"/>
          <w:bCs w:val="0"/>
          <w:sz w:val="26"/>
          <w:szCs w:val="26"/>
          <w:u w:val="none"/>
          <w:lang w:val="en-US"/>
        </w:rPr>
      </w:pPr>
    </w:p>
    <w:p w14:paraId="0B71CE26">
      <w:pPr>
        <w:widowControl w:val="0"/>
        <w:numPr>
          <w:numId w:val="0"/>
        </w:numPr>
        <w:jc w:val="both"/>
        <w:rPr>
          <w:rFonts w:hint="default"/>
          <w:b/>
          <w:bCs/>
          <w:sz w:val="26"/>
          <w:szCs w:val="26"/>
          <w:u w:val="none"/>
          <w:lang w:val="en-US"/>
        </w:rPr>
      </w:pPr>
      <w:r>
        <w:rPr>
          <w:rFonts w:hint="default"/>
          <w:b/>
          <w:bCs/>
          <w:sz w:val="26"/>
          <w:szCs w:val="26"/>
          <w:u w:val="none"/>
          <w:lang w:val="en-US"/>
        </w:rPr>
        <w:t>Data Integration and Feature Enhancement</w:t>
      </w:r>
    </w:p>
    <w:p w14:paraId="5CC4D25A">
      <w:pPr>
        <w:widowControl w:val="0"/>
        <w:numPr>
          <w:numId w:val="0"/>
        </w:numPr>
        <w:jc w:val="both"/>
        <w:rPr>
          <w:rFonts w:hint="default"/>
          <w:b w:val="0"/>
          <w:bCs w:val="0"/>
          <w:sz w:val="26"/>
          <w:szCs w:val="26"/>
          <w:u w:val="none"/>
          <w:lang w:val="en-US"/>
        </w:rPr>
      </w:pPr>
    </w:p>
    <w:p w14:paraId="3AE9CDBB">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One of the key challenges identified during the project was the absence of date-wise pricing information within certain datasets. While the Calendar dataset contained date-based availability information, the associated pricing fields were largely unavailable. Conversely, the Listings dataset contained pricing information but lacked the detailed temporal perspective required for time-series analysis.</w:t>
      </w:r>
    </w:p>
    <w:p w14:paraId="45A1E332">
      <w:pPr>
        <w:widowControl w:val="0"/>
        <w:numPr>
          <w:numId w:val="0"/>
        </w:numPr>
        <w:jc w:val="both"/>
        <w:rPr>
          <w:rFonts w:hint="default"/>
          <w:b w:val="0"/>
          <w:bCs w:val="0"/>
          <w:sz w:val="26"/>
          <w:szCs w:val="26"/>
          <w:u w:val="none"/>
          <w:lang w:val="en-US"/>
        </w:rPr>
      </w:pPr>
    </w:p>
    <w:p w14:paraId="6E286180">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To address this limitation, the Listings and Calendar datasets were integrated within the Analytics_Warehouse environment. This integration enabled pricing information to be associated with calendar dates, creating a richer analytical dataset capable of supporting temporal analysis and trend identification. The resulting structure allowed pricing behaviour to be examined in relation to dates, availability patterns, occupancy trends, and seasonal fluctuations.</w:t>
      </w:r>
    </w:p>
    <w:p w14:paraId="2ED32398">
      <w:pPr>
        <w:widowControl w:val="0"/>
        <w:numPr>
          <w:numId w:val="0"/>
        </w:numPr>
        <w:jc w:val="both"/>
        <w:rPr>
          <w:rFonts w:hint="default"/>
          <w:b w:val="0"/>
          <w:bCs w:val="0"/>
          <w:sz w:val="26"/>
          <w:szCs w:val="26"/>
          <w:u w:val="none"/>
          <w:lang w:val="en-US"/>
        </w:rPr>
      </w:pPr>
    </w:p>
    <w:p w14:paraId="29B8B9D2">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This enhancement significantly expanded the analytical capabilities of the project and provided a stronger foundation for future predictive modelling initiatives.</w:t>
      </w:r>
    </w:p>
    <w:p w14:paraId="0640DDF1">
      <w:pPr>
        <w:widowControl w:val="0"/>
        <w:numPr>
          <w:numId w:val="0"/>
        </w:numPr>
        <w:jc w:val="both"/>
        <w:rPr>
          <w:rFonts w:hint="default"/>
          <w:b/>
          <w:bCs/>
          <w:sz w:val="26"/>
          <w:szCs w:val="26"/>
          <w:u w:val="none"/>
          <w:lang w:val="en-US"/>
        </w:rPr>
      </w:pPr>
      <w:r>
        <w:rPr>
          <w:rFonts w:hint="default"/>
          <w:b/>
          <w:bCs/>
          <w:sz w:val="26"/>
          <w:szCs w:val="26"/>
          <w:u w:val="none"/>
          <w:lang w:val="en-US"/>
        </w:rPr>
        <w:t>Data Visualization and Insight Generation</w:t>
      </w:r>
    </w:p>
    <w:p w14:paraId="05FB0607">
      <w:pPr>
        <w:widowControl w:val="0"/>
        <w:numPr>
          <w:numId w:val="0"/>
        </w:numPr>
        <w:jc w:val="both"/>
        <w:rPr>
          <w:rFonts w:hint="default"/>
          <w:b/>
          <w:bCs/>
          <w:sz w:val="26"/>
          <w:szCs w:val="26"/>
          <w:u w:val="none"/>
          <w:lang w:val="en-US"/>
        </w:rPr>
      </w:pPr>
    </w:p>
    <w:p w14:paraId="2998F98A">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Following warehouse implementation, the integrated dataset was used to perform exploratory analysis and generate business insights. A variety of visualizations and statistical plots were created to investigate pricing behaviour, neighbourhood characteristics, listing distribution, host concentration, review activity, and seasonal trends.</w:t>
      </w:r>
    </w:p>
    <w:p w14:paraId="24758B16">
      <w:pPr>
        <w:widowControl w:val="0"/>
        <w:numPr>
          <w:numId w:val="0"/>
        </w:numPr>
        <w:jc w:val="both"/>
        <w:rPr>
          <w:rFonts w:hint="default"/>
          <w:b w:val="0"/>
          <w:bCs w:val="0"/>
          <w:sz w:val="26"/>
          <w:szCs w:val="26"/>
          <w:u w:val="none"/>
          <w:lang w:val="en-US"/>
        </w:rPr>
      </w:pPr>
    </w:p>
    <w:p w14:paraId="2E49BBA5">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The warehouse architecture enabled efficient querying of large datasets and facilitated the creation of meaningful visual representations of marketplace activity. These visualizations helped uncover patterns relating to premium and budget neighbourhoods, host portfolio concentration, review distributions, seasonal demand behaviour, and pricing dynamics across different property categories.</w:t>
      </w:r>
    </w:p>
    <w:p w14:paraId="1A4E722B">
      <w:pPr>
        <w:widowControl w:val="0"/>
        <w:numPr>
          <w:numId w:val="0"/>
        </w:numPr>
        <w:jc w:val="both"/>
        <w:rPr>
          <w:rFonts w:hint="default"/>
          <w:b w:val="0"/>
          <w:bCs w:val="0"/>
          <w:sz w:val="26"/>
          <w:szCs w:val="26"/>
          <w:u w:val="none"/>
          <w:lang w:val="en-US"/>
        </w:rPr>
      </w:pPr>
    </w:p>
    <w:p w14:paraId="0976574B">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The analytical outputs generated during this stage formed the basis of the findings and recommendations presented throughout the report.</w:t>
      </w:r>
    </w:p>
    <w:p w14:paraId="297ACEC1">
      <w:pPr>
        <w:widowControl w:val="0"/>
        <w:numPr>
          <w:numId w:val="0"/>
        </w:numPr>
        <w:jc w:val="both"/>
        <w:rPr>
          <w:rFonts w:hint="default"/>
          <w:b w:val="0"/>
          <w:bCs w:val="0"/>
          <w:sz w:val="26"/>
          <w:szCs w:val="26"/>
          <w:u w:val="none"/>
          <w:lang w:val="en-US"/>
        </w:rPr>
      </w:pPr>
    </w:p>
    <w:p w14:paraId="46452F97">
      <w:pPr>
        <w:widowControl w:val="0"/>
        <w:numPr>
          <w:numId w:val="0"/>
        </w:numPr>
        <w:jc w:val="both"/>
        <w:rPr>
          <w:rFonts w:hint="default"/>
          <w:b/>
          <w:bCs/>
          <w:sz w:val="26"/>
          <w:szCs w:val="26"/>
          <w:u w:val="none"/>
          <w:lang w:val="en-US"/>
        </w:rPr>
      </w:pPr>
      <w:r>
        <w:rPr>
          <w:rFonts w:hint="default"/>
          <w:b/>
          <w:bCs/>
          <w:sz w:val="26"/>
          <w:szCs w:val="26"/>
          <w:u w:val="none"/>
          <w:lang w:val="en-US"/>
        </w:rPr>
        <w:t>Future Enhancements</w:t>
      </w:r>
    </w:p>
    <w:p w14:paraId="20C74BBA">
      <w:pPr>
        <w:widowControl w:val="0"/>
        <w:numPr>
          <w:numId w:val="0"/>
        </w:numPr>
        <w:jc w:val="both"/>
        <w:rPr>
          <w:rFonts w:hint="default"/>
          <w:b w:val="0"/>
          <w:bCs w:val="0"/>
          <w:sz w:val="26"/>
          <w:szCs w:val="26"/>
          <w:u w:val="none"/>
          <w:lang w:val="en-US"/>
        </w:rPr>
      </w:pPr>
    </w:p>
    <w:p w14:paraId="6A4E3767">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While the current implementation successfully establishes a complete analytical pipeline and reporting environment, several opportunities exist for future development. The next phase of the project will focus on incorporating machine learning models capable of forecasting pricing trends, occupancy levels, demand fluctuations, and revenue potential. Predictive modelling techniques will leverage the engineered features and integrated datasets created during this project.</w:t>
      </w:r>
    </w:p>
    <w:p w14:paraId="7F513C40">
      <w:pPr>
        <w:widowControl w:val="0"/>
        <w:numPr>
          <w:numId w:val="0"/>
        </w:numPr>
        <w:jc w:val="both"/>
        <w:rPr>
          <w:rFonts w:hint="default"/>
          <w:b w:val="0"/>
          <w:bCs w:val="0"/>
          <w:sz w:val="26"/>
          <w:szCs w:val="26"/>
          <w:u w:val="none"/>
          <w:lang w:val="en-US"/>
        </w:rPr>
      </w:pPr>
    </w:p>
    <w:p w14:paraId="1AB8668E">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In addition, interactive business intelligence dashboards will be developed to provide real-time visualization and decision-support capabilities. These dashboards will allow stakeholders to dynamically explore pricing trends, neighbourhood performance, host activity, and seasonal patterns through an intuitive user interface. Together, these enhancements will transform the Analytics_Warehouse from a descriptive analytics platform into a comprehensive predictive and decision-support system capable of delivering deeper business value.</w:t>
      </w:r>
    </w:p>
    <w:p w14:paraId="4A46AE9D">
      <w:pPr>
        <w:widowControl w:val="0"/>
        <w:numPr>
          <w:numId w:val="0"/>
        </w:numPr>
        <w:jc w:val="both"/>
        <w:rPr>
          <w:rFonts w:hint="default"/>
          <w:b w:val="0"/>
          <w:bCs w:val="0"/>
          <w:sz w:val="26"/>
          <w:szCs w:val="26"/>
          <w:u w:val="none"/>
          <w:lang w:val="en-US"/>
        </w:rPr>
      </w:pPr>
    </w:p>
    <w:p w14:paraId="4740E121">
      <w:pPr>
        <w:widowControl w:val="0"/>
        <w:numPr>
          <w:numId w:val="0"/>
        </w:numPr>
        <w:jc w:val="both"/>
        <w:rPr>
          <w:rFonts w:hint="default"/>
          <w:b w:val="0"/>
          <w:bCs w:val="0"/>
          <w:sz w:val="26"/>
          <w:szCs w:val="26"/>
          <w:u w:val="none"/>
          <w:lang w:val="en-US"/>
        </w:rPr>
      </w:pPr>
    </w:p>
    <w:p w14:paraId="2C30E83B">
      <w:pPr>
        <w:widowControl w:val="0"/>
        <w:numPr>
          <w:numId w:val="0"/>
        </w:numPr>
        <w:jc w:val="both"/>
        <w:rPr>
          <w:rFonts w:hint="default"/>
          <w:b w:val="0"/>
          <w:bCs w:val="0"/>
          <w:sz w:val="26"/>
          <w:szCs w:val="26"/>
          <w:u w:val="none"/>
          <w:lang w:val="en-US"/>
        </w:rPr>
      </w:pPr>
    </w:p>
    <w:p w14:paraId="347B91AF">
      <w:pPr>
        <w:widowControl w:val="0"/>
        <w:numPr>
          <w:numId w:val="0"/>
        </w:numPr>
        <w:jc w:val="both"/>
        <w:rPr>
          <w:rFonts w:hint="default"/>
          <w:b w:val="0"/>
          <w:bCs w:val="0"/>
          <w:sz w:val="26"/>
          <w:szCs w:val="26"/>
          <w:u w:val="none"/>
          <w:lang w:val="en-US"/>
        </w:rPr>
      </w:pPr>
    </w:p>
    <w:p w14:paraId="7FAB3333">
      <w:pPr>
        <w:widowControl w:val="0"/>
        <w:numPr>
          <w:numId w:val="0"/>
        </w:numPr>
        <w:jc w:val="both"/>
        <w:rPr>
          <w:rFonts w:hint="default"/>
          <w:b w:val="0"/>
          <w:bCs w:val="0"/>
          <w:sz w:val="26"/>
          <w:szCs w:val="26"/>
          <w:u w:val="none"/>
          <w:lang w:val="en-US"/>
        </w:rPr>
      </w:pPr>
    </w:p>
    <w:p w14:paraId="3AE7BDF1">
      <w:pPr>
        <w:widowControl w:val="0"/>
        <w:numPr>
          <w:numId w:val="0"/>
        </w:numPr>
        <w:jc w:val="both"/>
        <w:rPr>
          <w:rFonts w:hint="default"/>
          <w:b w:val="0"/>
          <w:bCs w:val="0"/>
          <w:sz w:val="26"/>
          <w:szCs w:val="26"/>
          <w:u w:val="none"/>
          <w:lang w:val="en-US"/>
        </w:rPr>
      </w:pPr>
    </w:p>
    <w:p w14:paraId="6F092CC9">
      <w:pPr>
        <w:widowControl w:val="0"/>
        <w:numPr>
          <w:numId w:val="0"/>
        </w:numPr>
        <w:jc w:val="both"/>
        <w:rPr>
          <w:rFonts w:hint="default"/>
          <w:b w:val="0"/>
          <w:bCs w:val="0"/>
          <w:sz w:val="26"/>
          <w:szCs w:val="26"/>
          <w:u w:val="none"/>
          <w:lang w:val="en-US"/>
        </w:rPr>
      </w:pPr>
    </w:p>
    <w:p w14:paraId="0BC3BC70">
      <w:pPr>
        <w:widowControl w:val="0"/>
        <w:numPr>
          <w:numId w:val="0"/>
        </w:numPr>
        <w:jc w:val="both"/>
        <w:rPr>
          <w:rFonts w:hint="default"/>
          <w:b w:val="0"/>
          <w:bCs w:val="0"/>
          <w:sz w:val="26"/>
          <w:szCs w:val="26"/>
          <w:u w:val="none"/>
          <w:lang w:val="en-US"/>
        </w:rPr>
      </w:pPr>
    </w:p>
    <w:p w14:paraId="25AFBEF0">
      <w:pPr>
        <w:widowControl w:val="0"/>
        <w:numPr>
          <w:numId w:val="0"/>
        </w:numPr>
        <w:jc w:val="both"/>
        <w:rPr>
          <w:rFonts w:hint="default"/>
          <w:b w:val="0"/>
          <w:bCs w:val="0"/>
          <w:sz w:val="26"/>
          <w:szCs w:val="26"/>
          <w:u w:val="none"/>
          <w:lang w:val="en-US"/>
        </w:rPr>
      </w:pPr>
    </w:p>
    <w:p w14:paraId="6446F816">
      <w:pPr>
        <w:widowControl w:val="0"/>
        <w:numPr>
          <w:numId w:val="0"/>
        </w:numPr>
        <w:jc w:val="both"/>
        <w:rPr>
          <w:rFonts w:hint="default"/>
          <w:b w:val="0"/>
          <w:bCs w:val="0"/>
          <w:sz w:val="26"/>
          <w:szCs w:val="26"/>
          <w:u w:val="none"/>
          <w:lang w:val="en-US"/>
        </w:rPr>
      </w:pPr>
    </w:p>
    <w:p w14:paraId="681E250A">
      <w:pPr>
        <w:widowControl w:val="0"/>
        <w:numPr>
          <w:numId w:val="0"/>
        </w:numPr>
        <w:jc w:val="both"/>
        <w:rPr>
          <w:rFonts w:hint="default"/>
          <w:b w:val="0"/>
          <w:bCs w:val="0"/>
          <w:sz w:val="26"/>
          <w:szCs w:val="26"/>
          <w:u w:val="none"/>
          <w:lang w:val="en-US"/>
        </w:rPr>
      </w:pPr>
    </w:p>
    <w:p w14:paraId="3594512C">
      <w:pPr>
        <w:widowControl w:val="0"/>
        <w:numPr>
          <w:numId w:val="0"/>
        </w:numPr>
        <w:jc w:val="both"/>
        <w:rPr>
          <w:rFonts w:hint="default"/>
          <w:b w:val="0"/>
          <w:bCs w:val="0"/>
          <w:sz w:val="26"/>
          <w:szCs w:val="26"/>
          <w:u w:val="none"/>
          <w:lang w:val="en-US"/>
        </w:rPr>
      </w:pPr>
    </w:p>
    <w:p w14:paraId="523FDC7A">
      <w:pPr>
        <w:widowControl w:val="0"/>
        <w:numPr>
          <w:numId w:val="0"/>
        </w:numPr>
        <w:jc w:val="both"/>
        <w:rPr>
          <w:rFonts w:hint="default"/>
          <w:b w:val="0"/>
          <w:bCs w:val="0"/>
          <w:sz w:val="26"/>
          <w:szCs w:val="26"/>
          <w:u w:val="none"/>
          <w:lang w:val="en-US"/>
        </w:rPr>
      </w:pPr>
    </w:p>
    <w:p w14:paraId="798F5C37">
      <w:pPr>
        <w:widowControl w:val="0"/>
        <w:numPr>
          <w:ilvl w:val="0"/>
          <w:numId w:val="2"/>
        </w:numPr>
        <w:ind w:left="0" w:leftChars="0" w:firstLine="0" w:firstLineChars="0"/>
        <w:jc w:val="both"/>
        <w:rPr>
          <w:rFonts w:hint="default"/>
          <w:b/>
          <w:bCs/>
          <w:sz w:val="40"/>
          <w:szCs w:val="40"/>
          <w:u w:val="none"/>
          <w:lang w:val="en-US"/>
        </w:rPr>
      </w:pPr>
      <w:bookmarkStart w:id="5" w:name="ExploratoryDataAn"/>
      <w:r>
        <w:rPr>
          <w:rFonts w:hint="default"/>
          <w:b/>
          <w:bCs/>
          <w:sz w:val="40"/>
          <w:szCs w:val="40"/>
          <w:u w:val="none"/>
          <w:lang w:val="en-US"/>
        </w:rPr>
        <w:t>Exploratory Data Analysis Findings</w:t>
      </w:r>
    </w:p>
    <w:bookmarkEnd w:id="5"/>
    <w:p w14:paraId="2103770C">
      <w:pPr>
        <w:widowControl w:val="0"/>
        <w:numPr>
          <w:numId w:val="0"/>
        </w:numPr>
        <w:ind w:leftChars="0"/>
        <w:jc w:val="both"/>
        <w:rPr>
          <w:rFonts w:hint="default"/>
          <w:b/>
          <w:bCs/>
          <w:sz w:val="26"/>
          <w:szCs w:val="26"/>
          <w:u w:val="none"/>
          <w:lang w:val="en-US"/>
        </w:rPr>
      </w:pPr>
    </w:p>
    <w:p w14:paraId="162B2650">
      <w:pPr>
        <w:widowControl w:val="0"/>
        <w:numPr>
          <w:ilvl w:val="1"/>
          <w:numId w:val="2"/>
        </w:numPr>
        <w:ind w:leftChars="0"/>
        <w:jc w:val="both"/>
        <w:rPr>
          <w:rFonts w:hint="default"/>
          <w:b/>
          <w:bCs/>
          <w:sz w:val="26"/>
          <w:szCs w:val="26"/>
          <w:u w:val="none"/>
          <w:lang w:val="en-US"/>
        </w:rPr>
      </w:pPr>
      <w:r>
        <w:rPr>
          <w:rFonts w:hint="default"/>
          <w:b/>
          <w:bCs/>
          <w:sz w:val="26"/>
          <w:szCs w:val="26"/>
          <w:u w:val="none"/>
          <w:lang w:val="en-US"/>
        </w:rPr>
        <w:t>Market Skewness Profile</w:t>
      </w:r>
    </w:p>
    <w:p w14:paraId="25BD3D24">
      <w:pPr>
        <w:widowControl w:val="0"/>
        <w:numPr>
          <w:numId w:val="0"/>
        </w:numPr>
        <w:ind w:leftChars="0"/>
        <w:jc w:val="both"/>
        <w:rPr>
          <w:rFonts w:hint="default"/>
          <w:b/>
          <w:bCs/>
          <w:sz w:val="26"/>
          <w:szCs w:val="26"/>
          <w:u w:val="none"/>
          <w:lang w:val="en-US"/>
        </w:rPr>
      </w:pPr>
    </w:p>
    <w:p w14:paraId="22A4F553">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7960" cy="3268980"/>
            <wp:effectExtent l="0" t="0" r="2540" b="7620"/>
            <wp:docPr id="10" name="Picture 10" descr="1_city_pric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_city_price_distribution"/>
                    <pic:cNvPicPr>
                      <a:picLocks noChangeAspect="1"/>
                    </pic:cNvPicPr>
                  </pic:nvPicPr>
                  <pic:blipFill>
                    <a:blip r:embed="rId7"/>
                    <a:stretch>
                      <a:fillRect/>
                    </a:stretch>
                  </pic:blipFill>
                  <pic:spPr>
                    <a:xfrm>
                      <a:off x="0" y="0"/>
                      <a:ext cx="6537960" cy="3268980"/>
                    </a:xfrm>
                    <a:prstGeom prst="rect">
                      <a:avLst/>
                    </a:prstGeom>
                  </pic:spPr>
                </pic:pic>
              </a:graphicData>
            </a:graphic>
          </wp:inline>
        </w:drawing>
      </w:r>
    </w:p>
    <w:p w14:paraId="37458FB3">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distribution chart maps the overall pricing framework across the London short-term rental ecosystem, revealing an asymmetrical, right-skewed power law pattern. The vast majority of marketplace listings are tightly clustered within a lower-tier budget floor ranging from $50 to $120 per night. However, a highly capitalized segment of luxury inventory extends far out into a long right-hand tail, stretching up to a $600 visualization boundary. This extreme right-side skew significantly pulls the platform-wide averages upward, creating a distinct statistical gap between the market median price of $130 and the overall mean price of $159. For researchers and software engineers, this gap indicates that relying on simple averages will result in skewed calculations. Any automated valuation model or market analysis tool must prioritize median baselines or apply algorithmic data transformations to account for this heavy skewness. </w:t>
      </w:r>
    </w:p>
    <w:p w14:paraId="2D50D58C">
      <w:pPr>
        <w:widowControl w:val="0"/>
        <w:numPr>
          <w:numId w:val="0"/>
        </w:numPr>
        <w:ind w:leftChars="0"/>
        <w:jc w:val="both"/>
        <w:rPr>
          <w:rFonts w:hint="default"/>
          <w:b w:val="0"/>
          <w:bCs w:val="0"/>
          <w:sz w:val="26"/>
          <w:szCs w:val="26"/>
          <w:u w:val="none"/>
          <w:lang w:val="en-US"/>
        </w:rPr>
      </w:pPr>
    </w:p>
    <w:p w14:paraId="1040E1A3">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The visualization proves that the London marketplace is fundamentally anchored by a high-density budget tier, while simultaneously being influenced by an aggressive premium tier that impacts overall market dynamics.</w:t>
      </w:r>
    </w:p>
    <w:p w14:paraId="726197BA">
      <w:pPr>
        <w:widowControl w:val="0"/>
        <w:numPr>
          <w:numId w:val="0"/>
        </w:numPr>
        <w:ind w:leftChars="0"/>
        <w:jc w:val="both"/>
        <w:rPr>
          <w:rFonts w:hint="default"/>
          <w:b w:val="0"/>
          <w:bCs w:val="0"/>
          <w:sz w:val="26"/>
          <w:szCs w:val="26"/>
          <w:u w:val="none"/>
          <w:lang w:val="en-US"/>
        </w:rPr>
      </w:pPr>
    </w:p>
    <w:p w14:paraId="04DF8309">
      <w:pPr>
        <w:widowControl w:val="0"/>
        <w:numPr>
          <w:numId w:val="0"/>
        </w:numPr>
        <w:ind w:leftChars="0"/>
        <w:jc w:val="both"/>
        <w:rPr>
          <w:rFonts w:hint="default"/>
          <w:b w:val="0"/>
          <w:bCs w:val="0"/>
          <w:sz w:val="26"/>
          <w:szCs w:val="26"/>
          <w:u w:val="none"/>
          <w:lang w:val="en-US"/>
        </w:rPr>
      </w:pPr>
    </w:p>
    <w:p w14:paraId="4EF0CE96">
      <w:pPr>
        <w:widowControl w:val="0"/>
        <w:numPr>
          <w:numId w:val="0"/>
        </w:numPr>
        <w:ind w:leftChars="0"/>
        <w:jc w:val="both"/>
        <w:rPr>
          <w:rFonts w:hint="default"/>
          <w:b w:val="0"/>
          <w:bCs w:val="0"/>
          <w:sz w:val="26"/>
          <w:szCs w:val="26"/>
          <w:u w:val="none"/>
          <w:lang w:val="en-US"/>
        </w:rPr>
      </w:pPr>
    </w:p>
    <w:p w14:paraId="7FBEB5C6">
      <w:pPr>
        <w:widowControl w:val="0"/>
        <w:numPr>
          <w:numId w:val="0"/>
        </w:numPr>
        <w:ind w:leftChars="0"/>
        <w:jc w:val="both"/>
        <w:rPr>
          <w:rFonts w:hint="default"/>
          <w:b w:val="0"/>
          <w:bCs w:val="0"/>
          <w:sz w:val="26"/>
          <w:szCs w:val="26"/>
          <w:u w:val="none"/>
          <w:lang w:val="en-US"/>
        </w:rPr>
      </w:pPr>
    </w:p>
    <w:p w14:paraId="63180857">
      <w:pPr>
        <w:widowControl w:val="0"/>
        <w:numPr>
          <w:numId w:val="0"/>
        </w:numPr>
        <w:ind w:leftChars="0"/>
        <w:jc w:val="both"/>
        <w:rPr>
          <w:rFonts w:hint="default"/>
          <w:b w:val="0"/>
          <w:bCs w:val="0"/>
          <w:sz w:val="26"/>
          <w:szCs w:val="26"/>
          <w:u w:val="none"/>
          <w:lang w:val="en-US"/>
        </w:rPr>
      </w:pPr>
    </w:p>
    <w:p w14:paraId="2589DD42">
      <w:pPr>
        <w:widowControl w:val="0"/>
        <w:numPr>
          <w:numId w:val="0"/>
        </w:numPr>
        <w:ind w:leftChars="0"/>
        <w:jc w:val="both"/>
        <w:rPr>
          <w:rFonts w:hint="default"/>
          <w:b w:val="0"/>
          <w:bCs w:val="0"/>
          <w:sz w:val="26"/>
          <w:szCs w:val="26"/>
          <w:u w:val="none"/>
          <w:lang w:val="en-US"/>
        </w:rPr>
      </w:pPr>
    </w:p>
    <w:p w14:paraId="610B2EA6">
      <w:pPr>
        <w:widowControl w:val="0"/>
        <w:numPr>
          <w:numId w:val="0"/>
        </w:numPr>
        <w:ind w:leftChars="0"/>
        <w:jc w:val="both"/>
        <w:rPr>
          <w:rFonts w:hint="default"/>
          <w:b w:val="0"/>
          <w:bCs w:val="0"/>
          <w:sz w:val="26"/>
          <w:szCs w:val="26"/>
          <w:u w:val="none"/>
          <w:lang w:val="en-US"/>
        </w:rPr>
      </w:pPr>
    </w:p>
    <w:p w14:paraId="2614E6A0">
      <w:pPr>
        <w:widowControl w:val="0"/>
        <w:numPr>
          <w:numId w:val="0"/>
        </w:numPr>
        <w:ind w:leftChars="0"/>
        <w:jc w:val="both"/>
        <w:rPr>
          <w:rFonts w:hint="default"/>
          <w:b w:val="0"/>
          <w:bCs w:val="0"/>
          <w:sz w:val="26"/>
          <w:szCs w:val="26"/>
          <w:u w:val="none"/>
          <w:lang w:val="en-US"/>
        </w:rPr>
      </w:pPr>
    </w:p>
    <w:p w14:paraId="4A6E9A6F">
      <w:pPr>
        <w:widowControl w:val="0"/>
        <w:numPr>
          <w:numId w:val="0"/>
        </w:numPr>
        <w:ind w:leftChars="0"/>
        <w:jc w:val="both"/>
        <w:rPr>
          <w:rFonts w:hint="default"/>
          <w:b w:val="0"/>
          <w:bCs w:val="0"/>
          <w:sz w:val="26"/>
          <w:szCs w:val="26"/>
          <w:u w:val="none"/>
          <w:lang w:val="en-US"/>
        </w:rPr>
      </w:pPr>
    </w:p>
    <w:p w14:paraId="23EC58C6">
      <w:pPr>
        <w:widowControl w:val="0"/>
        <w:numPr>
          <w:numId w:val="0"/>
        </w:numPr>
        <w:ind w:leftChars="0"/>
        <w:jc w:val="both"/>
        <w:rPr>
          <w:rFonts w:hint="default"/>
          <w:b/>
          <w:bCs/>
          <w:sz w:val="26"/>
          <w:szCs w:val="26"/>
          <w:u w:val="none"/>
          <w:lang w:val="en-US"/>
        </w:rPr>
      </w:pPr>
      <w:r>
        <w:rPr>
          <w:rFonts w:hint="default"/>
          <w:b/>
          <w:bCs/>
          <w:sz w:val="26"/>
          <w:szCs w:val="26"/>
          <w:u w:val="none"/>
          <w:lang w:val="en-US"/>
        </w:rPr>
        <w:t>6.2 Spatial Valuation Spreads</w:t>
      </w:r>
    </w:p>
    <w:p w14:paraId="5B2B42FE">
      <w:pPr>
        <w:widowControl w:val="0"/>
        <w:numPr>
          <w:numId w:val="0"/>
        </w:numPr>
        <w:ind w:leftChars="0"/>
        <w:jc w:val="both"/>
        <w:rPr>
          <w:rFonts w:hint="default"/>
          <w:b/>
          <w:bCs/>
          <w:sz w:val="26"/>
          <w:szCs w:val="26"/>
          <w:u w:val="none"/>
          <w:lang w:val="en-US"/>
        </w:rPr>
      </w:pPr>
    </w:p>
    <w:p w14:paraId="651EB528">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drawing>
          <wp:inline distT="0" distB="0" distL="114300" distR="114300">
            <wp:extent cx="6539865" cy="3269615"/>
            <wp:effectExtent l="0" t="0" r="635" b="6985"/>
            <wp:docPr id="11" name="Picture 11" descr="2_price_by_neighbour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_price_by_neighbourhood"/>
                    <pic:cNvPicPr>
                      <a:picLocks noChangeAspect="1"/>
                    </pic:cNvPicPr>
                  </pic:nvPicPr>
                  <pic:blipFill>
                    <a:blip r:embed="rId8"/>
                    <a:stretch>
                      <a:fillRect/>
                    </a:stretch>
                  </pic:blipFill>
                  <pic:spPr>
                    <a:xfrm>
                      <a:off x="0" y="0"/>
                      <a:ext cx="6539865" cy="3269615"/>
                    </a:xfrm>
                    <a:prstGeom prst="rect">
                      <a:avLst/>
                    </a:prstGeom>
                  </pic:spPr>
                </pic:pic>
              </a:graphicData>
            </a:graphic>
          </wp:inline>
        </w:drawing>
      </w:r>
    </w:p>
    <w:p w14:paraId="2926FD17">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horizontal box plot breaks down the pricing structures across the top ten London boroughs based on listing density, showing clear location premiums across the city. The market is anchored by central tourist and commercial hubs, with Westminster and Kensington and Chelsea commanding the highest median property values. </w:t>
      </w:r>
    </w:p>
    <w:p w14:paraId="018EA718">
      <w:pPr>
        <w:widowControl w:val="0"/>
        <w:numPr>
          <w:numId w:val="0"/>
        </w:numPr>
        <w:ind w:leftChars="0"/>
        <w:jc w:val="both"/>
        <w:rPr>
          <w:rFonts w:hint="default"/>
          <w:b w:val="0"/>
          <w:bCs w:val="0"/>
          <w:sz w:val="26"/>
          <w:szCs w:val="26"/>
          <w:u w:val="none"/>
          <w:lang w:val="en-US"/>
        </w:rPr>
      </w:pPr>
    </w:p>
    <w:p w14:paraId="7EE87D7A">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These two premium regions exhibit wide interquartile spreads that push past $300, alongside a high density of expensive outlier points extending to the $600 limit. Moving away from the luxury center reveals a distinct downward trend. High-density eastern residential areas, such as Tower Hamlets and Hackney, display highly compressed, budget-friendly price boxes with medians dropping below $100. Mid-market boroughs like Camden, Islington, and Hammersmith and Fulham maintain stable, balanced mid-tier spreads. </w:t>
      </w:r>
    </w:p>
    <w:p w14:paraId="428FD080">
      <w:pPr>
        <w:widowControl w:val="0"/>
        <w:numPr>
          <w:numId w:val="0"/>
        </w:numPr>
        <w:ind w:leftChars="0"/>
        <w:jc w:val="both"/>
        <w:rPr>
          <w:rFonts w:hint="default"/>
          <w:b w:val="0"/>
          <w:bCs w:val="0"/>
          <w:sz w:val="26"/>
          <w:szCs w:val="26"/>
          <w:u w:val="none"/>
          <w:lang w:val="en-US"/>
        </w:rPr>
      </w:pPr>
    </w:p>
    <w:p w14:paraId="088FDB4F">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This layout proves that geographic location is a primary driver of price variance, showing that a property's specific borough completely changes its pricing behavior, distribution spread, and revenue potential.</w:t>
      </w:r>
    </w:p>
    <w:p w14:paraId="6F871427">
      <w:pPr>
        <w:widowControl w:val="0"/>
        <w:numPr>
          <w:numId w:val="0"/>
        </w:numPr>
        <w:ind w:leftChars="0"/>
        <w:jc w:val="both"/>
        <w:rPr>
          <w:rFonts w:hint="default"/>
          <w:b w:val="0"/>
          <w:bCs w:val="0"/>
          <w:sz w:val="26"/>
          <w:szCs w:val="26"/>
          <w:u w:val="none"/>
          <w:lang w:val="en-US"/>
        </w:rPr>
      </w:pPr>
    </w:p>
    <w:p w14:paraId="7191A423">
      <w:pPr>
        <w:widowControl w:val="0"/>
        <w:numPr>
          <w:numId w:val="0"/>
        </w:numPr>
        <w:ind w:leftChars="0"/>
        <w:jc w:val="both"/>
        <w:rPr>
          <w:rFonts w:hint="default"/>
          <w:b w:val="0"/>
          <w:bCs w:val="0"/>
          <w:sz w:val="26"/>
          <w:szCs w:val="26"/>
          <w:u w:val="none"/>
          <w:lang w:val="en-US"/>
        </w:rPr>
      </w:pPr>
    </w:p>
    <w:p w14:paraId="0B93F22F">
      <w:pPr>
        <w:widowControl w:val="0"/>
        <w:numPr>
          <w:numId w:val="0"/>
        </w:numPr>
        <w:ind w:leftChars="0"/>
        <w:jc w:val="both"/>
        <w:rPr>
          <w:rFonts w:hint="default"/>
          <w:b w:val="0"/>
          <w:bCs w:val="0"/>
          <w:sz w:val="26"/>
          <w:szCs w:val="26"/>
          <w:u w:val="none"/>
          <w:lang w:val="en-US"/>
        </w:rPr>
      </w:pPr>
    </w:p>
    <w:p w14:paraId="598176B3">
      <w:pPr>
        <w:widowControl w:val="0"/>
        <w:numPr>
          <w:numId w:val="0"/>
        </w:numPr>
        <w:ind w:leftChars="0"/>
        <w:jc w:val="both"/>
        <w:rPr>
          <w:rFonts w:hint="default"/>
          <w:b w:val="0"/>
          <w:bCs w:val="0"/>
          <w:sz w:val="26"/>
          <w:szCs w:val="26"/>
          <w:u w:val="none"/>
          <w:lang w:val="en-US"/>
        </w:rPr>
      </w:pPr>
    </w:p>
    <w:p w14:paraId="5BC3053B">
      <w:pPr>
        <w:widowControl w:val="0"/>
        <w:numPr>
          <w:numId w:val="0"/>
        </w:numPr>
        <w:ind w:leftChars="0"/>
        <w:jc w:val="both"/>
        <w:rPr>
          <w:rFonts w:hint="default"/>
          <w:b w:val="0"/>
          <w:bCs w:val="0"/>
          <w:sz w:val="26"/>
          <w:szCs w:val="26"/>
          <w:u w:val="none"/>
          <w:lang w:val="en-US"/>
        </w:rPr>
      </w:pPr>
    </w:p>
    <w:p w14:paraId="7763FEE3">
      <w:pPr>
        <w:widowControl w:val="0"/>
        <w:numPr>
          <w:numId w:val="0"/>
        </w:numPr>
        <w:ind w:leftChars="0"/>
        <w:jc w:val="both"/>
        <w:rPr>
          <w:rFonts w:hint="default"/>
          <w:b w:val="0"/>
          <w:bCs w:val="0"/>
          <w:sz w:val="26"/>
          <w:szCs w:val="26"/>
          <w:u w:val="none"/>
          <w:lang w:val="en-US"/>
        </w:rPr>
      </w:pPr>
    </w:p>
    <w:p w14:paraId="18757178">
      <w:pPr>
        <w:widowControl w:val="0"/>
        <w:numPr>
          <w:numId w:val="0"/>
        </w:numPr>
        <w:ind w:leftChars="0"/>
        <w:jc w:val="both"/>
        <w:rPr>
          <w:rFonts w:hint="default"/>
          <w:b w:val="0"/>
          <w:bCs w:val="0"/>
          <w:sz w:val="26"/>
          <w:szCs w:val="26"/>
          <w:u w:val="none"/>
          <w:lang w:val="en-US"/>
        </w:rPr>
      </w:pPr>
    </w:p>
    <w:p w14:paraId="109AE5BE">
      <w:pPr>
        <w:widowControl w:val="0"/>
        <w:numPr>
          <w:numId w:val="0"/>
        </w:numPr>
        <w:ind w:leftChars="0"/>
        <w:jc w:val="both"/>
        <w:rPr>
          <w:rFonts w:hint="default"/>
          <w:b w:val="0"/>
          <w:bCs w:val="0"/>
          <w:sz w:val="26"/>
          <w:szCs w:val="26"/>
          <w:u w:val="none"/>
          <w:lang w:val="en-US"/>
        </w:rPr>
      </w:pPr>
    </w:p>
    <w:p w14:paraId="4BF7DA94">
      <w:pPr>
        <w:widowControl w:val="0"/>
        <w:numPr>
          <w:numId w:val="0"/>
        </w:numPr>
        <w:ind w:leftChars="0"/>
        <w:jc w:val="both"/>
        <w:rPr>
          <w:rFonts w:hint="default"/>
          <w:b w:val="0"/>
          <w:bCs w:val="0"/>
          <w:sz w:val="26"/>
          <w:szCs w:val="26"/>
          <w:u w:val="none"/>
          <w:lang w:val="en-US"/>
        </w:rPr>
      </w:pPr>
    </w:p>
    <w:p w14:paraId="40E171AF">
      <w:pPr>
        <w:widowControl w:val="0"/>
        <w:numPr>
          <w:numId w:val="0"/>
        </w:numPr>
        <w:ind w:leftChars="0"/>
        <w:jc w:val="both"/>
        <w:rPr>
          <w:rFonts w:hint="default"/>
          <w:b w:val="0"/>
          <w:bCs w:val="0"/>
          <w:sz w:val="26"/>
          <w:szCs w:val="26"/>
          <w:u w:val="none"/>
          <w:lang w:val="en-US"/>
        </w:rPr>
      </w:pPr>
    </w:p>
    <w:p w14:paraId="41C2C60A">
      <w:pPr>
        <w:widowControl w:val="0"/>
        <w:numPr>
          <w:numId w:val="0"/>
        </w:numPr>
        <w:ind w:leftChars="0"/>
        <w:jc w:val="both"/>
        <w:rPr>
          <w:rFonts w:hint="default"/>
          <w:b/>
          <w:bCs/>
          <w:sz w:val="26"/>
          <w:szCs w:val="26"/>
          <w:u w:val="none"/>
          <w:lang w:val="en-US"/>
        </w:rPr>
      </w:pPr>
      <w:r>
        <w:rPr>
          <w:rFonts w:hint="default"/>
          <w:b/>
          <w:bCs/>
          <w:sz w:val="26"/>
          <w:szCs w:val="26"/>
          <w:u w:val="none"/>
          <w:lang w:val="en-US"/>
        </w:rPr>
        <w:t>6.3 Structural Layout Violins</w:t>
      </w:r>
    </w:p>
    <w:p w14:paraId="437EC0CB">
      <w:pPr>
        <w:widowControl w:val="0"/>
        <w:numPr>
          <w:numId w:val="0"/>
        </w:numPr>
        <w:ind w:leftChars="0"/>
        <w:jc w:val="both"/>
        <w:rPr>
          <w:rFonts w:hint="default"/>
          <w:b/>
          <w:bCs/>
          <w:sz w:val="26"/>
          <w:szCs w:val="26"/>
          <w:u w:val="none"/>
          <w:lang w:val="en-US"/>
        </w:rPr>
      </w:pPr>
    </w:p>
    <w:p w14:paraId="21722058">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7960" cy="3923030"/>
            <wp:effectExtent l="0" t="0" r="2540" b="1270"/>
            <wp:docPr id="12" name="Picture 12" descr="3_price_by_room_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3_price_by_room_type"/>
                    <pic:cNvPicPr>
                      <a:picLocks noChangeAspect="1"/>
                    </pic:cNvPicPr>
                  </pic:nvPicPr>
                  <pic:blipFill>
                    <a:blip r:embed="rId9"/>
                    <a:stretch>
                      <a:fillRect/>
                    </a:stretch>
                  </pic:blipFill>
                  <pic:spPr>
                    <a:xfrm>
                      <a:off x="0" y="0"/>
                      <a:ext cx="6537960" cy="3923030"/>
                    </a:xfrm>
                    <a:prstGeom prst="rect">
                      <a:avLst/>
                    </a:prstGeom>
                  </pic:spPr>
                </pic:pic>
              </a:graphicData>
            </a:graphic>
          </wp:inline>
        </w:drawing>
      </w:r>
    </w:p>
    <w:p w14:paraId="297D1D55">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violin plot maps the price distribution velocity across different property layouts, showcasing how space configurations split the market into distinct economic tiers. Shared and private rooms show high probability density peaks at the lowest price points, specifically around $30 and $50 respectively, with </w:t>
      </w:r>
      <w:r>
        <w:rPr>
          <w:rFonts w:hint="default"/>
          <w:b w:val="0"/>
          <w:bCs w:val="0"/>
          <w:sz w:val="26"/>
          <w:szCs w:val="26"/>
          <w:u w:val="none"/>
          <w:lang w:val="en-US"/>
        </w:rPr>
        <w:t xml:space="preserve">very narrow distribution bodies. This pattern indicates that single-room listings are structurally confined to a high-density, low-cost budget floor. In contrast, entire homes and apartments shift the distribution rightward, flattening into a wide pricing plateau between $150 and $350. This wider shape reveals higher pricing flexibility and diverse asset valuations within the full-property segment. Commercial hotel rooms display a more balanced distribution with a higher median baseline, reflecting standard hospitality pricing models rather than individual home-sharing trends. </w:t>
      </w:r>
    </w:p>
    <w:p w14:paraId="4E6A39E8">
      <w:pPr>
        <w:widowControl w:val="0"/>
        <w:numPr>
          <w:numId w:val="0"/>
        </w:numPr>
        <w:ind w:leftChars="0"/>
        <w:jc w:val="both"/>
        <w:rPr>
          <w:rFonts w:hint="default"/>
          <w:b w:val="0"/>
          <w:bCs w:val="0"/>
          <w:sz w:val="26"/>
          <w:szCs w:val="26"/>
          <w:u w:val="none"/>
          <w:lang w:val="en-US"/>
        </w:rPr>
      </w:pPr>
    </w:p>
    <w:p w14:paraId="1C359A8F">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The visualization shows that upgrading from a single room to an entire layout moves an asset into an entirely different demand segment with separate pricing dynamics.</w:t>
      </w:r>
    </w:p>
    <w:p w14:paraId="45D4BA99">
      <w:pPr>
        <w:widowControl w:val="0"/>
        <w:numPr>
          <w:numId w:val="0"/>
        </w:numPr>
        <w:ind w:leftChars="0"/>
        <w:jc w:val="both"/>
        <w:rPr>
          <w:rFonts w:hint="default"/>
          <w:b w:val="0"/>
          <w:bCs w:val="0"/>
          <w:sz w:val="26"/>
          <w:szCs w:val="26"/>
          <w:u w:val="none"/>
          <w:lang w:val="en-US"/>
        </w:rPr>
      </w:pPr>
    </w:p>
    <w:p w14:paraId="701C234C">
      <w:pPr>
        <w:widowControl w:val="0"/>
        <w:numPr>
          <w:numId w:val="0"/>
        </w:numPr>
        <w:ind w:leftChars="0"/>
        <w:jc w:val="both"/>
        <w:rPr>
          <w:rFonts w:hint="default"/>
          <w:b w:val="0"/>
          <w:bCs w:val="0"/>
          <w:sz w:val="26"/>
          <w:szCs w:val="26"/>
          <w:u w:val="none"/>
          <w:lang w:val="en-US"/>
        </w:rPr>
      </w:pPr>
    </w:p>
    <w:p w14:paraId="2E054291">
      <w:pPr>
        <w:widowControl w:val="0"/>
        <w:numPr>
          <w:numId w:val="0"/>
        </w:numPr>
        <w:ind w:leftChars="0"/>
        <w:jc w:val="both"/>
        <w:rPr>
          <w:rFonts w:hint="default"/>
          <w:b w:val="0"/>
          <w:bCs w:val="0"/>
          <w:sz w:val="26"/>
          <w:szCs w:val="26"/>
          <w:u w:val="none"/>
          <w:lang w:val="en-US"/>
        </w:rPr>
      </w:pPr>
    </w:p>
    <w:p w14:paraId="3DA95E36">
      <w:pPr>
        <w:widowControl w:val="0"/>
        <w:numPr>
          <w:numId w:val="0"/>
        </w:numPr>
        <w:ind w:leftChars="0"/>
        <w:jc w:val="both"/>
        <w:rPr>
          <w:rFonts w:hint="default"/>
          <w:b w:val="0"/>
          <w:bCs w:val="0"/>
          <w:sz w:val="26"/>
          <w:szCs w:val="26"/>
          <w:u w:val="none"/>
          <w:lang w:val="en-US"/>
        </w:rPr>
      </w:pPr>
    </w:p>
    <w:p w14:paraId="18715DA4">
      <w:pPr>
        <w:widowControl w:val="0"/>
        <w:numPr>
          <w:numId w:val="0"/>
        </w:numPr>
        <w:ind w:leftChars="0"/>
        <w:jc w:val="both"/>
        <w:rPr>
          <w:rFonts w:hint="default"/>
          <w:b w:val="0"/>
          <w:bCs w:val="0"/>
          <w:sz w:val="26"/>
          <w:szCs w:val="26"/>
          <w:u w:val="none"/>
          <w:lang w:val="en-US"/>
        </w:rPr>
      </w:pPr>
    </w:p>
    <w:p w14:paraId="6E266EE4">
      <w:pPr>
        <w:widowControl w:val="0"/>
        <w:numPr>
          <w:numId w:val="0"/>
        </w:numPr>
        <w:ind w:leftChars="0"/>
        <w:jc w:val="both"/>
        <w:rPr>
          <w:rFonts w:hint="default"/>
          <w:b w:val="0"/>
          <w:bCs w:val="0"/>
          <w:sz w:val="26"/>
          <w:szCs w:val="26"/>
          <w:u w:val="none"/>
          <w:lang w:val="en-US"/>
        </w:rPr>
      </w:pPr>
    </w:p>
    <w:p w14:paraId="13EFA59B">
      <w:pPr>
        <w:widowControl w:val="0"/>
        <w:numPr>
          <w:numId w:val="0"/>
        </w:numPr>
        <w:ind w:leftChars="0"/>
        <w:jc w:val="both"/>
        <w:rPr>
          <w:rFonts w:hint="default"/>
          <w:b w:val="0"/>
          <w:bCs w:val="0"/>
          <w:sz w:val="26"/>
          <w:szCs w:val="26"/>
          <w:u w:val="none"/>
          <w:lang w:val="en-US"/>
        </w:rPr>
      </w:pPr>
    </w:p>
    <w:p w14:paraId="1C5524C6">
      <w:pPr>
        <w:widowControl w:val="0"/>
        <w:numPr>
          <w:numId w:val="0"/>
        </w:numPr>
        <w:ind w:leftChars="0"/>
        <w:jc w:val="both"/>
        <w:rPr>
          <w:rFonts w:hint="default"/>
          <w:b w:val="0"/>
          <w:bCs w:val="0"/>
          <w:sz w:val="26"/>
          <w:szCs w:val="26"/>
          <w:u w:val="none"/>
          <w:lang w:val="en-US"/>
        </w:rPr>
      </w:pPr>
    </w:p>
    <w:p w14:paraId="72184543">
      <w:pPr>
        <w:widowControl w:val="0"/>
        <w:numPr>
          <w:numId w:val="0"/>
        </w:numPr>
        <w:ind w:leftChars="0"/>
        <w:jc w:val="both"/>
        <w:rPr>
          <w:rFonts w:hint="default"/>
          <w:b w:val="0"/>
          <w:bCs w:val="0"/>
          <w:sz w:val="26"/>
          <w:szCs w:val="26"/>
          <w:u w:val="none"/>
          <w:lang w:val="en-US"/>
        </w:rPr>
      </w:pPr>
    </w:p>
    <w:p w14:paraId="425E6F7B">
      <w:pPr>
        <w:widowControl w:val="0"/>
        <w:numPr>
          <w:numId w:val="0"/>
        </w:numPr>
        <w:ind w:leftChars="0"/>
        <w:jc w:val="both"/>
        <w:rPr>
          <w:rFonts w:hint="default"/>
          <w:b/>
          <w:bCs/>
          <w:sz w:val="26"/>
          <w:szCs w:val="26"/>
          <w:u w:val="none"/>
          <w:lang w:val="en-US"/>
        </w:rPr>
      </w:pPr>
      <w:r>
        <w:rPr>
          <w:rFonts w:hint="default"/>
          <w:b/>
          <w:bCs/>
          <w:sz w:val="26"/>
          <w:szCs w:val="26"/>
          <w:u w:val="none"/>
          <w:lang w:val="en-US"/>
        </w:rPr>
        <w:t>6.4 Price Probability Density</w:t>
      </w:r>
    </w:p>
    <w:p w14:paraId="64E3F3ED">
      <w:pPr>
        <w:widowControl w:val="0"/>
        <w:numPr>
          <w:numId w:val="0"/>
        </w:numPr>
        <w:ind w:leftChars="0"/>
        <w:jc w:val="both"/>
        <w:rPr>
          <w:rFonts w:hint="default"/>
          <w:b/>
          <w:bCs/>
          <w:sz w:val="26"/>
          <w:szCs w:val="26"/>
          <w:u w:val="none"/>
          <w:lang w:val="en-US"/>
        </w:rPr>
      </w:pPr>
    </w:p>
    <w:p w14:paraId="49620F1C">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7960" cy="3268980"/>
            <wp:effectExtent l="0" t="0" r="2540" b="7620"/>
            <wp:docPr id="13" name="Picture 13" descr="4_price_by_property_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4_price_by_property_segment"/>
                    <pic:cNvPicPr>
                      <a:picLocks noChangeAspect="1"/>
                    </pic:cNvPicPr>
                  </pic:nvPicPr>
                  <pic:blipFill>
                    <a:blip r:embed="rId10"/>
                    <a:stretch>
                      <a:fillRect/>
                    </a:stretch>
                  </pic:blipFill>
                  <pic:spPr>
                    <a:xfrm>
                      <a:off x="0" y="0"/>
                      <a:ext cx="6537960" cy="3268980"/>
                    </a:xfrm>
                    <a:prstGeom prst="rect">
                      <a:avLst/>
                    </a:prstGeom>
                  </pic:spPr>
                </pic:pic>
              </a:graphicData>
            </a:graphic>
          </wp:inline>
        </w:drawing>
      </w:r>
    </w:p>
    <w:p w14:paraId="76950CDB">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probability density plot provides a detailed view of pricing probabilities across room types, highlighting the structural boundaries of different market segments. The curves for shared rooms and private rooms show incredibly tall, narrow spikes concentrated below the $100 mark. This shape proves a high statistical probability that single-room setups will remain within a strict budget tier, showing minimal price variation across the platform. Conversely, the curve for entire homes and apartments flattens out significantly, spreading across a wide pricing plateau from $150 to over $400. This profile highlights a low-density, high-variance market segment where pricing is driven by unique property characteristics rather than a standard platform floor. Hotel rooms display a broad, separate probability curve that peaks much further to the right, anchoring commercial tiers. </w:t>
      </w:r>
    </w:p>
    <w:p w14:paraId="2FC2C7E7">
      <w:pPr>
        <w:widowControl w:val="0"/>
        <w:numPr>
          <w:numId w:val="0"/>
        </w:numPr>
        <w:ind w:leftChars="0"/>
        <w:jc w:val="both"/>
        <w:rPr>
          <w:rFonts w:hint="default"/>
          <w:b w:val="0"/>
          <w:bCs w:val="0"/>
          <w:sz w:val="26"/>
          <w:szCs w:val="26"/>
          <w:u w:val="none"/>
          <w:lang w:val="en-US"/>
        </w:rPr>
      </w:pPr>
    </w:p>
    <w:p w14:paraId="4857D236">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This chart highlights the clear division between shared budget spaces and premium full-unit layouts.</w:t>
      </w:r>
    </w:p>
    <w:p w14:paraId="5A9D9536">
      <w:pPr>
        <w:widowControl w:val="0"/>
        <w:numPr>
          <w:numId w:val="0"/>
        </w:numPr>
        <w:ind w:leftChars="0"/>
        <w:jc w:val="both"/>
        <w:rPr>
          <w:rFonts w:hint="default"/>
          <w:b w:val="0"/>
          <w:bCs w:val="0"/>
          <w:sz w:val="26"/>
          <w:szCs w:val="26"/>
          <w:u w:val="none"/>
          <w:lang w:val="en-US"/>
        </w:rPr>
      </w:pPr>
    </w:p>
    <w:p w14:paraId="7382B11C">
      <w:pPr>
        <w:widowControl w:val="0"/>
        <w:numPr>
          <w:numId w:val="0"/>
        </w:numPr>
        <w:ind w:leftChars="0"/>
        <w:jc w:val="both"/>
        <w:rPr>
          <w:rFonts w:hint="default"/>
          <w:b w:val="0"/>
          <w:bCs w:val="0"/>
          <w:sz w:val="26"/>
          <w:szCs w:val="26"/>
          <w:u w:val="none"/>
          <w:lang w:val="en-US"/>
        </w:rPr>
      </w:pPr>
    </w:p>
    <w:p w14:paraId="593C7B61">
      <w:pPr>
        <w:widowControl w:val="0"/>
        <w:numPr>
          <w:numId w:val="0"/>
        </w:numPr>
        <w:ind w:leftChars="0"/>
        <w:jc w:val="both"/>
        <w:rPr>
          <w:rFonts w:hint="default"/>
          <w:b w:val="0"/>
          <w:bCs w:val="0"/>
          <w:sz w:val="26"/>
          <w:szCs w:val="26"/>
          <w:u w:val="none"/>
          <w:lang w:val="en-US"/>
        </w:rPr>
      </w:pPr>
    </w:p>
    <w:p w14:paraId="4D1A3C64">
      <w:pPr>
        <w:widowControl w:val="0"/>
        <w:numPr>
          <w:numId w:val="0"/>
        </w:numPr>
        <w:ind w:leftChars="0"/>
        <w:jc w:val="both"/>
        <w:rPr>
          <w:rFonts w:hint="default"/>
          <w:b w:val="0"/>
          <w:bCs w:val="0"/>
          <w:sz w:val="26"/>
          <w:szCs w:val="26"/>
          <w:u w:val="none"/>
          <w:lang w:val="en-US"/>
        </w:rPr>
      </w:pPr>
    </w:p>
    <w:p w14:paraId="6A322C6F">
      <w:pPr>
        <w:widowControl w:val="0"/>
        <w:numPr>
          <w:numId w:val="0"/>
        </w:numPr>
        <w:ind w:leftChars="0"/>
        <w:jc w:val="both"/>
        <w:rPr>
          <w:rFonts w:hint="default"/>
          <w:b w:val="0"/>
          <w:bCs w:val="0"/>
          <w:sz w:val="26"/>
          <w:szCs w:val="26"/>
          <w:u w:val="none"/>
          <w:lang w:val="en-US"/>
        </w:rPr>
      </w:pPr>
    </w:p>
    <w:p w14:paraId="516A6306">
      <w:pPr>
        <w:widowControl w:val="0"/>
        <w:numPr>
          <w:numId w:val="0"/>
        </w:numPr>
        <w:ind w:leftChars="0"/>
        <w:jc w:val="both"/>
        <w:rPr>
          <w:rFonts w:hint="default"/>
          <w:b w:val="0"/>
          <w:bCs w:val="0"/>
          <w:sz w:val="26"/>
          <w:szCs w:val="26"/>
          <w:u w:val="none"/>
          <w:lang w:val="en-US"/>
        </w:rPr>
      </w:pPr>
    </w:p>
    <w:p w14:paraId="602AC5AE">
      <w:pPr>
        <w:widowControl w:val="0"/>
        <w:numPr>
          <w:numId w:val="0"/>
        </w:numPr>
        <w:ind w:leftChars="0"/>
        <w:jc w:val="both"/>
        <w:rPr>
          <w:rFonts w:hint="default"/>
          <w:b w:val="0"/>
          <w:bCs w:val="0"/>
          <w:sz w:val="26"/>
          <w:szCs w:val="26"/>
          <w:u w:val="none"/>
          <w:lang w:val="en-US"/>
        </w:rPr>
      </w:pPr>
    </w:p>
    <w:p w14:paraId="6E3F00BD">
      <w:pPr>
        <w:widowControl w:val="0"/>
        <w:numPr>
          <w:numId w:val="0"/>
        </w:numPr>
        <w:ind w:leftChars="0"/>
        <w:jc w:val="both"/>
        <w:rPr>
          <w:rFonts w:hint="default"/>
          <w:b w:val="0"/>
          <w:bCs w:val="0"/>
          <w:sz w:val="26"/>
          <w:szCs w:val="26"/>
          <w:u w:val="none"/>
          <w:lang w:val="en-US"/>
        </w:rPr>
      </w:pPr>
    </w:p>
    <w:p w14:paraId="35F580FB">
      <w:pPr>
        <w:widowControl w:val="0"/>
        <w:numPr>
          <w:numId w:val="0"/>
        </w:numPr>
        <w:ind w:leftChars="0"/>
        <w:jc w:val="both"/>
        <w:rPr>
          <w:rFonts w:hint="default"/>
          <w:b w:val="0"/>
          <w:bCs w:val="0"/>
          <w:sz w:val="26"/>
          <w:szCs w:val="26"/>
          <w:u w:val="none"/>
          <w:lang w:val="en-US"/>
        </w:rPr>
      </w:pPr>
    </w:p>
    <w:p w14:paraId="2A0B5AAC">
      <w:pPr>
        <w:widowControl w:val="0"/>
        <w:numPr>
          <w:numId w:val="0"/>
        </w:numPr>
        <w:ind w:leftChars="0"/>
        <w:jc w:val="both"/>
        <w:rPr>
          <w:rFonts w:hint="default"/>
          <w:b w:val="0"/>
          <w:bCs w:val="0"/>
          <w:sz w:val="26"/>
          <w:szCs w:val="26"/>
          <w:u w:val="none"/>
          <w:lang w:val="en-US"/>
        </w:rPr>
      </w:pPr>
    </w:p>
    <w:p w14:paraId="012F7631">
      <w:pPr>
        <w:widowControl w:val="0"/>
        <w:numPr>
          <w:numId w:val="0"/>
        </w:numPr>
        <w:ind w:leftChars="0"/>
        <w:jc w:val="both"/>
        <w:rPr>
          <w:rFonts w:hint="default"/>
          <w:b w:val="0"/>
          <w:bCs w:val="0"/>
          <w:sz w:val="26"/>
          <w:szCs w:val="26"/>
          <w:u w:val="none"/>
          <w:lang w:val="en-US"/>
        </w:rPr>
      </w:pPr>
    </w:p>
    <w:p w14:paraId="728C49E4">
      <w:pPr>
        <w:widowControl w:val="0"/>
        <w:numPr>
          <w:numId w:val="0"/>
        </w:numPr>
        <w:ind w:leftChars="0"/>
        <w:jc w:val="both"/>
        <w:rPr>
          <w:rFonts w:hint="default"/>
          <w:b w:val="0"/>
          <w:bCs w:val="0"/>
          <w:sz w:val="26"/>
          <w:szCs w:val="26"/>
          <w:u w:val="none"/>
          <w:lang w:val="en-US"/>
        </w:rPr>
      </w:pPr>
    </w:p>
    <w:p w14:paraId="51529BE6">
      <w:pPr>
        <w:widowControl w:val="0"/>
        <w:numPr>
          <w:numId w:val="0"/>
        </w:numPr>
        <w:ind w:leftChars="0"/>
        <w:jc w:val="both"/>
        <w:rPr>
          <w:rFonts w:hint="default"/>
          <w:b/>
          <w:bCs/>
          <w:sz w:val="26"/>
          <w:szCs w:val="26"/>
          <w:u w:val="none"/>
          <w:lang w:val="en-US"/>
        </w:rPr>
      </w:pPr>
      <w:r>
        <w:rPr>
          <w:rFonts w:hint="default"/>
          <w:b/>
          <w:bCs/>
          <w:sz w:val="26"/>
          <w:szCs w:val="26"/>
          <w:u w:val="none"/>
          <w:lang w:val="en-US"/>
        </w:rPr>
        <w:t>6.5 Seasonal Price Shifts</w:t>
      </w:r>
    </w:p>
    <w:p w14:paraId="636ECD32">
      <w:pPr>
        <w:widowControl w:val="0"/>
        <w:numPr>
          <w:numId w:val="0"/>
        </w:numPr>
        <w:ind w:leftChars="0"/>
        <w:jc w:val="both"/>
        <w:rPr>
          <w:rFonts w:hint="default"/>
          <w:b/>
          <w:bCs/>
          <w:sz w:val="26"/>
          <w:szCs w:val="26"/>
          <w:u w:val="none"/>
          <w:lang w:val="en-US"/>
        </w:rPr>
      </w:pPr>
    </w:p>
    <w:p w14:paraId="10DBD7D6">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7960" cy="3268980"/>
            <wp:effectExtent l="0" t="0" r="2540" b="7620"/>
            <wp:docPr id="14" name="Picture 14" descr="7_pricing_seas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7_pricing_seasonality"/>
                    <pic:cNvPicPr>
                      <a:picLocks noChangeAspect="1"/>
                    </pic:cNvPicPr>
                  </pic:nvPicPr>
                  <pic:blipFill>
                    <a:blip r:embed="rId11"/>
                    <a:stretch>
                      <a:fillRect/>
                    </a:stretch>
                  </pic:blipFill>
                  <pic:spPr>
                    <a:xfrm>
                      <a:off x="0" y="0"/>
                      <a:ext cx="6537960" cy="3268980"/>
                    </a:xfrm>
                    <a:prstGeom prst="rect">
                      <a:avLst/>
                    </a:prstGeom>
                  </pic:spPr>
                </pic:pic>
              </a:graphicData>
            </a:graphic>
          </wp:inline>
        </w:drawing>
      </w:r>
    </w:p>
    <w:p w14:paraId="52AA0C80">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seasonal bar chart reveals a counterintuitive inverse relationship between active platform supply and average pricing across different booking seasons. Standard economic theory suggests that prices should peak during high-demand travel seasons; however, the data shows the exact opposite trend. During the low season, when vacancy rates are high, the average platform price stays rigidly high at roughly $260. This happens because casual hosts leave the platform during slow months, leaving the market mix dominated by commercialized, professional luxury units with strict pricing floors. During the peak season, when travel demand climbs, a massive wave of cheaper, casual "mom-and-pop" properties floods the platform. This sudden influx of budget inventory dilutes the platform-wide averages, pulling the overall mean price down to $185 despite high consumer demand. </w:t>
      </w:r>
    </w:p>
    <w:p w14:paraId="19807289">
      <w:pPr>
        <w:widowControl w:val="0"/>
        <w:numPr>
          <w:numId w:val="0"/>
        </w:numPr>
        <w:ind w:leftChars="0"/>
        <w:jc w:val="both"/>
        <w:rPr>
          <w:rFonts w:hint="default"/>
          <w:b w:val="0"/>
          <w:bCs w:val="0"/>
          <w:sz w:val="26"/>
          <w:szCs w:val="26"/>
          <w:u w:val="none"/>
          <w:lang w:val="en-US"/>
        </w:rPr>
      </w:pPr>
    </w:p>
    <w:p w14:paraId="409B18A9">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This insight shows that seasonal metrics are heavily affected by shifts in supply composition rather than simple changes in consumer demand.</w:t>
      </w:r>
    </w:p>
    <w:p w14:paraId="01D21C40">
      <w:pPr>
        <w:widowControl w:val="0"/>
        <w:numPr>
          <w:numId w:val="0"/>
        </w:numPr>
        <w:ind w:leftChars="0"/>
        <w:jc w:val="both"/>
        <w:rPr>
          <w:rFonts w:hint="default"/>
          <w:b w:val="0"/>
          <w:bCs w:val="0"/>
          <w:sz w:val="26"/>
          <w:szCs w:val="26"/>
          <w:u w:val="none"/>
          <w:lang w:val="en-US"/>
        </w:rPr>
      </w:pPr>
    </w:p>
    <w:p w14:paraId="37E2D9F8">
      <w:pPr>
        <w:widowControl w:val="0"/>
        <w:numPr>
          <w:numId w:val="0"/>
        </w:numPr>
        <w:ind w:leftChars="0"/>
        <w:jc w:val="both"/>
        <w:rPr>
          <w:rFonts w:hint="default"/>
          <w:b w:val="0"/>
          <w:bCs w:val="0"/>
          <w:sz w:val="26"/>
          <w:szCs w:val="26"/>
          <w:u w:val="none"/>
          <w:lang w:val="en-US"/>
        </w:rPr>
      </w:pPr>
    </w:p>
    <w:p w14:paraId="04401830">
      <w:pPr>
        <w:widowControl w:val="0"/>
        <w:numPr>
          <w:numId w:val="0"/>
        </w:numPr>
        <w:ind w:leftChars="0"/>
        <w:jc w:val="both"/>
        <w:rPr>
          <w:rFonts w:hint="default"/>
          <w:b w:val="0"/>
          <w:bCs w:val="0"/>
          <w:sz w:val="26"/>
          <w:szCs w:val="26"/>
          <w:u w:val="none"/>
          <w:lang w:val="en-US"/>
        </w:rPr>
      </w:pPr>
    </w:p>
    <w:p w14:paraId="04D623EE">
      <w:pPr>
        <w:widowControl w:val="0"/>
        <w:numPr>
          <w:numId w:val="0"/>
        </w:numPr>
        <w:ind w:leftChars="0"/>
        <w:jc w:val="both"/>
        <w:rPr>
          <w:rFonts w:hint="default"/>
          <w:b w:val="0"/>
          <w:bCs w:val="0"/>
          <w:sz w:val="26"/>
          <w:szCs w:val="26"/>
          <w:u w:val="none"/>
          <w:lang w:val="en-US"/>
        </w:rPr>
      </w:pPr>
    </w:p>
    <w:p w14:paraId="515514E3">
      <w:pPr>
        <w:widowControl w:val="0"/>
        <w:numPr>
          <w:numId w:val="0"/>
        </w:numPr>
        <w:ind w:leftChars="0"/>
        <w:jc w:val="both"/>
        <w:rPr>
          <w:rFonts w:hint="default"/>
          <w:b w:val="0"/>
          <w:bCs w:val="0"/>
          <w:sz w:val="26"/>
          <w:szCs w:val="26"/>
          <w:u w:val="none"/>
          <w:lang w:val="en-US"/>
        </w:rPr>
      </w:pPr>
    </w:p>
    <w:p w14:paraId="0714E127">
      <w:pPr>
        <w:widowControl w:val="0"/>
        <w:numPr>
          <w:numId w:val="0"/>
        </w:numPr>
        <w:ind w:leftChars="0"/>
        <w:jc w:val="both"/>
        <w:rPr>
          <w:rFonts w:hint="default"/>
          <w:b w:val="0"/>
          <w:bCs w:val="0"/>
          <w:sz w:val="26"/>
          <w:szCs w:val="26"/>
          <w:u w:val="none"/>
          <w:lang w:val="en-US"/>
        </w:rPr>
      </w:pPr>
    </w:p>
    <w:p w14:paraId="0E2A77B3">
      <w:pPr>
        <w:widowControl w:val="0"/>
        <w:numPr>
          <w:numId w:val="0"/>
        </w:numPr>
        <w:ind w:leftChars="0"/>
        <w:jc w:val="both"/>
        <w:rPr>
          <w:rFonts w:hint="default"/>
          <w:b w:val="0"/>
          <w:bCs w:val="0"/>
          <w:sz w:val="26"/>
          <w:szCs w:val="26"/>
          <w:u w:val="none"/>
          <w:lang w:val="en-US"/>
        </w:rPr>
      </w:pPr>
    </w:p>
    <w:p w14:paraId="50838734">
      <w:pPr>
        <w:widowControl w:val="0"/>
        <w:numPr>
          <w:numId w:val="0"/>
        </w:numPr>
        <w:ind w:leftChars="0"/>
        <w:jc w:val="both"/>
        <w:rPr>
          <w:rFonts w:hint="default"/>
          <w:b w:val="0"/>
          <w:bCs w:val="0"/>
          <w:sz w:val="26"/>
          <w:szCs w:val="26"/>
          <w:u w:val="none"/>
          <w:lang w:val="en-US"/>
        </w:rPr>
      </w:pPr>
    </w:p>
    <w:p w14:paraId="1FDF611F">
      <w:pPr>
        <w:widowControl w:val="0"/>
        <w:numPr>
          <w:numId w:val="0"/>
        </w:numPr>
        <w:ind w:leftChars="0"/>
        <w:jc w:val="both"/>
        <w:rPr>
          <w:rFonts w:hint="default"/>
          <w:b w:val="0"/>
          <w:bCs w:val="0"/>
          <w:sz w:val="26"/>
          <w:szCs w:val="26"/>
          <w:u w:val="none"/>
          <w:lang w:val="en-US"/>
        </w:rPr>
      </w:pPr>
    </w:p>
    <w:p w14:paraId="491FA54F">
      <w:pPr>
        <w:widowControl w:val="0"/>
        <w:numPr>
          <w:numId w:val="0"/>
        </w:numPr>
        <w:ind w:leftChars="0"/>
        <w:jc w:val="both"/>
        <w:rPr>
          <w:rFonts w:hint="default"/>
          <w:b w:val="0"/>
          <w:bCs w:val="0"/>
          <w:sz w:val="26"/>
          <w:szCs w:val="26"/>
          <w:u w:val="none"/>
          <w:lang w:val="en-US"/>
        </w:rPr>
      </w:pPr>
    </w:p>
    <w:p w14:paraId="1C6EF496">
      <w:pPr>
        <w:widowControl w:val="0"/>
        <w:numPr>
          <w:numId w:val="0"/>
        </w:numPr>
        <w:ind w:leftChars="0"/>
        <w:jc w:val="both"/>
        <w:rPr>
          <w:rFonts w:hint="default"/>
          <w:b w:val="0"/>
          <w:bCs w:val="0"/>
          <w:sz w:val="26"/>
          <w:szCs w:val="26"/>
          <w:u w:val="none"/>
          <w:lang w:val="en-US"/>
        </w:rPr>
      </w:pPr>
    </w:p>
    <w:p w14:paraId="038A916E">
      <w:pPr>
        <w:widowControl w:val="0"/>
        <w:numPr>
          <w:numId w:val="0"/>
        </w:numPr>
        <w:ind w:leftChars="0"/>
        <w:jc w:val="both"/>
        <w:rPr>
          <w:rFonts w:hint="default"/>
          <w:b w:val="0"/>
          <w:bCs w:val="0"/>
          <w:sz w:val="26"/>
          <w:szCs w:val="26"/>
          <w:u w:val="none"/>
          <w:lang w:val="en-US"/>
        </w:rPr>
      </w:pPr>
    </w:p>
    <w:p w14:paraId="50A62193">
      <w:pPr>
        <w:widowControl w:val="0"/>
        <w:numPr>
          <w:numId w:val="0"/>
        </w:numPr>
        <w:ind w:leftChars="0"/>
        <w:jc w:val="both"/>
        <w:rPr>
          <w:rFonts w:hint="default"/>
          <w:b/>
          <w:bCs/>
          <w:sz w:val="26"/>
          <w:szCs w:val="26"/>
          <w:u w:val="none"/>
          <w:lang w:val="en-US"/>
        </w:rPr>
      </w:pPr>
      <w:r>
        <w:rPr>
          <w:rFonts w:hint="default"/>
          <w:b/>
          <w:bCs/>
          <w:sz w:val="26"/>
          <w:szCs w:val="26"/>
          <w:u w:val="none"/>
          <w:lang w:val="en-US"/>
        </w:rPr>
        <w:t>6.6 Structural Stay Policies</w:t>
      </w:r>
    </w:p>
    <w:p w14:paraId="50E0A6EB">
      <w:pPr>
        <w:widowControl w:val="0"/>
        <w:numPr>
          <w:numId w:val="0"/>
        </w:numPr>
        <w:ind w:leftChars="0"/>
        <w:jc w:val="both"/>
        <w:rPr>
          <w:rFonts w:hint="default"/>
          <w:b/>
          <w:bCs/>
          <w:sz w:val="26"/>
          <w:szCs w:val="26"/>
          <w:u w:val="none"/>
          <w:lang w:val="en-US"/>
        </w:rPr>
      </w:pPr>
    </w:p>
    <w:p w14:paraId="44E65281">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7960" cy="3268980"/>
            <wp:effectExtent l="0" t="0" r="2540" b="7620"/>
            <wp:docPr id="15" name="Picture 15" descr="10_minimum_nights_by_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0_minimum_nights_by_season"/>
                    <pic:cNvPicPr>
                      <a:picLocks noChangeAspect="1"/>
                    </pic:cNvPicPr>
                  </pic:nvPicPr>
                  <pic:blipFill>
                    <a:blip r:embed="rId12"/>
                    <a:stretch>
                      <a:fillRect/>
                    </a:stretch>
                  </pic:blipFill>
                  <pic:spPr>
                    <a:xfrm>
                      <a:off x="0" y="0"/>
                      <a:ext cx="6537960" cy="3268980"/>
                    </a:xfrm>
                    <a:prstGeom prst="rect">
                      <a:avLst/>
                    </a:prstGeom>
                  </pic:spPr>
                </pic:pic>
              </a:graphicData>
            </a:graphic>
          </wp:inline>
        </w:drawing>
      </w:r>
    </w:p>
    <w:p w14:paraId="00CFD9EF">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comparison chart highlights the high rigidity of operational rules, showing that average minimum night restrictions remain frozen across changing seasonal cycles. While marketplace pricing and active listing volumes fluctuate significantly throughout the year, the average minimum stay mandate stays locked within a narrow band of 3.0 to 3.2 nights. This flat distribution indicates that short-term rental hosts do not adjust their booking lengths to match seasonal travel patterns. Instead, these policies are driven by rigid, real-world constraints that outweigh seasonal demand. Key factors include localized housing regulations—such as London's strict 90-night annual cap on short-term rentals—as well as fixed cleaning fees, property turnover costs, and standard traveler habits. </w:t>
      </w:r>
    </w:p>
    <w:p w14:paraId="4ABBF2AF">
      <w:pPr>
        <w:widowControl w:val="0"/>
        <w:numPr>
          <w:numId w:val="0"/>
        </w:numPr>
        <w:ind w:leftChars="0"/>
        <w:jc w:val="both"/>
        <w:rPr>
          <w:rFonts w:hint="default"/>
          <w:b w:val="0"/>
          <w:bCs w:val="0"/>
          <w:sz w:val="26"/>
          <w:szCs w:val="26"/>
          <w:u w:val="none"/>
          <w:lang w:val="en-US"/>
        </w:rPr>
      </w:pPr>
    </w:p>
    <w:p w14:paraId="09E3C451">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For analysts, this chart proves that stay restrictions act as a market constant rather than a flexible pricing variable, making them an inelastic structural component of the London rental market.</w:t>
      </w:r>
    </w:p>
    <w:p w14:paraId="0A88FF92">
      <w:pPr>
        <w:widowControl w:val="0"/>
        <w:numPr>
          <w:numId w:val="0"/>
        </w:numPr>
        <w:ind w:leftChars="0"/>
        <w:jc w:val="both"/>
        <w:rPr>
          <w:rFonts w:hint="default"/>
          <w:b w:val="0"/>
          <w:bCs w:val="0"/>
          <w:sz w:val="26"/>
          <w:szCs w:val="26"/>
          <w:u w:val="none"/>
          <w:lang w:val="en-US"/>
        </w:rPr>
      </w:pPr>
    </w:p>
    <w:p w14:paraId="51E9D4C3">
      <w:pPr>
        <w:widowControl w:val="0"/>
        <w:numPr>
          <w:numId w:val="0"/>
        </w:numPr>
        <w:ind w:leftChars="0"/>
        <w:jc w:val="both"/>
        <w:rPr>
          <w:rFonts w:hint="default"/>
          <w:b w:val="0"/>
          <w:bCs w:val="0"/>
          <w:sz w:val="26"/>
          <w:szCs w:val="26"/>
          <w:u w:val="none"/>
          <w:lang w:val="en-US"/>
        </w:rPr>
      </w:pPr>
    </w:p>
    <w:p w14:paraId="7B680AEE">
      <w:pPr>
        <w:widowControl w:val="0"/>
        <w:numPr>
          <w:numId w:val="0"/>
        </w:numPr>
        <w:ind w:leftChars="0"/>
        <w:jc w:val="both"/>
        <w:rPr>
          <w:rFonts w:hint="default"/>
          <w:b w:val="0"/>
          <w:bCs w:val="0"/>
          <w:sz w:val="26"/>
          <w:szCs w:val="26"/>
          <w:u w:val="none"/>
          <w:lang w:val="en-US"/>
        </w:rPr>
      </w:pPr>
    </w:p>
    <w:p w14:paraId="79D75D91">
      <w:pPr>
        <w:widowControl w:val="0"/>
        <w:numPr>
          <w:numId w:val="0"/>
        </w:numPr>
        <w:ind w:leftChars="0"/>
        <w:jc w:val="both"/>
        <w:rPr>
          <w:rFonts w:hint="default"/>
          <w:b w:val="0"/>
          <w:bCs w:val="0"/>
          <w:sz w:val="26"/>
          <w:szCs w:val="26"/>
          <w:u w:val="none"/>
          <w:lang w:val="en-US"/>
        </w:rPr>
      </w:pPr>
    </w:p>
    <w:p w14:paraId="1609974A">
      <w:pPr>
        <w:widowControl w:val="0"/>
        <w:numPr>
          <w:numId w:val="0"/>
        </w:numPr>
        <w:ind w:leftChars="0"/>
        <w:jc w:val="both"/>
        <w:rPr>
          <w:rFonts w:hint="default"/>
          <w:b w:val="0"/>
          <w:bCs w:val="0"/>
          <w:sz w:val="26"/>
          <w:szCs w:val="26"/>
          <w:u w:val="none"/>
          <w:lang w:val="en-US"/>
        </w:rPr>
      </w:pPr>
    </w:p>
    <w:p w14:paraId="7C73644D">
      <w:pPr>
        <w:widowControl w:val="0"/>
        <w:numPr>
          <w:numId w:val="0"/>
        </w:numPr>
        <w:ind w:leftChars="0"/>
        <w:jc w:val="both"/>
        <w:rPr>
          <w:rFonts w:hint="default"/>
          <w:b w:val="0"/>
          <w:bCs w:val="0"/>
          <w:sz w:val="26"/>
          <w:szCs w:val="26"/>
          <w:u w:val="none"/>
          <w:lang w:val="en-US"/>
        </w:rPr>
      </w:pPr>
    </w:p>
    <w:p w14:paraId="6812A00F">
      <w:pPr>
        <w:widowControl w:val="0"/>
        <w:numPr>
          <w:numId w:val="0"/>
        </w:numPr>
        <w:ind w:leftChars="0"/>
        <w:jc w:val="both"/>
        <w:rPr>
          <w:rFonts w:hint="default"/>
          <w:b w:val="0"/>
          <w:bCs w:val="0"/>
          <w:sz w:val="26"/>
          <w:szCs w:val="26"/>
          <w:u w:val="none"/>
          <w:lang w:val="en-US"/>
        </w:rPr>
      </w:pPr>
    </w:p>
    <w:p w14:paraId="509A5F43">
      <w:pPr>
        <w:widowControl w:val="0"/>
        <w:numPr>
          <w:numId w:val="0"/>
        </w:numPr>
        <w:ind w:leftChars="0"/>
        <w:jc w:val="both"/>
        <w:rPr>
          <w:rFonts w:hint="default"/>
          <w:b w:val="0"/>
          <w:bCs w:val="0"/>
          <w:sz w:val="26"/>
          <w:szCs w:val="26"/>
          <w:u w:val="none"/>
          <w:lang w:val="en-US"/>
        </w:rPr>
      </w:pPr>
    </w:p>
    <w:p w14:paraId="659DC216">
      <w:pPr>
        <w:widowControl w:val="0"/>
        <w:numPr>
          <w:numId w:val="0"/>
        </w:numPr>
        <w:ind w:leftChars="0"/>
        <w:jc w:val="both"/>
        <w:rPr>
          <w:rFonts w:hint="default"/>
          <w:b w:val="0"/>
          <w:bCs w:val="0"/>
          <w:sz w:val="26"/>
          <w:szCs w:val="26"/>
          <w:u w:val="none"/>
          <w:lang w:val="en-US"/>
        </w:rPr>
      </w:pPr>
    </w:p>
    <w:p w14:paraId="51A0349E">
      <w:pPr>
        <w:widowControl w:val="0"/>
        <w:numPr>
          <w:numId w:val="0"/>
        </w:numPr>
        <w:ind w:leftChars="0"/>
        <w:jc w:val="both"/>
        <w:rPr>
          <w:rFonts w:hint="default"/>
          <w:b w:val="0"/>
          <w:bCs w:val="0"/>
          <w:sz w:val="26"/>
          <w:szCs w:val="26"/>
          <w:u w:val="none"/>
          <w:lang w:val="en-US"/>
        </w:rPr>
      </w:pPr>
    </w:p>
    <w:p w14:paraId="0B7BD320">
      <w:pPr>
        <w:widowControl w:val="0"/>
        <w:numPr>
          <w:numId w:val="0"/>
        </w:numPr>
        <w:ind w:leftChars="0"/>
        <w:jc w:val="both"/>
        <w:rPr>
          <w:rFonts w:hint="default"/>
          <w:b w:val="0"/>
          <w:bCs w:val="0"/>
          <w:sz w:val="26"/>
          <w:szCs w:val="26"/>
          <w:u w:val="none"/>
          <w:lang w:val="en-US"/>
        </w:rPr>
      </w:pPr>
    </w:p>
    <w:p w14:paraId="4AD65FDE">
      <w:pPr>
        <w:widowControl w:val="0"/>
        <w:numPr>
          <w:numId w:val="0"/>
        </w:numPr>
        <w:ind w:leftChars="0"/>
        <w:jc w:val="both"/>
        <w:rPr>
          <w:rFonts w:hint="default"/>
          <w:b w:val="0"/>
          <w:bCs w:val="0"/>
          <w:sz w:val="26"/>
          <w:szCs w:val="26"/>
          <w:u w:val="none"/>
          <w:lang w:val="en-US"/>
        </w:rPr>
      </w:pPr>
    </w:p>
    <w:p w14:paraId="19AC794D">
      <w:pPr>
        <w:widowControl w:val="0"/>
        <w:numPr>
          <w:numId w:val="0"/>
        </w:numPr>
        <w:ind w:leftChars="0"/>
        <w:jc w:val="both"/>
        <w:rPr>
          <w:rFonts w:hint="default"/>
          <w:b w:val="0"/>
          <w:bCs w:val="0"/>
          <w:sz w:val="26"/>
          <w:szCs w:val="26"/>
          <w:u w:val="none"/>
          <w:lang w:val="en-US"/>
        </w:rPr>
      </w:pPr>
    </w:p>
    <w:p w14:paraId="4235BE97">
      <w:pPr>
        <w:widowControl w:val="0"/>
        <w:numPr>
          <w:numId w:val="0"/>
        </w:numPr>
        <w:ind w:leftChars="0"/>
        <w:jc w:val="both"/>
        <w:rPr>
          <w:rFonts w:hint="default"/>
          <w:b/>
          <w:bCs/>
          <w:sz w:val="26"/>
          <w:szCs w:val="26"/>
          <w:u w:val="none"/>
          <w:lang w:val="en-US"/>
        </w:rPr>
      </w:pPr>
      <w:r>
        <w:rPr>
          <w:rFonts w:hint="default"/>
          <w:b/>
          <w:bCs/>
          <w:sz w:val="26"/>
          <w:szCs w:val="26"/>
          <w:u w:val="none"/>
          <w:lang w:val="en-US"/>
        </w:rPr>
        <w:t>6.7 Host Account Count</w:t>
      </w:r>
    </w:p>
    <w:p w14:paraId="1264FE4A">
      <w:pPr>
        <w:widowControl w:val="0"/>
        <w:numPr>
          <w:numId w:val="0"/>
        </w:numPr>
        <w:ind w:leftChars="0"/>
        <w:jc w:val="both"/>
        <w:rPr>
          <w:rFonts w:hint="default"/>
          <w:b/>
          <w:bCs/>
          <w:sz w:val="26"/>
          <w:szCs w:val="26"/>
          <w:u w:val="none"/>
          <w:lang w:val="en-US"/>
        </w:rPr>
      </w:pPr>
    </w:p>
    <w:p w14:paraId="2919E368">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9865" cy="4087495"/>
            <wp:effectExtent l="0" t="0" r="635" b="1905"/>
            <wp:docPr id="16" name="Picture 16" descr="11_host_portfolio_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1_host_portfolio_segmentation"/>
                    <pic:cNvPicPr>
                      <a:picLocks noChangeAspect="1"/>
                    </pic:cNvPicPr>
                  </pic:nvPicPr>
                  <pic:blipFill>
                    <a:blip r:embed="rId13"/>
                    <a:stretch>
                      <a:fillRect/>
                    </a:stretch>
                  </pic:blipFill>
                  <pic:spPr>
                    <a:xfrm>
                      <a:off x="0" y="0"/>
                      <a:ext cx="6539865" cy="4087495"/>
                    </a:xfrm>
                    <a:prstGeom prst="rect">
                      <a:avLst/>
                    </a:prstGeom>
                  </pic:spPr>
                </pic:pic>
              </a:graphicData>
            </a:graphic>
          </wp:inline>
        </w:drawing>
      </w:r>
    </w:p>
    <w:p w14:paraId="243D60F4">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operational bar chart details the structural composition of the supply side, tracking the distribution of host account types across the platform. The visualization shows a stark contrast in account volumes: single-listing casual operators represent the overwhelming numerical majority of unique host profiles registered in the system. These individual "mom-and-pop" hosts far outnumber professional accounts, highlighting the widespread appeal of home-sharing for individual property owners. In comparison, multi-listing professional commercial hosts make up a much smaller portion of total unique profiles. However, this count comparison reveals an important market dynamic. Although casual hosts dominate the total number of accounts, they are often outpaced in total listing volume by professional operators. </w:t>
      </w:r>
    </w:p>
    <w:p w14:paraId="44755BE8">
      <w:pPr>
        <w:widowControl w:val="0"/>
        <w:numPr>
          <w:numId w:val="0"/>
        </w:numPr>
        <w:ind w:leftChars="0"/>
        <w:jc w:val="both"/>
        <w:rPr>
          <w:rFonts w:hint="default"/>
          <w:b w:val="0"/>
          <w:bCs w:val="0"/>
          <w:sz w:val="26"/>
          <w:szCs w:val="26"/>
          <w:u w:val="none"/>
          <w:lang w:val="en-US"/>
        </w:rPr>
      </w:pPr>
    </w:p>
    <w:p w14:paraId="33E883A2">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This layout establishes a clear division between a massive crowd of individual casual accounts and a smaller, highly concentrated group of professional operators managing multi-property portfolios across London.</w:t>
      </w:r>
    </w:p>
    <w:p w14:paraId="05080844">
      <w:pPr>
        <w:widowControl w:val="0"/>
        <w:numPr>
          <w:numId w:val="0"/>
        </w:numPr>
        <w:ind w:leftChars="0"/>
        <w:jc w:val="both"/>
        <w:rPr>
          <w:rFonts w:hint="default"/>
          <w:b w:val="0"/>
          <w:bCs w:val="0"/>
          <w:sz w:val="26"/>
          <w:szCs w:val="26"/>
          <w:u w:val="none"/>
          <w:lang w:val="en-US"/>
        </w:rPr>
      </w:pPr>
    </w:p>
    <w:p w14:paraId="205BEE50">
      <w:pPr>
        <w:widowControl w:val="0"/>
        <w:numPr>
          <w:numId w:val="0"/>
        </w:numPr>
        <w:ind w:leftChars="0"/>
        <w:jc w:val="both"/>
        <w:rPr>
          <w:rFonts w:hint="default"/>
          <w:b w:val="0"/>
          <w:bCs w:val="0"/>
          <w:sz w:val="26"/>
          <w:szCs w:val="26"/>
          <w:u w:val="none"/>
          <w:lang w:val="en-US"/>
        </w:rPr>
      </w:pPr>
    </w:p>
    <w:p w14:paraId="1A446A1E">
      <w:pPr>
        <w:widowControl w:val="0"/>
        <w:numPr>
          <w:numId w:val="0"/>
        </w:numPr>
        <w:ind w:leftChars="0"/>
        <w:jc w:val="both"/>
        <w:rPr>
          <w:rFonts w:hint="default"/>
          <w:b w:val="0"/>
          <w:bCs w:val="0"/>
          <w:sz w:val="26"/>
          <w:szCs w:val="26"/>
          <w:u w:val="none"/>
          <w:lang w:val="en-US"/>
        </w:rPr>
      </w:pPr>
    </w:p>
    <w:p w14:paraId="54FCFFF0">
      <w:pPr>
        <w:widowControl w:val="0"/>
        <w:numPr>
          <w:numId w:val="0"/>
        </w:numPr>
        <w:ind w:leftChars="0"/>
        <w:jc w:val="both"/>
        <w:rPr>
          <w:rFonts w:hint="default"/>
          <w:b w:val="0"/>
          <w:bCs w:val="0"/>
          <w:sz w:val="26"/>
          <w:szCs w:val="26"/>
          <w:u w:val="none"/>
          <w:lang w:val="en-US"/>
        </w:rPr>
      </w:pPr>
    </w:p>
    <w:p w14:paraId="1D3B1CE2">
      <w:pPr>
        <w:widowControl w:val="0"/>
        <w:numPr>
          <w:numId w:val="0"/>
        </w:numPr>
        <w:ind w:leftChars="0"/>
        <w:jc w:val="both"/>
        <w:rPr>
          <w:rFonts w:hint="default"/>
          <w:b w:val="0"/>
          <w:bCs w:val="0"/>
          <w:sz w:val="26"/>
          <w:szCs w:val="26"/>
          <w:u w:val="none"/>
          <w:lang w:val="en-US"/>
        </w:rPr>
      </w:pPr>
    </w:p>
    <w:p w14:paraId="701E4454">
      <w:pPr>
        <w:widowControl w:val="0"/>
        <w:numPr>
          <w:numId w:val="0"/>
        </w:numPr>
        <w:ind w:leftChars="0"/>
        <w:jc w:val="both"/>
        <w:rPr>
          <w:rFonts w:hint="default"/>
          <w:b w:val="0"/>
          <w:bCs w:val="0"/>
          <w:sz w:val="26"/>
          <w:szCs w:val="26"/>
          <w:u w:val="none"/>
          <w:lang w:val="en-US"/>
        </w:rPr>
      </w:pPr>
    </w:p>
    <w:p w14:paraId="6FCD0C12">
      <w:pPr>
        <w:widowControl w:val="0"/>
        <w:numPr>
          <w:numId w:val="0"/>
        </w:numPr>
        <w:ind w:leftChars="0"/>
        <w:jc w:val="both"/>
        <w:rPr>
          <w:rFonts w:hint="default"/>
          <w:b w:val="0"/>
          <w:bCs w:val="0"/>
          <w:sz w:val="26"/>
          <w:szCs w:val="26"/>
          <w:u w:val="none"/>
          <w:lang w:val="en-US"/>
        </w:rPr>
      </w:pPr>
    </w:p>
    <w:p w14:paraId="71317696">
      <w:pPr>
        <w:widowControl w:val="0"/>
        <w:numPr>
          <w:numId w:val="0"/>
        </w:numPr>
        <w:ind w:leftChars="0"/>
        <w:jc w:val="both"/>
        <w:rPr>
          <w:rFonts w:hint="default"/>
          <w:b w:val="0"/>
          <w:bCs w:val="0"/>
          <w:sz w:val="26"/>
          <w:szCs w:val="26"/>
          <w:u w:val="none"/>
          <w:lang w:val="en-US"/>
        </w:rPr>
      </w:pPr>
    </w:p>
    <w:p w14:paraId="01192668">
      <w:pPr>
        <w:widowControl w:val="0"/>
        <w:numPr>
          <w:numId w:val="0"/>
        </w:numPr>
        <w:ind w:leftChars="0"/>
        <w:jc w:val="both"/>
        <w:rPr>
          <w:rFonts w:hint="default"/>
          <w:b/>
          <w:bCs/>
          <w:sz w:val="26"/>
          <w:szCs w:val="26"/>
          <w:u w:val="none"/>
          <w:lang w:val="en-US"/>
        </w:rPr>
      </w:pPr>
      <w:r>
        <w:rPr>
          <w:rFonts w:hint="default"/>
          <w:b/>
          <w:bCs/>
          <w:sz w:val="26"/>
          <w:szCs w:val="26"/>
          <w:u w:val="none"/>
          <w:lang w:val="en-US"/>
        </w:rPr>
        <w:t>6.8 Operator Pricing Strategy</w:t>
      </w:r>
    </w:p>
    <w:p w14:paraId="54582A6F">
      <w:pPr>
        <w:widowControl w:val="0"/>
        <w:numPr>
          <w:numId w:val="0"/>
        </w:numPr>
        <w:ind w:leftChars="0"/>
        <w:jc w:val="both"/>
        <w:rPr>
          <w:rFonts w:hint="default"/>
          <w:b/>
          <w:bCs/>
          <w:sz w:val="26"/>
          <w:szCs w:val="26"/>
          <w:u w:val="none"/>
          <w:lang w:val="en-US"/>
        </w:rPr>
      </w:pPr>
    </w:p>
    <w:p w14:paraId="7DF02CD3">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7960" cy="3268980"/>
            <wp:effectExtent l="0" t="0" r="2540" b="7620"/>
            <wp:docPr id="17" name="Picture 17" descr="12_pricing_strategies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2_pricing_strategies_comparison"/>
                    <pic:cNvPicPr>
                      <a:picLocks noChangeAspect="1"/>
                    </pic:cNvPicPr>
                  </pic:nvPicPr>
                  <pic:blipFill>
                    <a:blip r:embed="rId14"/>
                    <a:stretch>
                      <a:fillRect/>
                    </a:stretch>
                  </pic:blipFill>
                  <pic:spPr>
                    <a:xfrm>
                      <a:off x="0" y="0"/>
                      <a:ext cx="6537960" cy="3268980"/>
                    </a:xfrm>
                    <a:prstGeom prst="rect">
                      <a:avLst/>
                    </a:prstGeom>
                  </pic:spPr>
                </pic:pic>
              </a:graphicData>
            </a:graphic>
          </wp:inline>
        </w:drawing>
      </w:r>
    </w:p>
    <w:p w14:paraId="440E316E">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pricing density chart reveals a clear split in pricing strategies between casual and professional hosts across the London marketplace. Casual operators, defined as hosts managing only a single listing, show a steep pricing curve that peaks sharply around low, hyper-local baselines. Lacking advanced optimization tools, these hosts rely on defensive, static pricing strategies designed to secure steady occupancy rather than maximize revenue. In contrast, professional hosts managing portfolios of two or more properties display a noticeably wider pricing distribution that shifts rightward. This profile shows that professional management firms actively leverage dynamic pricing software and automated algorithms. This technology allows them to establish higher median pricing baselines and create strategic pricing peaks to capture maximum revenue during high-demand booking windows. </w:t>
      </w:r>
    </w:p>
    <w:p w14:paraId="73CF4960">
      <w:pPr>
        <w:widowControl w:val="0"/>
        <w:numPr>
          <w:numId w:val="0"/>
        </w:numPr>
        <w:ind w:leftChars="0"/>
        <w:jc w:val="both"/>
        <w:rPr>
          <w:rFonts w:hint="default"/>
          <w:b w:val="0"/>
          <w:bCs w:val="0"/>
          <w:sz w:val="26"/>
          <w:szCs w:val="26"/>
          <w:u w:val="none"/>
          <w:lang w:val="en-US"/>
        </w:rPr>
      </w:pPr>
    </w:p>
    <w:p w14:paraId="39FA0BF1">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The chart illustrates how operational scale and software tools split the supply side into two distinct economic groups.</w:t>
      </w:r>
    </w:p>
    <w:p w14:paraId="68644351">
      <w:pPr>
        <w:widowControl w:val="0"/>
        <w:numPr>
          <w:numId w:val="0"/>
        </w:numPr>
        <w:ind w:leftChars="0"/>
        <w:jc w:val="both"/>
        <w:rPr>
          <w:rFonts w:hint="default"/>
          <w:b/>
          <w:bCs/>
          <w:sz w:val="26"/>
          <w:szCs w:val="26"/>
          <w:u w:val="none"/>
          <w:lang w:val="en-US"/>
        </w:rPr>
      </w:pPr>
    </w:p>
    <w:p w14:paraId="2F33DE2A">
      <w:pPr>
        <w:widowControl w:val="0"/>
        <w:numPr>
          <w:numId w:val="0"/>
        </w:numPr>
        <w:ind w:leftChars="0"/>
        <w:jc w:val="both"/>
        <w:rPr>
          <w:rFonts w:hint="default"/>
          <w:b/>
          <w:bCs/>
          <w:sz w:val="26"/>
          <w:szCs w:val="26"/>
          <w:u w:val="none"/>
          <w:lang w:val="en-US"/>
        </w:rPr>
      </w:pPr>
    </w:p>
    <w:p w14:paraId="4E59608D">
      <w:pPr>
        <w:widowControl w:val="0"/>
        <w:numPr>
          <w:numId w:val="0"/>
        </w:numPr>
        <w:ind w:leftChars="0"/>
        <w:jc w:val="both"/>
        <w:rPr>
          <w:rFonts w:hint="default"/>
          <w:b/>
          <w:bCs/>
          <w:sz w:val="26"/>
          <w:szCs w:val="26"/>
          <w:u w:val="none"/>
          <w:lang w:val="en-US"/>
        </w:rPr>
      </w:pPr>
    </w:p>
    <w:p w14:paraId="4CE77841">
      <w:pPr>
        <w:widowControl w:val="0"/>
        <w:numPr>
          <w:numId w:val="0"/>
        </w:numPr>
        <w:ind w:leftChars="0"/>
        <w:jc w:val="both"/>
        <w:rPr>
          <w:rFonts w:hint="default"/>
          <w:b/>
          <w:bCs/>
          <w:sz w:val="26"/>
          <w:szCs w:val="26"/>
          <w:u w:val="none"/>
          <w:lang w:val="en-US"/>
        </w:rPr>
      </w:pPr>
    </w:p>
    <w:p w14:paraId="0FB3B1EC">
      <w:pPr>
        <w:widowControl w:val="0"/>
        <w:numPr>
          <w:numId w:val="0"/>
        </w:numPr>
        <w:ind w:leftChars="0"/>
        <w:jc w:val="both"/>
        <w:rPr>
          <w:rFonts w:hint="default"/>
          <w:b/>
          <w:bCs/>
          <w:sz w:val="26"/>
          <w:szCs w:val="26"/>
          <w:u w:val="none"/>
          <w:lang w:val="en-US"/>
        </w:rPr>
      </w:pPr>
    </w:p>
    <w:p w14:paraId="39C8144C">
      <w:pPr>
        <w:widowControl w:val="0"/>
        <w:numPr>
          <w:numId w:val="0"/>
        </w:numPr>
        <w:ind w:leftChars="0"/>
        <w:jc w:val="both"/>
        <w:rPr>
          <w:rFonts w:hint="default"/>
          <w:b/>
          <w:bCs/>
          <w:sz w:val="26"/>
          <w:szCs w:val="26"/>
          <w:u w:val="none"/>
          <w:lang w:val="en-US"/>
        </w:rPr>
      </w:pPr>
    </w:p>
    <w:p w14:paraId="5A22BDFE">
      <w:pPr>
        <w:widowControl w:val="0"/>
        <w:numPr>
          <w:numId w:val="0"/>
        </w:numPr>
        <w:ind w:leftChars="0"/>
        <w:jc w:val="both"/>
        <w:rPr>
          <w:rFonts w:hint="default"/>
          <w:b/>
          <w:bCs/>
          <w:sz w:val="26"/>
          <w:szCs w:val="26"/>
          <w:u w:val="none"/>
          <w:lang w:val="en-US"/>
        </w:rPr>
      </w:pPr>
    </w:p>
    <w:p w14:paraId="49B1FA5D">
      <w:pPr>
        <w:widowControl w:val="0"/>
        <w:numPr>
          <w:numId w:val="0"/>
        </w:numPr>
        <w:ind w:leftChars="0"/>
        <w:jc w:val="both"/>
        <w:rPr>
          <w:rFonts w:hint="default"/>
          <w:b/>
          <w:bCs/>
          <w:sz w:val="26"/>
          <w:szCs w:val="26"/>
          <w:u w:val="none"/>
          <w:lang w:val="en-US"/>
        </w:rPr>
      </w:pPr>
    </w:p>
    <w:p w14:paraId="3421AD90">
      <w:pPr>
        <w:widowControl w:val="0"/>
        <w:numPr>
          <w:numId w:val="0"/>
        </w:numPr>
        <w:ind w:leftChars="0"/>
        <w:jc w:val="both"/>
        <w:rPr>
          <w:rFonts w:hint="default"/>
          <w:b/>
          <w:bCs/>
          <w:sz w:val="26"/>
          <w:szCs w:val="26"/>
          <w:u w:val="none"/>
          <w:lang w:val="en-US"/>
        </w:rPr>
      </w:pPr>
    </w:p>
    <w:p w14:paraId="2AB72603">
      <w:pPr>
        <w:widowControl w:val="0"/>
        <w:numPr>
          <w:numId w:val="0"/>
        </w:numPr>
        <w:ind w:leftChars="0"/>
        <w:jc w:val="both"/>
        <w:rPr>
          <w:rFonts w:hint="default"/>
          <w:b/>
          <w:bCs/>
          <w:sz w:val="26"/>
          <w:szCs w:val="26"/>
          <w:u w:val="none"/>
          <w:lang w:val="en-US"/>
        </w:rPr>
      </w:pPr>
    </w:p>
    <w:p w14:paraId="055083D6">
      <w:pPr>
        <w:widowControl w:val="0"/>
        <w:numPr>
          <w:numId w:val="0"/>
        </w:numPr>
        <w:ind w:leftChars="0"/>
        <w:jc w:val="both"/>
        <w:rPr>
          <w:rFonts w:hint="default"/>
          <w:b/>
          <w:bCs/>
          <w:sz w:val="26"/>
          <w:szCs w:val="26"/>
          <w:u w:val="none"/>
          <w:lang w:val="en-US"/>
        </w:rPr>
      </w:pPr>
    </w:p>
    <w:p w14:paraId="2D4227FC">
      <w:pPr>
        <w:widowControl w:val="0"/>
        <w:numPr>
          <w:numId w:val="0"/>
        </w:numPr>
        <w:ind w:leftChars="0"/>
        <w:jc w:val="both"/>
        <w:rPr>
          <w:rFonts w:hint="default"/>
          <w:b/>
          <w:bCs/>
          <w:sz w:val="26"/>
          <w:szCs w:val="26"/>
          <w:u w:val="none"/>
          <w:lang w:val="en-US"/>
        </w:rPr>
      </w:pPr>
    </w:p>
    <w:p w14:paraId="0E33D0DE">
      <w:pPr>
        <w:widowControl w:val="0"/>
        <w:numPr>
          <w:numId w:val="0"/>
        </w:numPr>
        <w:ind w:leftChars="0"/>
        <w:jc w:val="both"/>
        <w:rPr>
          <w:rFonts w:hint="default"/>
          <w:b/>
          <w:bCs/>
          <w:sz w:val="26"/>
          <w:szCs w:val="26"/>
          <w:u w:val="none"/>
          <w:lang w:val="en-US"/>
        </w:rPr>
      </w:pPr>
      <w:r>
        <w:rPr>
          <w:rFonts w:hint="default"/>
          <w:b/>
          <w:bCs/>
          <w:sz w:val="26"/>
          <w:szCs w:val="26"/>
          <w:u w:val="none"/>
          <w:lang w:val="en-US"/>
        </w:rPr>
        <w:t>6.9 Supply-Side Lorenz Curve</w:t>
      </w:r>
    </w:p>
    <w:p w14:paraId="72780364">
      <w:pPr>
        <w:widowControl w:val="0"/>
        <w:numPr>
          <w:numId w:val="0"/>
        </w:numPr>
        <w:ind w:leftChars="0"/>
        <w:jc w:val="both"/>
        <w:rPr>
          <w:rFonts w:hint="default"/>
          <w:b/>
          <w:bCs/>
          <w:sz w:val="26"/>
          <w:szCs w:val="26"/>
          <w:u w:val="none"/>
          <w:lang w:val="en-US"/>
        </w:rPr>
      </w:pPr>
    </w:p>
    <w:p w14:paraId="62DE65E0">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4150" cy="3992880"/>
            <wp:effectExtent l="0" t="0" r="6350" b="7620"/>
            <wp:docPr id="18" name="Picture 18" descr="13_market_supply_concen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3_market_supply_concentration"/>
                    <pic:cNvPicPr>
                      <a:picLocks noChangeAspect="1"/>
                    </pic:cNvPicPr>
                  </pic:nvPicPr>
                  <pic:blipFill>
                    <a:blip r:embed="rId15"/>
                    <a:stretch>
                      <a:fillRect/>
                    </a:stretch>
                  </pic:blipFill>
                  <pic:spPr>
                    <a:xfrm>
                      <a:off x="0" y="0"/>
                      <a:ext cx="6534150" cy="3992880"/>
                    </a:xfrm>
                    <a:prstGeom prst="rect">
                      <a:avLst/>
                    </a:prstGeom>
                  </pic:spPr>
                </pic:pic>
              </a:graphicData>
            </a:graphic>
          </wp:inline>
        </w:drawing>
      </w:r>
    </w:p>
    <w:p w14:paraId="62FDE4E4">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cumulative concentration curve reveals a classic Pareto imbalance in the supply architecture of the London short-term rental market. The graph plots the cumulative percentage of unique hosts against their total share of active platform listings. A dashed line represents perfect market equality, where every host controls an equal number of properties. The actual market supply curve bends sharply away from this baseline, highlighting high market concentration. A key data point shows that a small group of top-tier professional hosts and corporate management firms—representing just 12% of unique host accounts—controls over 50% of active marketplace listings. This concentration proves that while the platform appears decentralized, the majority of active supply is managed by a centralized group of commercial operators. </w:t>
      </w:r>
    </w:p>
    <w:p w14:paraId="76F30CB4">
      <w:pPr>
        <w:widowControl w:val="0"/>
        <w:numPr>
          <w:numId w:val="0"/>
        </w:numPr>
        <w:ind w:leftChars="0"/>
        <w:jc w:val="both"/>
        <w:rPr>
          <w:rFonts w:hint="default"/>
          <w:b w:val="0"/>
          <w:bCs w:val="0"/>
          <w:sz w:val="26"/>
          <w:szCs w:val="26"/>
          <w:u w:val="none"/>
          <w:lang w:val="en-US"/>
        </w:rPr>
      </w:pPr>
    </w:p>
    <w:p w14:paraId="638E0715">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imbalance heavily weights platform metrics toward professional management strategies. </w:t>
      </w:r>
    </w:p>
    <w:p w14:paraId="3A58AE18">
      <w:pPr>
        <w:widowControl w:val="0"/>
        <w:numPr>
          <w:numId w:val="0"/>
        </w:numPr>
        <w:ind w:leftChars="0"/>
        <w:jc w:val="both"/>
        <w:rPr>
          <w:rFonts w:hint="default"/>
          <w:b/>
          <w:bCs/>
          <w:sz w:val="26"/>
          <w:szCs w:val="26"/>
          <w:u w:val="none"/>
          <w:lang w:val="en-US"/>
        </w:rPr>
      </w:pPr>
    </w:p>
    <w:p w14:paraId="142567B9">
      <w:pPr>
        <w:widowControl w:val="0"/>
        <w:numPr>
          <w:numId w:val="0"/>
        </w:numPr>
        <w:ind w:leftChars="0"/>
        <w:jc w:val="both"/>
        <w:rPr>
          <w:rFonts w:hint="default"/>
          <w:b/>
          <w:bCs/>
          <w:sz w:val="26"/>
          <w:szCs w:val="26"/>
          <w:u w:val="none"/>
          <w:lang w:val="en-US"/>
        </w:rPr>
      </w:pPr>
    </w:p>
    <w:p w14:paraId="17DF0F95">
      <w:pPr>
        <w:widowControl w:val="0"/>
        <w:numPr>
          <w:numId w:val="0"/>
        </w:numPr>
        <w:ind w:leftChars="0"/>
        <w:jc w:val="both"/>
        <w:rPr>
          <w:rFonts w:hint="default"/>
          <w:b/>
          <w:bCs/>
          <w:sz w:val="26"/>
          <w:szCs w:val="26"/>
          <w:u w:val="none"/>
          <w:lang w:val="en-US"/>
        </w:rPr>
      </w:pPr>
    </w:p>
    <w:p w14:paraId="1DC17198">
      <w:pPr>
        <w:widowControl w:val="0"/>
        <w:numPr>
          <w:numId w:val="0"/>
        </w:numPr>
        <w:ind w:leftChars="0"/>
        <w:jc w:val="both"/>
        <w:rPr>
          <w:rFonts w:hint="default"/>
          <w:b/>
          <w:bCs/>
          <w:sz w:val="26"/>
          <w:szCs w:val="26"/>
          <w:u w:val="none"/>
          <w:lang w:val="en-US"/>
        </w:rPr>
      </w:pPr>
    </w:p>
    <w:p w14:paraId="3D18AB0A">
      <w:pPr>
        <w:widowControl w:val="0"/>
        <w:numPr>
          <w:numId w:val="0"/>
        </w:numPr>
        <w:ind w:leftChars="0"/>
        <w:jc w:val="both"/>
        <w:rPr>
          <w:rFonts w:hint="default"/>
          <w:b/>
          <w:bCs/>
          <w:sz w:val="26"/>
          <w:szCs w:val="26"/>
          <w:u w:val="none"/>
          <w:lang w:val="en-US"/>
        </w:rPr>
      </w:pPr>
    </w:p>
    <w:p w14:paraId="79ED5BB1">
      <w:pPr>
        <w:widowControl w:val="0"/>
        <w:numPr>
          <w:numId w:val="0"/>
        </w:numPr>
        <w:ind w:leftChars="0"/>
        <w:jc w:val="both"/>
        <w:rPr>
          <w:rFonts w:hint="default"/>
          <w:b/>
          <w:bCs/>
          <w:sz w:val="26"/>
          <w:szCs w:val="26"/>
          <w:u w:val="none"/>
          <w:lang w:val="en-US"/>
        </w:rPr>
      </w:pPr>
    </w:p>
    <w:p w14:paraId="6EE31348">
      <w:pPr>
        <w:widowControl w:val="0"/>
        <w:numPr>
          <w:numId w:val="0"/>
        </w:numPr>
        <w:ind w:leftChars="0"/>
        <w:jc w:val="both"/>
        <w:rPr>
          <w:rFonts w:hint="default"/>
          <w:b/>
          <w:bCs/>
          <w:sz w:val="26"/>
          <w:szCs w:val="26"/>
          <w:u w:val="none"/>
          <w:lang w:val="en-US"/>
        </w:rPr>
      </w:pPr>
    </w:p>
    <w:p w14:paraId="642A0606">
      <w:pPr>
        <w:widowControl w:val="0"/>
        <w:numPr>
          <w:numId w:val="0"/>
        </w:numPr>
        <w:ind w:leftChars="0"/>
        <w:jc w:val="both"/>
        <w:rPr>
          <w:rFonts w:hint="default"/>
          <w:b/>
          <w:bCs/>
          <w:sz w:val="26"/>
          <w:szCs w:val="26"/>
          <w:u w:val="none"/>
          <w:lang w:val="en-US"/>
        </w:rPr>
      </w:pPr>
    </w:p>
    <w:p w14:paraId="73CDB5CE">
      <w:pPr>
        <w:widowControl w:val="0"/>
        <w:numPr>
          <w:numId w:val="0"/>
        </w:numPr>
        <w:ind w:leftChars="0"/>
        <w:jc w:val="both"/>
        <w:rPr>
          <w:rFonts w:hint="default"/>
          <w:b/>
          <w:bCs/>
          <w:sz w:val="26"/>
          <w:szCs w:val="26"/>
          <w:u w:val="none"/>
          <w:lang w:val="en-US"/>
        </w:rPr>
      </w:pPr>
    </w:p>
    <w:p w14:paraId="29C4D6F5">
      <w:pPr>
        <w:widowControl w:val="0"/>
        <w:numPr>
          <w:numId w:val="0"/>
        </w:numPr>
        <w:ind w:leftChars="0"/>
        <w:jc w:val="both"/>
        <w:rPr>
          <w:rFonts w:hint="default"/>
          <w:b/>
          <w:bCs/>
          <w:sz w:val="26"/>
          <w:szCs w:val="26"/>
          <w:u w:val="none"/>
          <w:lang w:val="en-US"/>
        </w:rPr>
      </w:pPr>
    </w:p>
    <w:p w14:paraId="6F3CEDA8">
      <w:pPr>
        <w:widowControl w:val="0"/>
        <w:numPr>
          <w:numId w:val="0"/>
        </w:numPr>
        <w:ind w:leftChars="0"/>
        <w:jc w:val="both"/>
        <w:rPr>
          <w:rFonts w:hint="default"/>
          <w:b/>
          <w:bCs/>
          <w:sz w:val="26"/>
          <w:szCs w:val="26"/>
          <w:u w:val="none"/>
          <w:lang w:val="en-US"/>
        </w:rPr>
      </w:pPr>
    </w:p>
    <w:p w14:paraId="742A4A4D">
      <w:pPr>
        <w:widowControl w:val="0"/>
        <w:numPr>
          <w:numId w:val="0"/>
        </w:numPr>
        <w:ind w:leftChars="0"/>
        <w:jc w:val="both"/>
        <w:rPr>
          <w:rFonts w:hint="default"/>
          <w:b/>
          <w:bCs/>
          <w:sz w:val="26"/>
          <w:szCs w:val="26"/>
          <w:u w:val="none"/>
          <w:lang w:val="en-US"/>
        </w:rPr>
      </w:pPr>
      <w:r>
        <w:rPr>
          <w:rFonts w:hint="default"/>
          <w:b/>
          <w:bCs/>
          <w:sz w:val="26"/>
          <w:szCs w:val="26"/>
          <w:u w:val="none"/>
          <w:lang w:val="en-US"/>
        </w:rPr>
        <w:t>6.10 Valuation Booking Velocity</w:t>
      </w:r>
    </w:p>
    <w:p w14:paraId="4BB1DD06">
      <w:pPr>
        <w:widowControl w:val="0"/>
        <w:numPr>
          <w:numId w:val="0"/>
        </w:numPr>
        <w:ind w:leftChars="0"/>
        <w:jc w:val="both"/>
        <w:rPr>
          <w:rFonts w:hint="default"/>
          <w:b/>
          <w:bCs/>
          <w:sz w:val="26"/>
          <w:szCs w:val="26"/>
          <w:u w:val="none"/>
          <w:lang w:val="en-US"/>
        </w:rPr>
      </w:pPr>
    </w:p>
    <w:p w14:paraId="3125D0B1">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4150" cy="3992880"/>
            <wp:effectExtent l="0" t="0" r="6350" b="7620"/>
            <wp:docPr id="19" name="Picture 19" descr="14_review_count_vs_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4_review_count_vs_price"/>
                    <pic:cNvPicPr>
                      <a:picLocks noChangeAspect="1"/>
                    </pic:cNvPicPr>
                  </pic:nvPicPr>
                  <pic:blipFill>
                    <a:blip r:embed="rId16"/>
                    <a:stretch>
                      <a:fillRect/>
                    </a:stretch>
                  </pic:blipFill>
                  <pic:spPr>
                    <a:xfrm>
                      <a:off x="0" y="0"/>
                      <a:ext cx="6534150" cy="3992880"/>
                    </a:xfrm>
                    <a:prstGeom prst="rect">
                      <a:avLst/>
                    </a:prstGeom>
                  </pic:spPr>
                </pic:pic>
              </a:graphicData>
            </a:graphic>
          </wp:inline>
        </w:drawing>
      </w:r>
    </w:p>
    <w:p w14:paraId="168A64C0">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scatter plot with a negative regression line illustrates the relationship between nightly listing prices and guest review accumulation, serving as a proxy for booking velocity. The data shows an exponential decay pattern. Highly active, high-turnover properties that accumulate hundreds of reviews cluster almost exclusively within the sub-$150 price range. As nightly rates climb toward the $500 ceiling, review density drops off significantly, leaving a sparse scatter of premium listings with low review counts. The downward-sloping regression line mathematically confirms this negative relationship. This pattern proves that competitive, budget-friendly pricing remains the primary driver of rapid booking velocity and consistent property turnover. Higher-priced luxury listings operate on a low-turnover model, trading high booking frequency for premium profit margins per stay. </w:t>
      </w:r>
    </w:p>
    <w:p w14:paraId="7F745500">
      <w:pPr>
        <w:widowControl w:val="0"/>
        <w:numPr>
          <w:numId w:val="0"/>
        </w:numPr>
        <w:ind w:leftChars="0"/>
        <w:jc w:val="both"/>
        <w:rPr>
          <w:rFonts w:hint="default"/>
          <w:b w:val="0"/>
          <w:bCs w:val="0"/>
          <w:sz w:val="26"/>
          <w:szCs w:val="26"/>
          <w:u w:val="none"/>
          <w:lang w:val="en-US"/>
        </w:rPr>
      </w:pPr>
    </w:p>
    <w:p w14:paraId="401CF763">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The chart outlines the clear choice hosts face between high-volume budget bookings and low-volume luxury stays. </w:t>
      </w:r>
    </w:p>
    <w:p w14:paraId="3FFFD902">
      <w:pPr>
        <w:widowControl w:val="0"/>
        <w:numPr>
          <w:numId w:val="0"/>
        </w:numPr>
        <w:ind w:leftChars="0"/>
        <w:jc w:val="both"/>
        <w:rPr>
          <w:rFonts w:hint="default"/>
          <w:b/>
          <w:bCs/>
          <w:sz w:val="26"/>
          <w:szCs w:val="26"/>
          <w:u w:val="none"/>
          <w:lang w:val="en-US"/>
        </w:rPr>
      </w:pPr>
    </w:p>
    <w:p w14:paraId="2A539AE1">
      <w:pPr>
        <w:widowControl w:val="0"/>
        <w:numPr>
          <w:numId w:val="0"/>
        </w:numPr>
        <w:ind w:leftChars="0"/>
        <w:jc w:val="both"/>
        <w:rPr>
          <w:rFonts w:hint="default"/>
          <w:b/>
          <w:bCs/>
          <w:sz w:val="26"/>
          <w:szCs w:val="26"/>
          <w:u w:val="none"/>
          <w:lang w:val="en-US"/>
        </w:rPr>
      </w:pPr>
    </w:p>
    <w:p w14:paraId="3CEA9D76">
      <w:pPr>
        <w:widowControl w:val="0"/>
        <w:numPr>
          <w:numId w:val="0"/>
        </w:numPr>
        <w:ind w:leftChars="0"/>
        <w:jc w:val="both"/>
        <w:rPr>
          <w:rFonts w:hint="default"/>
          <w:b/>
          <w:bCs/>
          <w:sz w:val="26"/>
          <w:szCs w:val="26"/>
          <w:u w:val="none"/>
          <w:lang w:val="en-US"/>
        </w:rPr>
      </w:pPr>
    </w:p>
    <w:p w14:paraId="7FDE67DF">
      <w:pPr>
        <w:widowControl w:val="0"/>
        <w:numPr>
          <w:numId w:val="0"/>
        </w:numPr>
        <w:ind w:leftChars="0"/>
        <w:jc w:val="both"/>
        <w:rPr>
          <w:rFonts w:hint="default"/>
          <w:b/>
          <w:bCs/>
          <w:sz w:val="26"/>
          <w:szCs w:val="26"/>
          <w:u w:val="none"/>
          <w:lang w:val="en-US"/>
        </w:rPr>
      </w:pPr>
    </w:p>
    <w:p w14:paraId="11487BAA">
      <w:pPr>
        <w:widowControl w:val="0"/>
        <w:numPr>
          <w:numId w:val="0"/>
        </w:numPr>
        <w:ind w:leftChars="0"/>
        <w:jc w:val="both"/>
        <w:rPr>
          <w:rFonts w:hint="default"/>
          <w:b/>
          <w:bCs/>
          <w:sz w:val="26"/>
          <w:szCs w:val="26"/>
          <w:u w:val="none"/>
          <w:lang w:val="en-US"/>
        </w:rPr>
      </w:pPr>
    </w:p>
    <w:p w14:paraId="260DC5C8">
      <w:pPr>
        <w:widowControl w:val="0"/>
        <w:numPr>
          <w:numId w:val="0"/>
        </w:numPr>
        <w:ind w:leftChars="0"/>
        <w:jc w:val="both"/>
        <w:rPr>
          <w:rFonts w:hint="default"/>
          <w:b/>
          <w:bCs/>
          <w:sz w:val="26"/>
          <w:szCs w:val="26"/>
          <w:u w:val="none"/>
          <w:lang w:val="en-US"/>
        </w:rPr>
      </w:pPr>
    </w:p>
    <w:p w14:paraId="1C286AF0">
      <w:pPr>
        <w:widowControl w:val="0"/>
        <w:numPr>
          <w:numId w:val="0"/>
        </w:numPr>
        <w:ind w:leftChars="0"/>
        <w:jc w:val="both"/>
        <w:rPr>
          <w:rFonts w:hint="default"/>
          <w:b/>
          <w:bCs/>
          <w:sz w:val="26"/>
          <w:szCs w:val="26"/>
          <w:u w:val="none"/>
          <w:lang w:val="en-US"/>
        </w:rPr>
      </w:pPr>
    </w:p>
    <w:p w14:paraId="12813FD5">
      <w:pPr>
        <w:widowControl w:val="0"/>
        <w:numPr>
          <w:numId w:val="0"/>
        </w:numPr>
        <w:ind w:leftChars="0"/>
        <w:jc w:val="both"/>
        <w:rPr>
          <w:rFonts w:hint="default"/>
          <w:b/>
          <w:bCs/>
          <w:sz w:val="26"/>
          <w:szCs w:val="26"/>
          <w:u w:val="none"/>
          <w:lang w:val="en-US"/>
        </w:rPr>
      </w:pPr>
    </w:p>
    <w:p w14:paraId="63F5E216">
      <w:pPr>
        <w:widowControl w:val="0"/>
        <w:numPr>
          <w:numId w:val="0"/>
        </w:numPr>
        <w:ind w:leftChars="0"/>
        <w:jc w:val="both"/>
        <w:rPr>
          <w:rFonts w:hint="default"/>
          <w:b/>
          <w:bCs/>
          <w:sz w:val="26"/>
          <w:szCs w:val="26"/>
          <w:u w:val="none"/>
          <w:lang w:val="en-US"/>
        </w:rPr>
      </w:pPr>
    </w:p>
    <w:p w14:paraId="45DB8ABC">
      <w:pPr>
        <w:widowControl w:val="0"/>
        <w:numPr>
          <w:numId w:val="0"/>
        </w:numPr>
        <w:ind w:leftChars="0"/>
        <w:jc w:val="both"/>
        <w:rPr>
          <w:rFonts w:hint="default"/>
          <w:b/>
          <w:bCs/>
          <w:sz w:val="26"/>
          <w:szCs w:val="26"/>
          <w:u w:val="none"/>
          <w:lang w:val="en-US"/>
        </w:rPr>
      </w:pPr>
      <w:r>
        <w:rPr>
          <w:rFonts w:hint="default"/>
          <w:b/>
          <w:bCs/>
          <w:sz w:val="26"/>
          <w:szCs w:val="26"/>
          <w:u w:val="none"/>
          <w:lang w:val="en-US"/>
        </w:rPr>
        <w:t>6.11 Review Pacing Frequency Density</w:t>
      </w:r>
    </w:p>
    <w:p w14:paraId="5F674A58">
      <w:pPr>
        <w:widowControl w:val="0"/>
        <w:numPr>
          <w:numId w:val="0"/>
        </w:numPr>
        <w:ind w:leftChars="0"/>
        <w:jc w:val="both"/>
        <w:rPr>
          <w:rFonts w:hint="default"/>
          <w:b/>
          <w:bCs/>
          <w:sz w:val="26"/>
          <w:szCs w:val="26"/>
          <w:u w:val="none"/>
          <w:lang w:val="en-US"/>
        </w:rPr>
      </w:pPr>
    </w:p>
    <w:p w14:paraId="0B79F135">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7960" cy="3923030"/>
            <wp:effectExtent l="0" t="0" r="2540" b="1270"/>
            <wp:docPr id="21" name="Picture 21" descr="review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eview_distribution"/>
                    <pic:cNvPicPr>
                      <a:picLocks noChangeAspect="1"/>
                    </pic:cNvPicPr>
                  </pic:nvPicPr>
                  <pic:blipFill>
                    <a:blip r:embed="rId17"/>
                    <a:stretch>
                      <a:fillRect/>
                    </a:stretch>
                  </pic:blipFill>
                  <pic:spPr>
                    <a:xfrm>
                      <a:off x="0" y="0"/>
                      <a:ext cx="6537960" cy="3923030"/>
                    </a:xfrm>
                    <a:prstGeom prst="rect">
                      <a:avLst/>
                    </a:prstGeom>
                  </pic:spPr>
                </pic:pic>
              </a:graphicData>
            </a:graphic>
          </wp:inline>
        </w:drawing>
      </w:r>
    </w:p>
    <w:p w14:paraId="35FC3729">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frequency density histogram illustrates the distribution of monthly review pacing across the dataset, capturing platform engagement trends. The data forms a steep exponential decay curve that drops sharply immediately after the first column interval. The highest concentration of properties sits between 0 and 2 reviews per month, proving that the vast majority of listings see slow, low-frequency booking activity throughout the year. Moving rightward along the axis shows a rapid drop in density, with only a small fraction of properties sustaining a velocity of more than 4 reviews per month. This long-tail distribution indicates that hyper-active, high-turnover listings are rare exceptions on the platform. </w:t>
      </w:r>
    </w:p>
    <w:p w14:paraId="00DD2A93">
      <w:pPr>
        <w:widowControl w:val="0"/>
        <w:numPr>
          <w:numId w:val="0"/>
        </w:numPr>
        <w:ind w:leftChars="0"/>
        <w:jc w:val="both"/>
        <w:rPr>
          <w:rFonts w:hint="default"/>
          <w:b w:val="0"/>
          <w:bCs w:val="0"/>
          <w:sz w:val="26"/>
          <w:szCs w:val="26"/>
          <w:u w:val="none"/>
          <w:lang w:val="en-US"/>
        </w:rPr>
      </w:pPr>
    </w:p>
    <w:p w14:paraId="25EB3877">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For analysts, this distribution highlights that the London market is dominated by low-turnover inventory, with a small group of highly optimized properties driving the majority of platform transactions.</w:t>
      </w:r>
    </w:p>
    <w:p w14:paraId="7A7F8608">
      <w:pPr>
        <w:widowControl w:val="0"/>
        <w:numPr>
          <w:numId w:val="0"/>
        </w:numPr>
        <w:ind w:leftChars="0"/>
        <w:jc w:val="both"/>
        <w:rPr>
          <w:rFonts w:hint="default"/>
          <w:b/>
          <w:bCs/>
          <w:sz w:val="26"/>
          <w:szCs w:val="26"/>
          <w:u w:val="none"/>
          <w:lang w:val="en-US"/>
        </w:rPr>
      </w:pPr>
    </w:p>
    <w:p w14:paraId="7D7B2D0B">
      <w:pPr>
        <w:widowControl w:val="0"/>
        <w:numPr>
          <w:numId w:val="0"/>
        </w:numPr>
        <w:ind w:leftChars="0"/>
        <w:jc w:val="both"/>
        <w:rPr>
          <w:rFonts w:hint="default"/>
          <w:b/>
          <w:bCs/>
          <w:sz w:val="26"/>
          <w:szCs w:val="26"/>
          <w:u w:val="none"/>
          <w:lang w:val="en-US"/>
        </w:rPr>
      </w:pPr>
    </w:p>
    <w:p w14:paraId="43F1E296">
      <w:pPr>
        <w:widowControl w:val="0"/>
        <w:numPr>
          <w:numId w:val="0"/>
        </w:numPr>
        <w:ind w:leftChars="0"/>
        <w:jc w:val="both"/>
        <w:rPr>
          <w:rFonts w:hint="default"/>
          <w:b/>
          <w:bCs/>
          <w:sz w:val="26"/>
          <w:szCs w:val="26"/>
          <w:u w:val="none"/>
          <w:lang w:val="en-US"/>
        </w:rPr>
      </w:pPr>
    </w:p>
    <w:p w14:paraId="25F1348A">
      <w:pPr>
        <w:widowControl w:val="0"/>
        <w:numPr>
          <w:numId w:val="0"/>
        </w:numPr>
        <w:ind w:leftChars="0"/>
        <w:jc w:val="both"/>
        <w:rPr>
          <w:rFonts w:hint="default"/>
          <w:b/>
          <w:bCs/>
          <w:sz w:val="26"/>
          <w:szCs w:val="26"/>
          <w:u w:val="none"/>
          <w:lang w:val="en-US"/>
        </w:rPr>
      </w:pPr>
    </w:p>
    <w:p w14:paraId="4D5A6724">
      <w:pPr>
        <w:widowControl w:val="0"/>
        <w:numPr>
          <w:numId w:val="0"/>
        </w:numPr>
        <w:ind w:leftChars="0"/>
        <w:jc w:val="both"/>
        <w:rPr>
          <w:rFonts w:hint="default"/>
          <w:b/>
          <w:bCs/>
          <w:sz w:val="26"/>
          <w:szCs w:val="26"/>
          <w:u w:val="none"/>
          <w:lang w:val="en-US"/>
        </w:rPr>
      </w:pPr>
    </w:p>
    <w:p w14:paraId="182EA38A">
      <w:pPr>
        <w:widowControl w:val="0"/>
        <w:numPr>
          <w:numId w:val="0"/>
        </w:numPr>
        <w:ind w:leftChars="0"/>
        <w:jc w:val="both"/>
        <w:rPr>
          <w:rFonts w:hint="default"/>
          <w:b/>
          <w:bCs/>
          <w:sz w:val="26"/>
          <w:szCs w:val="26"/>
          <w:u w:val="none"/>
          <w:lang w:val="en-US"/>
        </w:rPr>
      </w:pPr>
    </w:p>
    <w:p w14:paraId="222FE88A">
      <w:pPr>
        <w:widowControl w:val="0"/>
        <w:numPr>
          <w:numId w:val="0"/>
        </w:numPr>
        <w:ind w:leftChars="0"/>
        <w:jc w:val="both"/>
        <w:rPr>
          <w:rFonts w:hint="default"/>
          <w:b/>
          <w:bCs/>
          <w:sz w:val="26"/>
          <w:szCs w:val="26"/>
          <w:u w:val="none"/>
          <w:lang w:val="en-US"/>
        </w:rPr>
      </w:pPr>
    </w:p>
    <w:p w14:paraId="54122815">
      <w:pPr>
        <w:widowControl w:val="0"/>
        <w:numPr>
          <w:numId w:val="0"/>
        </w:numPr>
        <w:ind w:leftChars="0"/>
        <w:jc w:val="both"/>
        <w:rPr>
          <w:rFonts w:hint="default"/>
          <w:b/>
          <w:bCs/>
          <w:sz w:val="26"/>
          <w:szCs w:val="26"/>
          <w:u w:val="none"/>
          <w:lang w:val="en-US"/>
        </w:rPr>
      </w:pPr>
    </w:p>
    <w:p w14:paraId="0F0316A0">
      <w:pPr>
        <w:widowControl w:val="0"/>
        <w:numPr>
          <w:numId w:val="0"/>
        </w:numPr>
        <w:ind w:leftChars="0"/>
        <w:jc w:val="both"/>
        <w:rPr>
          <w:rFonts w:hint="default"/>
          <w:b/>
          <w:bCs/>
          <w:sz w:val="26"/>
          <w:szCs w:val="26"/>
          <w:u w:val="none"/>
          <w:lang w:val="en-US"/>
        </w:rPr>
      </w:pPr>
    </w:p>
    <w:p w14:paraId="07F122C7">
      <w:pPr>
        <w:widowControl w:val="0"/>
        <w:numPr>
          <w:numId w:val="0"/>
        </w:numPr>
        <w:ind w:leftChars="0"/>
        <w:jc w:val="both"/>
        <w:rPr>
          <w:rFonts w:hint="default"/>
          <w:b/>
          <w:bCs/>
          <w:sz w:val="26"/>
          <w:szCs w:val="26"/>
          <w:u w:val="none"/>
          <w:lang w:val="en-US"/>
        </w:rPr>
      </w:pPr>
    </w:p>
    <w:p w14:paraId="441F525C">
      <w:pPr>
        <w:widowControl w:val="0"/>
        <w:numPr>
          <w:numId w:val="0"/>
        </w:numPr>
        <w:ind w:leftChars="0"/>
        <w:jc w:val="both"/>
        <w:rPr>
          <w:rFonts w:hint="default"/>
          <w:b/>
          <w:bCs/>
          <w:sz w:val="26"/>
          <w:szCs w:val="26"/>
          <w:u w:val="none"/>
          <w:lang w:val="en-US"/>
        </w:rPr>
      </w:pPr>
      <w:r>
        <w:rPr>
          <w:rFonts w:hint="default"/>
          <w:b/>
          <w:bCs/>
          <w:sz w:val="26"/>
          <w:szCs w:val="26"/>
          <w:u w:val="none"/>
          <w:lang w:val="en-US"/>
        </w:rPr>
        <w:t>6.12 Long-Tail Host Portfolio Scale</w:t>
      </w:r>
    </w:p>
    <w:p w14:paraId="4D640C7B">
      <w:pPr>
        <w:widowControl w:val="0"/>
        <w:numPr>
          <w:numId w:val="0"/>
        </w:numPr>
        <w:ind w:leftChars="0"/>
        <w:jc w:val="both"/>
        <w:rPr>
          <w:rFonts w:hint="default"/>
          <w:b/>
          <w:bCs/>
          <w:sz w:val="26"/>
          <w:szCs w:val="26"/>
          <w:u w:val="none"/>
          <w:lang w:val="en-US"/>
        </w:rPr>
      </w:pPr>
    </w:p>
    <w:p w14:paraId="2995A6AA">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7960" cy="3923030"/>
            <wp:effectExtent l="0" t="0" r="2540" b="1270"/>
            <wp:docPr id="22" name="Picture 22" descr="hosting_power_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osting_power_law"/>
                    <pic:cNvPicPr>
                      <a:picLocks noChangeAspect="1"/>
                    </pic:cNvPicPr>
                  </pic:nvPicPr>
                  <pic:blipFill>
                    <a:blip r:embed="rId18"/>
                    <a:stretch>
                      <a:fillRect/>
                    </a:stretch>
                  </pic:blipFill>
                  <pic:spPr>
                    <a:xfrm>
                      <a:off x="0" y="0"/>
                      <a:ext cx="6537960" cy="3923030"/>
                    </a:xfrm>
                    <a:prstGeom prst="rect">
                      <a:avLst/>
                    </a:prstGeom>
                  </pic:spPr>
                </pic:pic>
              </a:graphicData>
            </a:graphic>
          </wp:inline>
        </w:drawing>
      </w:r>
    </w:p>
    <w:p w14:paraId="6A75F2B9">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bar chart utilizes a logarithmic scale on the vertical axis to map the long-tail distribution of property ownership volumes per unique host. The first bar shows a massive count exceeding ten thousand unique hosts who own just a single listing, highlighting the large volume of casual operators. As the property count increases along the horizontal axis, the host count drops off rapidly. Because the chart uses a logarithmic scale, this steady downward slope represents an exponential drop in reality. Hosts managing portfolios of 2 to 4 properties represent a small fraction of the single-property volume, while large commercial operators managing 10 to 14 listings represent an elite minority. </w:t>
      </w:r>
    </w:p>
    <w:p w14:paraId="7325523F">
      <w:pPr>
        <w:widowControl w:val="0"/>
        <w:numPr>
          <w:numId w:val="0"/>
        </w:numPr>
        <w:ind w:leftChars="0"/>
        <w:jc w:val="both"/>
        <w:rPr>
          <w:rFonts w:hint="default"/>
          <w:b w:val="0"/>
          <w:bCs w:val="0"/>
          <w:sz w:val="26"/>
          <w:szCs w:val="26"/>
          <w:u w:val="none"/>
          <w:lang w:val="en-US"/>
        </w:rPr>
      </w:pPr>
    </w:p>
    <w:p w14:paraId="0C8728B9">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visualization confirms a power-law structure, where individual casual hosts form a massive foundation, while a tiny group of multi-property operators controls significant portions of the market. </w:t>
      </w:r>
    </w:p>
    <w:p w14:paraId="6AB3B67C">
      <w:pPr>
        <w:widowControl w:val="0"/>
        <w:numPr>
          <w:numId w:val="0"/>
        </w:numPr>
        <w:ind w:leftChars="0"/>
        <w:jc w:val="both"/>
        <w:rPr>
          <w:rFonts w:hint="default"/>
          <w:b/>
          <w:bCs/>
          <w:sz w:val="26"/>
          <w:szCs w:val="26"/>
          <w:u w:val="none"/>
          <w:lang w:val="en-US"/>
        </w:rPr>
      </w:pPr>
    </w:p>
    <w:p w14:paraId="54BEE857">
      <w:pPr>
        <w:widowControl w:val="0"/>
        <w:numPr>
          <w:numId w:val="0"/>
        </w:numPr>
        <w:ind w:leftChars="0"/>
        <w:jc w:val="both"/>
        <w:rPr>
          <w:rFonts w:hint="default"/>
          <w:b/>
          <w:bCs/>
          <w:sz w:val="26"/>
          <w:szCs w:val="26"/>
          <w:u w:val="none"/>
          <w:lang w:val="en-US"/>
        </w:rPr>
      </w:pPr>
    </w:p>
    <w:p w14:paraId="33CEC21E">
      <w:pPr>
        <w:widowControl w:val="0"/>
        <w:numPr>
          <w:numId w:val="0"/>
        </w:numPr>
        <w:ind w:leftChars="0"/>
        <w:jc w:val="both"/>
        <w:rPr>
          <w:rFonts w:hint="default"/>
          <w:b/>
          <w:bCs/>
          <w:sz w:val="26"/>
          <w:szCs w:val="26"/>
          <w:u w:val="none"/>
          <w:lang w:val="en-US"/>
        </w:rPr>
      </w:pPr>
    </w:p>
    <w:p w14:paraId="3D672F0D">
      <w:pPr>
        <w:widowControl w:val="0"/>
        <w:numPr>
          <w:numId w:val="0"/>
        </w:numPr>
        <w:ind w:leftChars="0"/>
        <w:jc w:val="both"/>
        <w:rPr>
          <w:rFonts w:hint="default"/>
          <w:b/>
          <w:bCs/>
          <w:sz w:val="26"/>
          <w:szCs w:val="26"/>
          <w:u w:val="none"/>
          <w:lang w:val="en-US"/>
        </w:rPr>
      </w:pPr>
    </w:p>
    <w:p w14:paraId="0D7B3639">
      <w:pPr>
        <w:widowControl w:val="0"/>
        <w:numPr>
          <w:numId w:val="0"/>
        </w:numPr>
        <w:ind w:leftChars="0"/>
        <w:jc w:val="both"/>
        <w:rPr>
          <w:rFonts w:hint="default"/>
          <w:b/>
          <w:bCs/>
          <w:sz w:val="26"/>
          <w:szCs w:val="26"/>
          <w:u w:val="none"/>
          <w:lang w:val="en-US"/>
        </w:rPr>
      </w:pPr>
    </w:p>
    <w:p w14:paraId="42A8E97A">
      <w:pPr>
        <w:widowControl w:val="0"/>
        <w:numPr>
          <w:numId w:val="0"/>
        </w:numPr>
        <w:ind w:leftChars="0"/>
        <w:jc w:val="both"/>
        <w:rPr>
          <w:rFonts w:hint="default"/>
          <w:b/>
          <w:bCs/>
          <w:sz w:val="26"/>
          <w:szCs w:val="26"/>
          <w:u w:val="none"/>
          <w:lang w:val="en-US"/>
        </w:rPr>
      </w:pPr>
    </w:p>
    <w:p w14:paraId="5782221F">
      <w:pPr>
        <w:widowControl w:val="0"/>
        <w:numPr>
          <w:numId w:val="0"/>
        </w:numPr>
        <w:ind w:leftChars="0"/>
        <w:jc w:val="both"/>
        <w:rPr>
          <w:rFonts w:hint="default"/>
          <w:b/>
          <w:bCs/>
          <w:sz w:val="26"/>
          <w:szCs w:val="26"/>
          <w:u w:val="none"/>
          <w:lang w:val="en-US"/>
        </w:rPr>
      </w:pPr>
    </w:p>
    <w:p w14:paraId="62011AA1">
      <w:pPr>
        <w:widowControl w:val="0"/>
        <w:numPr>
          <w:numId w:val="0"/>
        </w:numPr>
        <w:ind w:leftChars="0"/>
        <w:jc w:val="both"/>
        <w:rPr>
          <w:rFonts w:hint="default"/>
          <w:b/>
          <w:bCs/>
          <w:sz w:val="26"/>
          <w:szCs w:val="26"/>
          <w:u w:val="none"/>
          <w:lang w:val="en-US"/>
        </w:rPr>
      </w:pPr>
    </w:p>
    <w:p w14:paraId="75929D4A">
      <w:pPr>
        <w:widowControl w:val="0"/>
        <w:numPr>
          <w:numId w:val="0"/>
        </w:numPr>
        <w:ind w:leftChars="0"/>
        <w:jc w:val="both"/>
        <w:rPr>
          <w:rFonts w:hint="default"/>
          <w:b/>
          <w:bCs/>
          <w:sz w:val="26"/>
          <w:szCs w:val="26"/>
          <w:u w:val="none"/>
          <w:lang w:val="en-US"/>
        </w:rPr>
      </w:pPr>
    </w:p>
    <w:p w14:paraId="0B8F4A7C">
      <w:pPr>
        <w:widowControl w:val="0"/>
        <w:numPr>
          <w:numId w:val="0"/>
        </w:numPr>
        <w:ind w:leftChars="0"/>
        <w:jc w:val="both"/>
        <w:rPr>
          <w:rFonts w:hint="default"/>
          <w:b/>
          <w:bCs/>
          <w:sz w:val="26"/>
          <w:szCs w:val="26"/>
          <w:u w:val="none"/>
          <w:lang w:val="en-US"/>
        </w:rPr>
      </w:pPr>
    </w:p>
    <w:p w14:paraId="62885E8C">
      <w:pPr>
        <w:widowControl w:val="0"/>
        <w:numPr>
          <w:numId w:val="0"/>
        </w:numPr>
        <w:ind w:leftChars="0"/>
        <w:jc w:val="both"/>
        <w:rPr>
          <w:rFonts w:hint="default"/>
          <w:b/>
          <w:bCs/>
          <w:sz w:val="26"/>
          <w:szCs w:val="26"/>
          <w:u w:val="none"/>
          <w:lang w:val="en-US"/>
        </w:rPr>
      </w:pPr>
      <w:r>
        <w:rPr>
          <w:rFonts w:hint="default"/>
          <w:b/>
          <w:bCs/>
          <w:sz w:val="26"/>
          <w:szCs w:val="26"/>
          <w:u w:val="none"/>
          <w:lang w:val="en-US"/>
        </w:rPr>
        <w:t>6.13 Spatial Supply and Portfolio Scaling</w:t>
      </w:r>
    </w:p>
    <w:p w14:paraId="3D9D9851">
      <w:pPr>
        <w:widowControl w:val="0"/>
        <w:numPr>
          <w:numId w:val="0"/>
        </w:numPr>
        <w:ind w:leftChars="0"/>
        <w:jc w:val="both"/>
        <w:rPr>
          <w:rFonts w:hint="default"/>
          <w:b/>
          <w:bCs/>
          <w:sz w:val="26"/>
          <w:szCs w:val="26"/>
          <w:u w:val="none"/>
          <w:lang w:val="en-US"/>
        </w:rPr>
      </w:pPr>
    </w:p>
    <w:p w14:paraId="0BDAD6BB">
      <w:pPr>
        <w:widowControl w:val="0"/>
        <w:numPr>
          <w:numId w:val="0"/>
        </w:numPr>
        <w:ind w:leftChars="0"/>
        <w:jc w:val="both"/>
        <w:rPr>
          <w:rFonts w:hint="default"/>
          <w:b/>
          <w:bCs/>
          <w:sz w:val="26"/>
          <w:szCs w:val="26"/>
          <w:u w:val="none"/>
          <w:lang w:val="en-US"/>
        </w:rPr>
      </w:pPr>
      <w:r>
        <w:rPr>
          <w:rFonts w:hint="default"/>
          <w:b/>
          <w:bCs/>
          <w:sz w:val="26"/>
          <w:szCs w:val="26"/>
          <w:u w:val="none"/>
          <w:lang w:val="en-US"/>
        </w:rPr>
        <w:drawing>
          <wp:inline distT="0" distB="0" distL="114300" distR="114300">
            <wp:extent cx="6530975" cy="3122930"/>
            <wp:effectExtent l="0" t="0" r="9525" b="1270"/>
            <wp:docPr id="23" name="Picture 23" descr="Hostings_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Hostings_locations"/>
                    <pic:cNvPicPr>
                      <a:picLocks noChangeAspect="1"/>
                    </pic:cNvPicPr>
                  </pic:nvPicPr>
                  <pic:blipFill>
                    <a:blip r:embed="rId19"/>
                    <a:stretch>
                      <a:fillRect/>
                    </a:stretch>
                  </pic:blipFill>
                  <pic:spPr>
                    <a:xfrm>
                      <a:off x="0" y="0"/>
                      <a:ext cx="6530975" cy="3122930"/>
                    </a:xfrm>
                    <a:prstGeom prst="rect">
                      <a:avLst/>
                    </a:prstGeom>
                  </pic:spPr>
                </pic:pic>
              </a:graphicData>
            </a:graphic>
          </wp:inline>
        </w:drawing>
      </w:r>
    </w:p>
    <w:p w14:paraId="1AA342F8">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scatter distribution plot maps the scale of host portfolios across London's top ten short-term rental locations, revealing a distinct structural pattern in geographic supply concentration. The horizontal axis categorizes properties by their administrative borough, while the vertical axis registers the volume of listings associated with individual host accounts. The visualization reveals a highly dense, vibrant green foundation tightly packed between 0 and 50 listings across all major boroughs, proving that single-listing casual hosts and small-scale operators form the primary operational baseline everywhere in the city. As the portfolio count scales upward into mid-tier commercial groups—represented by the blue, purple, and yellow horizontal bands—the scatter plot transitions into distinct stratified rows. A key insight is that high-density tourism and commercial hubs like Westminster, Camden, and Kensington and Chelsea show a significantly thicker accumulation of these high-volume professional accounts. Even at the absolute ceiling of 400 to 500 properties, represented by the red bands, professional property management firms maintain a persistent presence across all top locations. </w:t>
      </w:r>
    </w:p>
    <w:p w14:paraId="1E87FB06">
      <w:pPr>
        <w:widowControl w:val="0"/>
        <w:numPr>
          <w:numId w:val="0"/>
        </w:numPr>
        <w:ind w:leftChars="0"/>
        <w:jc w:val="both"/>
        <w:rPr>
          <w:rFonts w:hint="default"/>
          <w:b w:val="0"/>
          <w:bCs w:val="0"/>
          <w:sz w:val="26"/>
          <w:szCs w:val="26"/>
          <w:u w:val="none"/>
          <w:lang w:val="en-US"/>
        </w:rPr>
      </w:pPr>
    </w:p>
    <w:p w14:paraId="1ABBBED7">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 xml:space="preserve">This proves that large-scale corporate hosting operates uniformly across London's core market segments. </w:t>
      </w:r>
    </w:p>
    <w:p w14:paraId="5B36D294">
      <w:pPr>
        <w:widowControl w:val="0"/>
        <w:numPr>
          <w:numId w:val="0"/>
        </w:numPr>
        <w:ind w:leftChars="0"/>
        <w:jc w:val="both"/>
        <w:rPr>
          <w:rFonts w:hint="default"/>
          <w:b/>
          <w:bCs/>
          <w:sz w:val="26"/>
          <w:szCs w:val="26"/>
          <w:u w:val="none"/>
          <w:lang w:val="en-US"/>
        </w:rPr>
      </w:pPr>
    </w:p>
    <w:p w14:paraId="24AAF770">
      <w:pPr>
        <w:widowControl w:val="0"/>
        <w:numPr>
          <w:numId w:val="0"/>
        </w:numPr>
        <w:ind w:leftChars="0"/>
        <w:jc w:val="both"/>
        <w:rPr>
          <w:rFonts w:hint="default"/>
          <w:b/>
          <w:bCs/>
          <w:sz w:val="26"/>
          <w:szCs w:val="26"/>
          <w:u w:val="none"/>
          <w:lang w:val="en-US"/>
        </w:rPr>
      </w:pPr>
    </w:p>
    <w:p w14:paraId="7CB31916">
      <w:pPr>
        <w:widowControl w:val="0"/>
        <w:numPr>
          <w:numId w:val="0"/>
        </w:numPr>
        <w:ind w:leftChars="0"/>
        <w:jc w:val="both"/>
        <w:rPr>
          <w:rFonts w:hint="default"/>
          <w:b/>
          <w:bCs/>
          <w:sz w:val="26"/>
          <w:szCs w:val="26"/>
          <w:u w:val="none"/>
          <w:lang w:val="en-US"/>
        </w:rPr>
      </w:pPr>
    </w:p>
    <w:p w14:paraId="4121BA03">
      <w:pPr>
        <w:widowControl w:val="0"/>
        <w:numPr>
          <w:numId w:val="0"/>
        </w:numPr>
        <w:ind w:leftChars="0"/>
        <w:jc w:val="both"/>
        <w:rPr>
          <w:rFonts w:hint="default"/>
          <w:b/>
          <w:bCs/>
          <w:sz w:val="26"/>
          <w:szCs w:val="26"/>
          <w:u w:val="none"/>
          <w:lang w:val="en-US"/>
        </w:rPr>
      </w:pPr>
    </w:p>
    <w:p w14:paraId="53BA761C">
      <w:pPr>
        <w:widowControl w:val="0"/>
        <w:numPr>
          <w:numId w:val="0"/>
        </w:numPr>
        <w:ind w:leftChars="0"/>
        <w:jc w:val="both"/>
        <w:rPr>
          <w:rFonts w:hint="default"/>
          <w:b/>
          <w:bCs/>
          <w:sz w:val="26"/>
          <w:szCs w:val="26"/>
          <w:u w:val="none"/>
          <w:lang w:val="en-US"/>
        </w:rPr>
      </w:pPr>
    </w:p>
    <w:p w14:paraId="7662CB54">
      <w:pPr>
        <w:widowControl w:val="0"/>
        <w:numPr>
          <w:numId w:val="0"/>
        </w:numPr>
        <w:ind w:leftChars="0"/>
        <w:jc w:val="both"/>
        <w:rPr>
          <w:rFonts w:hint="default"/>
          <w:b/>
          <w:bCs/>
          <w:sz w:val="26"/>
          <w:szCs w:val="26"/>
          <w:u w:val="none"/>
          <w:lang w:val="en-US"/>
        </w:rPr>
      </w:pPr>
    </w:p>
    <w:p w14:paraId="39692379">
      <w:pPr>
        <w:widowControl w:val="0"/>
        <w:numPr>
          <w:numId w:val="0"/>
        </w:numPr>
        <w:ind w:leftChars="0"/>
        <w:jc w:val="both"/>
        <w:rPr>
          <w:rFonts w:hint="default"/>
          <w:b/>
          <w:bCs/>
          <w:sz w:val="26"/>
          <w:szCs w:val="26"/>
          <w:u w:val="none"/>
          <w:lang w:val="en-US"/>
        </w:rPr>
      </w:pPr>
    </w:p>
    <w:p w14:paraId="0040D1CF">
      <w:pPr>
        <w:widowControl w:val="0"/>
        <w:numPr>
          <w:numId w:val="0"/>
        </w:numPr>
        <w:ind w:leftChars="0"/>
        <w:jc w:val="both"/>
        <w:rPr>
          <w:rFonts w:hint="default"/>
          <w:b/>
          <w:bCs/>
          <w:sz w:val="26"/>
          <w:szCs w:val="26"/>
          <w:u w:val="none"/>
          <w:lang w:val="en-US"/>
        </w:rPr>
      </w:pPr>
    </w:p>
    <w:p w14:paraId="4F4A14C2">
      <w:pPr>
        <w:widowControl w:val="0"/>
        <w:numPr>
          <w:numId w:val="0"/>
        </w:numPr>
        <w:ind w:leftChars="0"/>
        <w:jc w:val="both"/>
        <w:rPr>
          <w:rFonts w:hint="default"/>
          <w:b/>
          <w:bCs/>
          <w:sz w:val="26"/>
          <w:szCs w:val="26"/>
          <w:u w:val="none"/>
          <w:lang w:val="en-US"/>
        </w:rPr>
      </w:pPr>
    </w:p>
    <w:p w14:paraId="2BAFC9F1">
      <w:pPr>
        <w:widowControl w:val="0"/>
        <w:numPr>
          <w:numId w:val="0"/>
        </w:numPr>
        <w:ind w:leftChars="0"/>
        <w:jc w:val="both"/>
        <w:rPr>
          <w:rFonts w:hint="default"/>
          <w:b/>
          <w:bCs/>
          <w:sz w:val="26"/>
          <w:szCs w:val="26"/>
          <w:u w:val="none"/>
          <w:lang w:val="en-US"/>
        </w:rPr>
      </w:pPr>
    </w:p>
    <w:p w14:paraId="4A6BFC0C">
      <w:pPr>
        <w:widowControl w:val="0"/>
        <w:numPr>
          <w:ilvl w:val="0"/>
          <w:numId w:val="2"/>
        </w:numPr>
        <w:ind w:left="0" w:leftChars="0" w:firstLine="0" w:firstLineChars="0"/>
        <w:jc w:val="both"/>
        <w:rPr>
          <w:rFonts w:hint="default"/>
          <w:b/>
          <w:bCs/>
          <w:sz w:val="40"/>
          <w:szCs w:val="40"/>
          <w:u w:val="none"/>
          <w:lang w:val="en-US"/>
        </w:rPr>
      </w:pPr>
      <w:bookmarkStart w:id="6" w:name="BusinessReco"/>
      <w:r>
        <w:rPr>
          <w:rFonts w:hint="default"/>
          <w:b/>
          <w:bCs/>
          <w:sz w:val="40"/>
          <w:szCs w:val="40"/>
          <w:u w:val="none"/>
          <w:lang w:val="en-US"/>
        </w:rPr>
        <w:t>Business Recommendations</w:t>
      </w:r>
    </w:p>
    <w:bookmarkEnd w:id="6"/>
    <w:p w14:paraId="32245A7B">
      <w:pPr>
        <w:widowControl w:val="0"/>
        <w:numPr>
          <w:numId w:val="0"/>
        </w:numPr>
        <w:ind w:leftChars="0"/>
        <w:jc w:val="both"/>
        <w:rPr>
          <w:rFonts w:hint="default"/>
          <w:b/>
          <w:bCs/>
          <w:sz w:val="26"/>
          <w:szCs w:val="26"/>
          <w:u w:val="none"/>
          <w:lang w:val="en-US"/>
        </w:rPr>
      </w:pPr>
    </w:p>
    <w:p w14:paraId="298A625B">
      <w:pPr>
        <w:widowControl w:val="0"/>
        <w:numPr>
          <w:numId w:val="0"/>
        </w:numPr>
        <w:jc w:val="both"/>
        <w:rPr>
          <w:rFonts w:hint="default"/>
          <w:b/>
          <w:bCs/>
          <w:sz w:val="26"/>
          <w:szCs w:val="26"/>
          <w:u w:val="none"/>
          <w:lang w:val="en-US"/>
        </w:rPr>
      </w:pPr>
      <w:r>
        <w:rPr>
          <w:rFonts w:hint="default"/>
          <w:b/>
          <w:bCs/>
          <w:sz w:val="26"/>
          <w:szCs w:val="26"/>
          <w:u w:val="none"/>
          <w:lang w:val="en-US"/>
        </w:rPr>
        <w:t>7.1 Implement Dynamic Pricing Strategies</w:t>
      </w:r>
    </w:p>
    <w:p w14:paraId="0B45639B">
      <w:pPr>
        <w:widowControl w:val="0"/>
        <w:numPr>
          <w:numId w:val="0"/>
        </w:numPr>
        <w:ind w:leftChars="0"/>
        <w:jc w:val="both"/>
        <w:rPr>
          <w:rFonts w:hint="default"/>
          <w:b/>
          <w:bCs/>
          <w:sz w:val="26"/>
          <w:szCs w:val="26"/>
          <w:u w:val="none"/>
          <w:lang w:val="en-US"/>
        </w:rPr>
      </w:pPr>
    </w:p>
    <w:p w14:paraId="52C98C85">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Hosts should adopt data-driven pricing models that adjust rates based on location, seasonality, demand levels, occupancy, and competitor pricing.</w:t>
      </w:r>
    </w:p>
    <w:p w14:paraId="23CF1ACF">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Dynamic pricing can help maximize revenue while maintaining competitive occupancy rates.</w:t>
      </w:r>
    </w:p>
    <w:p w14:paraId="7948C309">
      <w:pPr>
        <w:widowControl w:val="0"/>
        <w:numPr>
          <w:numId w:val="0"/>
        </w:numPr>
        <w:ind w:leftChars="0"/>
        <w:jc w:val="both"/>
        <w:rPr>
          <w:rFonts w:hint="default"/>
          <w:b/>
          <w:bCs/>
          <w:sz w:val="26"/>
          <w:szCs w:val="26"/>
          <w:u w:val="none"/>
          <w:lang w:val="en-US"/>
        </w:rPr>
      </w:pPr>
    </w:p>
    <w:p w14:paraId="22500745">
      <w:pPr>
        <w:widowControl w:val="0"/>
        <w:numPr>
          <w:numId w:val="0"/>
        </w:numPr>
        <w:ind w:leftChars="0"/>
        <w:jc w:val="both"/>
        <w:rPr>
          <w:rFonts w:hint="default"/>
          <w:b/>
          <w:bCs/>
          <w:sz w:val="26"/>
          <w:szCs w:val="26"/>
          <w:u w:val="none"/>
          <w:lang w:val="en-US"/>
        </w:rPr>
      </w:pPr>
      <w:r>
        <w:rPr>
          <w:rFonts w:hint="default"/>
          <w:b/>
          <w:bCs/>
          <w:sz w:val="26"/>
          <w:szCs w:val="26"/>
          <w:u w:val="none"/>
          <w:lang w:val="en-US"/>
        </w:rPr>
        <w:t>7.2 Optimize Pricing for Higher Booking Activity</w:t>
      </w:r>
    </w:p>
    <w:p w14:paraId="6CA888DA">
      <w:pPr>
        <w:widowControl w:val="0"/>
        <w:numPr>
          <w:numId w:val="0"/>
        </w:numPr>
        <w:ind w:leftChars="0"/>
        <w:jc w:val="both"/>
        <w:rPr>
          <w:rFonts w:hint="default"/>
          <w:b/>
          <w:bCs/>
          <w:sz w:val="26"/>
          <w:szCs w:val="26"/>
          <w:u w:val="none"/>
          <w:lang w:val="en-US"/>
        </w:rPr>
      </w:pPr>
    </w:p>
    <w:p w14:paraId="1D052B94">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The analysis indicated that listings within competitive price ranges generally receive higher review volumes and booking activity.</w:t>
      </w:r>
    </w:p>
    <w:p w14:paraId="637F7D1E">
      <w:pPr>
        <w:widowControl w:val="0"/>
        <w:numPr>
          <w:ilvl w:val="0"/>
          <w:numId w:val="4"/>
        </w:numPr>
        <w:ind w:left="420" w:leftChars="0" w:hanging="420" w:firstLineChars="0"/>
        <w:jc w:val="both"/>
        <w:rPr>
          <w:rFonts w:hint="default"/>
          <w:b/>
          <w:bCs/>
          <w:sz w:val="26"/>
          <w:szCs w:val="26"/>
          <w:u w:val="none"/>
          <w:lang w:val="en-US"/>
        </w:rPr>
      </w:pPr>
      <w:r>
        <w:rPr>
          <w:rFonts w:hint="default"/>
          <w:b w:val="0"/>
          <w:bCs w:val="0"/>
          <w:sz w:val="26"/>
          <w:szCs w:val="26"/>
          <w:u w:val="none"/>
          <w:lang w:val="en-US"/>
        </w:rPr>
        <w:t>Hosts should regularly review pricing structures to balance profitability and occupancy performance</w:t>
      </w:r>
      <w:r>
        <w:rPr>
          <w:rFonts w:hint="default"/>
          <w:b/>
          <w:bCs/>
          <w:sz w:val="26"/>
          <w:szCs w:val="26"/>
          <w:u w:val="none"/>
          <w:lang w:val="en-US"/>
        </w:rPr>
        <w:t>.</w:t>
      </w:r>
    </w:p>
    <w:p w14:paraId="370F0C40">
      <w:pPr>
        <w:widowControl w:val="0"/>
        <w:numPr>
          <w:numId w:val="0"/>
        </w:numPr>
        <w:ind w:leftChars="0"/>
        <w:jc w:val="both"/>
        <w:rPr>
          <w:rFonts w:hint="default"/>
          <w:b/>
          <w:bCs/>
          <w:sz w:val="26"/>
          <w:szCs w:val="26"/>
          <w:u w:val="none"/>
          <w:lang w:val="en-US"/>
        </w:rPr>
      </w:pPr>
    </w:p>
    <w:p w14:paraId="5EFC1239">
      <w:pPr>
        <w:widowControl w:val="0"/>
        <w:numPr>
          <w:numId w:val="0"/>
        </w:numPr>
        <w:ind w:leftChars="0"/>
        <w:jc w:val="both"/>
        <w:rPr>
          <w:rFonts w:hint="default"/>
          <w:b/>
          <w:bCs/>
          <w:sz w:val="26"/>
          <w:szCs w:val="26"/>
          <w:u w:val="none"/>
          <w:lang w:val="en-US"/>
        </w:rPr>
      </w:pPr>
      <w:r>
        <w:rPr>
          <w:rFonts w:hint="default"/>
          <w:b/>
          <w:bCs/>
          <w:sz w:val="26"/>
          <w:szCs w:val="26"/>
          <w:u w:val="none"/>
          <w:lang w:val="en-US"/>
        </w:rPr>
        <w:t>7.3 Leverage Data Analytics for Portfolio Management</w:t>
      </w:r>
    </w:p>
    <w:p w14:paraId="31E318C9">
      <w:pPr>
        <w:widowControl w:val="0"/>
        <w:numPr>
          <w:numId w:val="0"/>
        </w:numPr>
        <w:ind w:leftChars="0"/>
        <w:jc w:val="both"/>
        <w:rPr>
          <w:rFonts w:hint="default"/>
          <w:b/>
          <w:bCs/>
          <w:sz w:val="26"/>
          <w:szCs w:val="26"/>
          <w:u w:val="none"/>
          <w:lang w:val="en-US"/>
        </w:rPr>
      </w:pPr>
    </w:p>
    <w:p w14:paraId="353EB9F8">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Professional hosts managing multiple properties should utilize analytics to identify underperforming listings, optimize pricing, and improve overall portfolio performance.</w:t>
      </w:r>
    </w:p>
    <w:p w14:paraId="5EB14A02">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Performance monitoring can support more informed operational decisions and revenue growth.</w:t>
      </w:r>
    </w:p>
    <w:p w14:paraId="35DE5B99">
      <w:pPr>
        <w:widowControl w:val="0"/>
        <w:numPr>
          <w:numId w:val="0"/>
        </w:numPr>
        <w:ind w:leftChars="0"/>
        <w:jc w:val="both"/>
        <w:rPr>
          <w:rFonts w:hint="default"/>
          <w:b/>
          <w:bCs/>
          <w:sz w:val="26"/>
          <w:szCs w:val="26"/>
          <w:u w:val="none"/>
          <w:lang w:val="en-US"/>
        </w:rPr>
      </w:pPr>
    </w:p>
    <w:p w14:paraId="06951E85">
      <w:pPr>
        <w:widowControl w:val="0"/>
        <w:numPr>
          <w:numId w:val="0"/>
        </w:numPr>
        <w:ind w:leftChars="0"/>
        <w:jc w:val="both"/>
        <w:rPr>
          <w:rFonts w:hint="default"/>
          <w:b/>
          <w:bCs/>
          <w:sz w:val="26"/>
          <w:szCs w:val="26"/>
          <w:u w:val="none"/>
          <w:lang w:val="en-US"/>
        </w:rPr>
      </w:pPr>
    </w:p>
    <w:p w14:paraId="561B16B9">
      <w:pPr>
        <w:widowControl w:val="0"/>
        <w:numPr>
          <w:numId w:val="0"/>
        </w:numPr>
        <w:ind w:leftChars="0"/>
        <w:jc w:val="both"/>
        <w:rPr>
          <w:rFonts w:hint="default"/>
          <w:b/>
          <w:bCs/>
          <w:sz w:val="26"/>
          <w:szCs w:val="26"/>
          <w:u w:val="none"/>
          <w:lang w:val="en-US"/>
        </w:rPr>
      </w:pPr>
      <w:r>
        <w:rPr>
          <w:rFonts w:hint="default"/>
          <w:b/>
          <w:bCs/>
          <w:sz w:val="26"/>
          <w:szCs w:val="26"/>
          <w:u w:val="none"/>
          <w:lang w:val="en-US"/>
        </w:rPr>
        <w:t>7.4 Improve Data Quality and Governance</w:t>
      </w:r>
    </w:p>
    <w:p w14:paraId="5B560CEF">
      <w:pPr>
        <w:widowControl w:val="0"/>
        <w:numPr>
          <w:numId w:val="0"/>
        </w:numPr>
        <w:ind w:leftChars="0"/>
        <w:jc w:val="both"/>
        <w:rPr>
          <w:rFonts w:hint="default"/>
          <w:b/>
          <w:bCs/>
          <w:sz w:val="26"/>
          <w:szCs w:val="26"/>
          <w:u w:val="none"/>
          <w:lang w:val="en-US"/>
        </w:rPr>
      </w:pPr>
    </w:p>
    <w:p w14:paraId="52EAD77D">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Missing values, inconsistent data types, and incomplete pricing information should be addressed through enhanced data collection and validation processes.</w:t>
      </w:r>
    </w:p>
    <w:p w14:paraId="228383D1">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Improved data quality will increase the reliability of future analyses and predictive models.</w:t>
      </w:r>
    </w:p>
    <w:p w14:paraId="33F69CAF">
      <w:pPr>
        <w:widowControl w:val="0"/>
        <w:numPr>
          <w:numId w:val="0"/>
        </w:numPr>
        <w:ind w:leftChars="0"/>
        <w:jc w:val="both"/>
        <w:rPr>
          <w:rFonts w:hint="default"/>
          <w:b/>
          <w:bCs/>
          <w:sz w:val="26"/>
          <w:szCs w:val="26"/>
          <w:u w:val="none"/>
          <w:lang w:val="en-US"/>
        </w:rPr>
      </w:pPr>
    </w:p>
    <w:p w14:paraId="0BDE9851">
      <w:pPr>
        <w:widowControl w:val="0"/>
        <w:numPr>
          <w:numId w:val="0"/>
        </w:numPr>
        <w:ind w:leftChars="0"/>
        <w:jc w:val="both"/>
        <w:rPr>
          <w:rFonts w:hint="default"/>
          <w:b/>
          <w:bCs/>
          <w:sz w:val="26"/>
          <w:szCs w:val="26"/>
          <w:u w:val="none"/>
          <w:lang w:val="en-US"/>
        </w:rPr>
      </w:pPr>
    </w:p>
    <w:p w14:paraId="070E15F2">
      <w:pPr>
        <w:widowControl w:val="0"/>
        <w:numPr>
          <w:numId w:val="0"/>
        </w:numPr>
        <w:ind w:leftChars="0"/>
        <w:jc w:val="both"/>
        <w:rPr>
          <w:rFonts w:hint="default"/>
          <w:b/>
          <w:bCs/>
          <w:sz w:val="26"/>
          <w:szCs w:val="26"/>
          <w:u w:val="none"/>
          <w:lang w:val="en-US"/>
        </w:rPr>
      </w:pPr>
      <w:r>
        <w:rPr>
          <w:rFonts w:hint="default"/>
          <w:b/>
          <w:bCs/>
          <w:sz w:val="26"/>
          <w:szCs w:val="26"/>
          <w:u w:val="none"/>
          <w:lang w:val="en-US"/>
        </w:rPr>
        <w:t>7.5 Expand the Analytics Warehouse</w:t>
      </w:r>
    </w:p>
    <w:p w14:paraId="6C3E3812">
      <w:pPr>
        <w:widowControl w:val="0"/>
        <w:numPr>
          <w:numId w:val="0"/>
        </w:numPr>
        <w:ind w:leftChars="0"/>
        <w:jc w:val="both"/>
        <w:rPr>
          <w:rFonts w:hint="default"/>
          <w:b/>
          <w:bCs/>
          <w:sz w:val="26"/>
          <w:szCs w:val="26"/>
          <w:u w:val="none"/>
          <w:lang w:val="en-US"/>
        </w:rPr>
      </w:pPr>
    </w:p>
    <w:p w14:paraId="72FE03B2">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Additional data sources such as tourism statistics, local events, economic indicators, and competitor information should be integrated into the Analytics_Warehouse.</w:t>
      </w:r>
    </w:p>
    <w:p w14:paraId="52FAC4F0">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This would enable deeper analysis of factors influencing demand and pricing trends.</w:t>
      </w:r>
    </w:p>
    <w:p w14:paraId="5A4B9FBF">
      <w:pPr>
        <w:widowControl w:val="0"/>
        <w:numPr>
          <w:numId w:val="0"/>
        </w:numPr>
        <w:ind w:leftChars="0"/>
        <w:jc w:val="both"/>
        <w:rPr>
          <w:rFonts w:hint="default"/>
          <w:b/>
          <w:bCs/>
          <w:sz w:val="26"/>
          <w:szCs w:val="26"/>
          <w:u w:val="none"/>
          <w:lang w:val="en-US"/>
        </w:rPr>
      </w:pPr>
    </w:p>
    <w:p w14:paraId="133436C3">
      <w:pPr>
        <w:widowControl w:val="0"/>
        <w:numPr>
          <w:numId w:val="0"/>
        </w:numPr>
        <w:ind w:leftChars="0"/>
        <w:jc w:val="both"/>
        <w:rPr>
          <w:rFonts w:hint="default"/>
          <w:b/>
          <w:bCs/>
          <w:sz w:val="26"/>
          <w:szCs w:val="26"/>
          <w:u w:val="none"/>
          <w:lang w:val="en-US"/>
        </w:rPr>
      </w:pPr>
      <w:r>
        <w:rPr>
          <w:rFonts w:hint="default"/>
          <w:b/>
          <w:bCs/>
          <w:sz w:val="26"/>
          <w:szCs w:val="26"/>
          <w:u w:val="none"/>
          <w:lang w:val="en-US"/>
        </w:rPr>
        <w:t>7.6 Develop Predictive Machine Learning Models</w:t>
      </w:r>
    </w:p>
    <w:p w14:paraId="5E70BCEB">
      <w:pPr>
        <w:widowControl w:val="0"/>
        <w:numPr>
          <w:numId w:val="0"/>
        </w:numPr>
        <w:ind w:leftChars="0"/>
        <w:jc w:val="both"/>
        <w:rPr>
          <w:rFonts w:hint="default"/>
          <w:b/>
          <w:bCs/>
          <w:sz w:val="26"/>
          <w:szCs w:val="26"/>
          <w:u w:val="none"/>
          <w:lang w:val="en-US"/>
        </w:rPr>
      </w:pPr>
    </w:p>
    <w:p w14:paraId="7D05C651">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Future work should focus on forecasting occupancy, pricing trends, demand fluctuations, and revenue performance using machine learning techniques.</w:t>
      </w:r>
    </w:p>
    <w:p w14:paraId="6B1A1BC4">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Predictive insights would support proactive business planning and decision-making.</w:t>
      </w:r>
    </w:p>
    <w:p w14:paraId="5B2E60E4">
      <w:pPr>
        <w:widowControl w:val="0"/>
        <w:numPr>
          <w:numId w:val="0"/>
        </w:numPr>
        <w:ind w:leftChars="0"/>
        <w:jc w:val="both"/>
        <w:rPr>
          <w:rFonts w:hint="default"/>
          <w:b/>
          <w:bCs/>
          <w:sz w:val="26"/>
          <w:szCs w:val="26"/>
          <w:u w:val="none"/>
          <w:lang w:val="en-US"/>
        </w:rPr>
      </w:pPr>
    </w:p>
    <w:p w14:paraId="7576B566">
      <w:pPr>
        <w:widowControl w:val="0"/>
        <w:numPr>
          <w:numId w:val="0"/>
        </w:numPr>
        <w:ind w:leftChars="0"/>
        <w:jc w:val="both"/>
        <w:rPr>
          <w:rFonts w:hint="default"/>
          <w:b/>
          <w:bCs/>
          <w:sz w:val="26"/>
          <w:szCs w:val="26"/>
          <w:u w:val="none"/>
          <w:lang w:val="en-US"/>
        </w:rPr>
      </w:pPr>
    </w:p>
    <w:p w14:paraId="6F099E86">
      <w:pPr>
        <w:widowControl w:val="0"/>
        <w:numPr>
          <w:numId w:val="0"/>
        </w:numPr>
        <w:ind w:leftChars="0"/>
        <w:jc w:val="both"/>
        <w:rPr>
          <w:rFonts w:hint="default"/>
          <w:b/>
          <w:bCs/>
          <w:sz w:val="26"/>
          <w:szCs w:val="26"/>
          <w:u w:val="none"/>
          <w:lang w:val="en-US"/>
        </w:rPr>
      </w:pPr>
      <w:r>
        <w:rPr>
          <w:rFonts w:hint="default"/>
          <w:b/>
          <w:bCs/>
          <w:sz w:val="26"/>
          <w:szCs w:val="26"/>
          <w:u w:val="none"/>
          <w:lang w:val="en-US"/>
        </w:rPr>
        <w:t>7.7 Implement Interactive Business Intelligence Dashboards</w:t>
      </w:r>
    </w:p>
    <w:p w14:paraId="66E27698">
      <w:pPr>
        <w:widowControl w:val="0"/>
        <w:numPr>
          <w:numId w:val="0"/>
        </w:numPr>
        <w:ind w:leftChars="0"/>
        <w:jc w:val="both"/>
        <w:rPr>
          <w:rFonts w:hint="default"/>
          <w:b/>
          <w:bCs/>
          <w:sz w:val="26"/>
          <w:szCs w:val="26"/>
          <w:u w:val="none"/>
          <w:lang w:val="en-US"/>
        </w:rPr>
      </w:pPr>
    </w:p>
    <w:p w14:paraId="2C3C10E7">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Interactive dashboards should be developed to provide real-time visibility into pricing trends, host performance, occupancy rates, and neighbourhood-level insights.</w:t>
      </w:r>
    </w:p>
    <w:p w14:paraId="5B5FE333">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This would enable stakeholders to monitor key metrics and make data-driven decisions more efficiently.</w:t>
      </w:r>
    </w:p>
    <w:p w14:paraId="417C9E21">
      <w:pPr>
        <w:widowControl w:val="0"/>
        <w:numPr>
          <w:numId w:val="0"/>
        </w:numPr>
        <w:ind w:leftChars="0"/>
        <w:jc w:val="both"/>
        <w:rPr>
          <w:rFonts w:hint="default"/>
          <w:b/>
          <w:bCs/>
          <w:sz w:val="26"/>
          <w:szCs w:val="26"/>
          <w:u w:val="none"/>
          <w:lang w:val="en-US"/>
        </w:rPr>
      </w:pPr>
    </w:p>
    <w:p w14:paraId="2D34B28F">
      <w:pPr>
        <w:widowControl w:val="0"/>
        <w:numPr>
          <w:numId w:val="0"/>
        </w:numPr>
        <w:ind w:leftChars="0"/>
        <w:jc w:val="both"/>
        <w:rPr>
          <w:rFonts w:hint="default"/>
          <w:b/>
          <w:bCs/>
          <w:sz w:val="26"/>
          <w:szCs w:val="26"/>
          <w:u w:val="none"/>
          <w:lang w:val="en-US"/>
        </w:rPr>
      </w:pPr>
    </w:p>
    <w:p w14:paraId="6D554A68">
      <w:pPr>
        <w:widowControl w:val="0"/>
        <w:numPr>
          <w:numId w:val="0"/>
        </w:numPr>
        <w:ind w:leftChars="0"/>
        <w:jc w:val="both"/>
        <w:rPr>
          <w:rFonts w:hint="default"/>
          <w:b/>
          <w:bCs/>
          <w:sz w:val="26"/>
          <w:szCs w:val="26"/>
          <w:u w:val="none"/>
          <w:lang w:val="en-US"/>
        </w:rPr>
      </w:pPr>
      <w:r>
        <w:rPr>
          <w:rFonts w:hint="default"/>
          <w:b/>
          <w:bCs/>
          <w:sz w:val="26"/>
          <w:szCs w:val="26"/>
          <w:u w:val="none"/>
          <w:lang w:val="en-US"/>
        </w:rPr>
        <w:t>7.8 Monitor Market Concentration Risks</w:t>
      </w:r>
    </w:p>
    <w:p w14:paraId="68203CB1">
      <w:pPr>
        <w:widowControl w:val="0"/>
        <w:numPr>
          <w:numId w:val="0"/>
        </w:numPr>
        <w:ind w:leftChars="0"/>
        <w:jc w:val="both"/>
        <w:rPr>
          <w:rFonts w:hint="default"/>
          <w:b/>
          <w:bCs/>
          <w:sz w:val="26"/>
          <w:szCs w:val="26"/>
          <w:u w:val="none"/>
          <w:lang w:val="en-US"/>
        </w:rPr>
      </w:pPr>
    </w:p>
    <w:p w14:paraId="3B61172E">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The analysis revealed that a small number of professional hosts control a significant proportion of listings.</w:t>
      </w:r>
    </w:p>
    <w:p w14:paraId="08D50073">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Monitoring market concentration can help stakeholders better understand competitive dynamics and potential impacts on marketplace diversity.</w:t>
      </w:r>
    </w:p>
    <w:p w14:paraId="417D95F3">
      <w:pPr>
        <w:widowControl w:val="0"/>
        <w:numPr>
          <w:numId w:val="0"/>
        </w:numPr>
        <w:ind w:leftChars="0"/>
        <w:jc w:val="both"/>
        <w:rPr>
          <w:rFonts w:hint="default"/>
          <w:b/>
          <w:bCs/>
          <w:sz w:val="26"/>
          <w:szCs w:val="26"/>
          <w:u w:val="none"/>
          <w:lang w:val="en-US"/>
        </w:rPr>
      </w:pPr>
    </w:p>
    <w:p w14:paraId="1BBFE526">
      <w:pPr>
        <w:widowControl w:val="0"/>
        <w:numPr>
          <w:numId w:val="0"/>
        </w:numPr>
        <w:ind w:leftChars="0"/>
        <w:jc w:val="both"/>
        <w:rPr>
          <w:rFonts w:hint="default"/>
          <w:b/>
          <w:bCs/>
          <w:sz w:val="26"/>
          <w:szCs w:val="26"/>
          <w:u w:val="none"/>
          <w:lang w:val="en-US"/>
        </w:rPr>
      </w:pPr>
    </w:p>
    <w:p w14:paraId="5B50B845">
      <w:pPr>
        <w:widowControl w:val="0"/>
        <w:numPr>
          <w:numId w:val="0"/>
        </w:numPr>
        <w:ind w:leftChars="0"/>
        <w:jc w:val="both"/>
        <w:rPr>
          <w:rFonts w:hint="default"/>
          <w:b/>
          <w:bCs/>
          <w:sz w:val="26"/>
          <w:szCs w:val="26"/>
          <w:u w:val="none"/>
          <w:lang w:val="en-US"/>
        </w:rPr>
      </w:pPr>
      <w:r>
        <w:rPr>
          <w:rFonts w:hint="default"/>
          <w:b/>
          <w:bCs/>
          <w:sz w:val="26"/>
          <w:szCs w:val="26"/>
          <w:u w:val="none"/>
          <w:lang w:val="en-US"/>
        </w:rPr>
        <w:t>7.9 Enhance Customer Experience and Listing Quality</w:t>
      </w:r>
    </w:p>
    <w:p w14:paraId="40A9F592">
      <w:pPr>
        <w:widowControl w:val="0"/>
        <w:numPr>
          <w:numId w:val="0"/>
        </w:numPr>
        <w:ind w:leftChars="0"/>
        <w:jc w:val="both"/>
        <w:rPr>
          <w:rFonts w:hint="default"/>
          <w:b/>
          <w:bCs/>
          <w:sz w:val="26"/>
          <w:szCs w:val="26"/>
          <w:u w:val="none"/>
          <w:lang w:val="en-US"/>
        </w:rPr>
      </w:pPr>
    </w:p>
    <w:p w14:paraId="5AB094DA">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Hosts should focus on maintaining high service quality, accurate listing information, and positive guest experiences to improve review scores and long-term booking performance.</w:t>
      </w:r>
    </w:p>
    <w:p w14:paraId="01327C30">
      <w:pPr>
        <w:widowControl w:val="0"/>
        <w:numPr>
          <w:ilvl w:val="0"/>
          <w:numId w:val="4"/>
        </w:numPr>
        <w:ind w:left="420" w:leftChars="0" w:hanging="420" w:firstLineChars="0"/>
        <w:jc w:val="both"/>
        <w:rPr>
          <w:rFonts w:hint="default"/>
          <w:b w:val="0"/>
          <w:bCs w:val="0"/>
          <w:sz w:val="26"/>
          <w:szCs w:val="26"/>
          <w:u w:val="none"/>
          <w:lang w:val="en-US"/>
        </w:rPr>
      </w:pPr>
      <w:r>
        <w:rPr>
          <w:rFonts w:hint="default"/>
          <w:b w:val="0"/>
          <w:bCs w:val="0"/>
          <w:sz w:val="26"/>
          <w:szCs w:val="26"/>
          <w:u w:val="none"/>
          <w:lang w:val="en-US"/>
        </w:rPr>
        <w:t>Higher customer satisfaction can contribute to stronger visibility and sustained demand.</w:t>
      </w:r>
    </w:p>
    <w:p w14:paraId="6E5DAA28">
      <w:pPr>
        <w:widowControl w:val="0"/>
        <w:numPr>
          <w:numId w:val="0"/>
        </w:numPr>
        <w:ind w:leftChars="0"/>
        <w:jc w:val="both"/>
        <w:rPr>
          <w:rFonts w:hint="default"/>
          <w:b/>
          <w:bCs/>
          <w:sz w:val="26"/>
          <w:szCs w:val="26"/>
          <w:u w:val="none"/>
          <w:lang w:val="en-US"/>
        </w:rPr>
      </w:pPr>
    </w:p>
    <w:p w14:paraId="6ACE734B">
      <w:pPr>
        <w:widowControl w:val="0"/>
        <w:numPr>
          <w:numId w:val="0"/>
        </w:numPr>
        <w:ind w:leftChars="0"/>
        <w:jc w:val="both"/>
        <w:rPr>
          <w:rFonts w:hint="default"/>
          <w:b/>
          <w:bCs/>
          <w:sz w:val="26"/>
          <w:szCs w:val="26"/>
          <w:u w:val="none"/>
          <w:lang w:val="en-US"/>
        </w:rPr>
      </w:pPr>
    </w:p>
    <w:p w14:paraId="7FC9C378">
      <w:pPr>
        <w:widowControl w:val="0"/>
        <w:numPr>
          <w:numId w:val="0"/>
        </w:numPr>
        <w:ind w:leftChars="0"/>
        <w:jc w:val="both"/>
        <w:rPr>
          <w:rFonts w:hint="default"/>
          <w:b/>
          <w:bCs/>
          <w:sz w:val="26"/>
          <w:szCs w:val="26"/>
          <w:u w:val="none"/>
          <w:lang w:val="en-US"/>
        </w:rPr>
      </w:pPr>
    </w:p>
    <w:p w14:paraId="621CE53F">
      <w:pPr>
        <w:widowControl w:val="0"/>
        <w:numPr>
          <w:numId w:val="0"/>
        </w:numPr>
        <w:ind w:leftChars="0"/>
        <w:jc w:val="both"/>
        <w:rPr>
          <w:rFonts w:hint="default"/>
          <w:b/>
          <w:bCs/>
          <w:sz w:val="26"/>
          <w:szCs w:val="26"/>
          <w:u w:val="none"/>
          <w:lang w:val="en-US"/>
        </w:rPr>
      </w:pPr>
    </w:p>
    <w:p w14:paraId="2ECEE662">
      <w:pPr>
        <w:widowControl w:val="0"/>
        <w:numPr>
          <w:numId w:val="0"/>
        </w:numPr>
        <w:ind w:leftChars="0"/>
        <w:jc w:val="both"/>
        <w:rPr>
          <w:rFonts w:hint="default"/>
          <w:b/>
          <w:bCs/>
          <w:sz w:val="26"/>
          <w:szCs w:val="26"/>
          <w:u w:val="none"/>
          <w:lang w:val="en-US"/>
        </w:rPr>
      </w:pPr>
    </w:p>
    <w:p w14:paraId="63F0CF82">
      <w:pPr>
        <w:widowControl w:val="0"/>
        <w:numPr>
          <w:numId w:val="0"/>
        </w:numPr>
        <w:ind w:leftChars="0"/>
        <w:jc w:val="both"/>
        <w:rPr>
          <w:rFonts w:hint="default"/>
          <w:b/>
          <w:bCs/>
          <w:sz w:val="26"/>
          <w:szCs w:val="26"/>
          <w:u w:val="none"/>
          <w:lang w:val="en-US"/>
        </w:rPr>
      </w:pPr>
    </w:p>
    <w:p w14:paraId="3289005F">
      <w:pPr>
        <w:widowControl w:val="0"/>
        <w:numPr>
          <w:numId w:val="0"/>
        </w:numPr>
        <w:ind w:leftChars="0"/>
        <w:jc w:val="both"/>
        <w:rPr>
          <w:rFonts w:hint="default"/>
          <w:b/>
          <w:bCs/>
          <w:sz w:val="26"/>
          <w:szCs w:val="26"/>
          <w:u w:val="none"/>
          <w:lang w:val="en-US"/>
        </w:rPr>
      </w:pPr>
    </w:p>
    <w:p w14:paraId="574C4E0F">
      <w:pPr>
        <w:widowControl w:val="0"/>
        <w:numPr>
          <w:numId w:val="0"/>
        </w:numPr>
        <w:ind w:leftChars="0"/>
        <w:jc w:val="both"/>
        <w:rPr>
          <w:rFonts w:hint="default"/>
          <w:b/>
          <w:bCs/>
          <w:sz w:val="26"/>
          <w:szCs w:val="26"/>
          <w:u w:val="none"/>
          <w:lang w:val="en-US"/>
        </w:rPr>
      </w:pPr>
    </w:p>
    <w:p w14:paraId="7DF1B04E">
      <w:pPr>
        <w:widowControl w:val="0"/>
        <w:numPr>
          <w:numId w:val="0"/>
        </w:numPr>
        <w:ind w:leftChars="0"/>
        <w:jc w:val="both"/>
        <w:rPr>
          <w:rFonts w:hint="default"/>
          <w:b/>
          <w:bCs/>
          <w:sz w:val="26"/>
          <w:szCs w:val="26"/>
          <w:u w:val="none"/>
          <w:lang w:val="en-US"/>
        </w:rPr>
      </w:pPr>
    </w:p>
    <w:p w14:paraId="30949808">
      <w:pPr>
        <w:widowControl w:val="0"/>
        <w:numPr>
          <w:numId w:val="0"/>
        </w:numPr>
        <w:ind w:leftChars="0"/>
        <w:jc w:val="both"/>
        <w:rPr>
          <w:rFonts w:hint="default"/>
          <w:b/>
          <w:bCs/>
          <w:sz w:val="26"/>
          <w:szCs w:val="26"/>
          <w:u w:val="none"/>
          <w:lang w:val="en-US"/>
        </w:rPr>
      </w:pPr>
    </w:p>
    <w:p w14:paraId="3972F901">
      <w:pPr>
        <w:widowControl w:val="0"/>
        <w:numPr>
          <w:numId w:val="0"/>
        </w:numPr>
        <w:ind w:leftChars="0"/>
        <w:jc w:val="both"/>
        <w:rPr>
          <w:rFonts w:hint="default"/>
          <w:b/>
          <w:bCs/>
          <w:sz w:val="26"/>
          <w:szCs w:val="26"/>
          <w:u w:val="none"/>
          <w:lang w:val="en-US"/>
        </w:rPr>
      </w:pPr>
    </w:p>
    <w:p w14:paraId="6BE3BBC8">
      <w:pPr>
        <w:widowControl w:val="0"/>
        <w:numPr>
          <w:numId w:val="0"/>
        </w:numPr>
        <w:ind w:leftChars="0"/>
        <w:jc w:val="both"/>
        <w:rPr>
          <w:rFonts w:hint="default"/>
          <w:b/>
          <w:bCs/>
          <w:sz w:val="26"/>
          <w:szCs w:val="26"/>
          <w:u w:val="none"/>
          <w:lang w:val="en-US"/>
        </w:rPr>
      </w:pPr>
    </w:p>
    <w:p w14:paraId="3A9E8F49">
      <w:pPr>
        <w:widowControl w:val="0"/>
        <w:numPr>
          <w:numId w:val="0"/>
        </w:numPr>
        <w:ind w:leftChars="0"/>
        <w:jc w:val="both"/>
        <w:rPr>
          <w:rFonts w:hint="default"/>
          <w:b/>
          <w:bCs/>
          <w:sz w:val="26"/>
          <w:szCs w:val="26"/>
          <w:u w:val="none"/>
          <w:lang w:val="en-US"/>
        </w:rPr>
      </w:pPr>
    </w:p>
    <w:p w14:paraId="5AFD2188">
      <w:pPr>
        <w:widowControl w:val="0"/>
        <w:numPr>
          <w:numId w:val="0"/>
        </w:numPr>
        <w:ind w:leftChars="0"/>
        <w:jc w:val="both"/>
        <w:rPr>
          <w:rFonts w:hint="default"/>
          <w:b/>
          <w:bCs/>
          <w:sz w:val="26"/>
          <w:szCs w:val="26"/>
          <w:u w:val="none"/>
          <w:lang w:val="en-US"/>
        </w:rPr>
      </w:pPr>
    </w:p>
    <w:p w14:paraId="5E45A9BD">
      <w:pPr>
        <w:widowControl w:val="0"/>
        <w:numPr>
          <w:numId w:val="0"/>
        </w:numPr>
        <w:ind w:leftChars="0"/>
        <w:jc w:val="both"/>
        <w:rPr>
          <w:rFonts w:hint="default"/>
          <w:b/>
          <w:bCs/>
          <w:sz w:val="26"/>
          <w:szCs w:val="26"/>
          <w:u w:val="none"/>
          <w:lang w:val="en-US"/>
        </w:rPr>
      </w:pPr>
    </w:p>
    <w:p w14:paraId="58B9B504">
      <w:pPr>
        <w:widowControl w:val="0"/>
        <w:numPr>
          <w:numId w:val="0"/>
        </w:numPr>
        <w:ind w:leftChars="0"/>
        <w:jc w:val="both"/>
        <w:rPr>
          <w:rFonts w:hint="default"/>
          <w:b/>
          <w:bCs/>
          <w:sz w:val="26"/>
          <w:szCs w:val="26"/>
          <w:u w:val="none"/>
          <w:lang w:val="en-US"/>
        </w:rPr>
      </w:pPr>
    </w:p>
    <w:p w14:paraId="22CC3018">
      <w:pPr>
        <w:widowControl w:val="0"/>
        <w:numPr>
          <w:numId w:val="0"/>
        </w:numPr>
        <w:ind w:leftChars="0"/>
        <w:jc w:val="both"/>
        <w:rPr>
          <w:rFonts w:hint="default"/>
          <w:b/>
          <w:bCs/>
          <w:sz w:val="26"/>
          <w:szCs w:val="26"/>
          <w:u w:val="none"/>
          <w:lang w:val="en-US"/>
        </w:rPr>
      </w:pPr>
    </w:p>
    <w:p w14:paraId="39ED04D5">
      <w:pPr>
        <w:widowControl w:val="0"/>
        <w:numPr>
          <w:numId w:val="0"/>
        </w:numPr>
        <w:ind w:leftChars="0"/>
        <w:jc w:val="both"/>
        <w:rPr>
          <w:rFonts w:hint="default"/>
          <w:b/>
          <w:bCs/>
          <w:sz w:val="26"/>
          <w:szCs w:val="26"/>
          <w:u w:val="none"/>
          <w:lang w:val="en-US"/>
        </w:rPr>
      </w:pPr>
    </w:p>
    <w:p w14:paraId="4A84C0EB">
      <w:pPr>
        <w:widowControl w:val="0"/>
        <w:numPr>
          <w:numId w:val="0"/>
        </w:numPr>
        <w:ind w:leftChars="0"/>
        <w:jc w:val="both"/>
        <w:rPr>
          <w:rFonts w:hint="default"/>
          <w:b/>
          <w:bCs/>
          <w:sz w:val="26"/>
          <w:szCs w:val="26"/>
          <w:u w:val="none"/>
          <w:lang w:val="en-US"/>
        </w:rPr>
      </w:pPr>
    </w:p>
    <w:p w14:paraId="10C354D0">
      <w:pPr>
        <w:widowControl w:val="0"/>
        <w:numPr>
          <w:numId w:val="0"/>
        </w:numPr>
        <w:ind w:leftChars="0"/>
        <w:jc w:val="both"/>
        <w:rPr>
          <w:rFonts w:hint="default"/>
          <w:b/>
          <w:bCs/>
          <w:sz w:val="26"/>
          <w:szCs w:val="26"/>
          <w:u w:val="none"/>
          <w:lang w:val="en-US"/>
        </w:rPr>
      </w:pPr>
    </w:p>
    <w:p w14:paraId="7819DC08">
      <w:pPr>
        <w:widowControl w:val="0"/>
        <w:numPr>
          <w:numId w:val="0"/>
        </w:numPr>
        <w:ind w:leftChars="0"/>
        <w:jc w:val="both"/>
        <w:rPr>
          <w:rFonts w:hint="default"/>
          <w:b/>
          <w:bCs/>
          <w:sz w:val="26"/>
          <w:szCs w:val="26"/>
          <w:u w:val="none"/>
          <w:lang w:val="en-US"/>
        </w:rPr>
      </w:pPr>
    </w:p>
    <w:p w14:paraId="092122C4">
      <w:pPr>
        <w:widowControl w:val="0"/>
        <w:numPr>
          <w:numId w:val="0"/>
        </w:numPr>
        <w:ind w:leftChars="0"/>
        <w:jc w:val="both"/>
        <w:rPr>
          <w:rFonts w:hint="default"/>
          <w:b/>
          <w:bCs/>
          <w:sz w:val="26"/>
          <w:szCs w:val="26"/>
          <w:u w:val="none"/>
          <w:lang w:val="en-US"/>
        </w:rPr>
      </w:pPr>
    </w:p>
    <w:p w14:paraId="0FB18F86">
      <w:pPr>
        <w:widowControl w:val="0"/>
        <w:numPr>
          <w:ilvl w:val="0"/>
          <w:numId w:val="2"/>
        </w:numPr>
        <w:ind w:left="0" w:leftChars="0" w:firstLine="0" w:firstLineChars="0"/>
        <w:jc w:val="both"/>
        <w:rPr>
          <w:rFonts w:hint="default"/>
          <w:b/>
          <w:bCs/>
          <w:sz w:val="40"/>
          <w:szCs w:val="40"/>
          <w:u w:val="none"/>
          <w:lang w:val="en-US"/>
        </w:rPr>
      </w:pPr>
      <w:bookmarkStart w:id="7" w:name="Limitations"/>
      <w:r>
        <w:rPr>
          <w:rFonts w:hint="default"/>
          <w:b/>
          <w:bCs/>
          <w:sz w:val="40"/>
          <w:szCs w:val="40"/>
          <w:u w:val="none"/>
          <w:lang w:val="en-US"/>
        </w:rPr>
        <w:t>Limitations and Caveats</w:t>
      </w:r>
    </w:p>
    <w:bookmarkEnd w:id="7"/>
    <w:p w14:paraId="194685E8">
      <w:pPr>
        <w:widowControl w:val="0"/>
        <w:numPr>
          <w:numId w:val="0"/>
        </w:numPr>
        <w:ind w:leftChars="0"/>
        <w:jc w:val="both"/>
        <w:rPr>
          <w:rFonts w:hint="default"/>
          <w:b/>
          <w:bCs/>
          <w:sz w:val="26"/>
          <w:szCs w:val="26"/>
          <w:u w:val="none"/>
          <w:lang w:val="en-US"/>
        </w:rPr>
      </w:pPr>
    </w:p>
    <w:p w14:paraId="1BA9E5E5">
      <w:pPr>
        <w:widowControl w:val="0"/>
        <w:numPr>
          <w:numId w:val="0"/>
        </w:numPr>
        <w:ind w:leftChars="0"/>
        <w:jc w:val="both"/>
        <w:rPr>
          <w:rFonts w:hint="default"/>
          <w:b w:val="0"/>
          <w:bCs w:val="0"/>
          <w:sz w:val="26"/>
          <w:szCs w:val="26"/>
          <w:u w:val="none"/>
          <w:lang w:val="en-US"/>
        </w:rPr>
      </w:pPr>
      <w:r>
        <w:rPr>
          <w:rFonts w:hint="default"/>
          <w:b w:val="0"/>
          <w:bCs w:val="0"/>
          <w:sz w:val="26"/>
          <w:szCs w:val="26"/>
          <w:u w:val="none"/>
          <w:lang w:val="en-US"/>
        </w:rPr>
        <w:t>While the dataset provides a large-scale snapshot of the London short-term rental market, several structural limitations and data quality constraints must be taken into account when interpreting the findings:</w:t>
      </w:r>
    </w:p>
    <w:p w14:paraId="46BFA037">
      <w:pPr>
        <w:widowControl w:val="0"/>
        <w:numPr>
          <w:numId w:val="0"/>
        </w:numPr>
        <w:ind w:leftChars="0"/>
        <w:jc w:val="both"/>
        <w:rPr>
          <w:rFonts w:hint="default"/>
          <w:b w:val="0"/>
          <w:bCs w:val="0"/>
          <w:sz w:val="26"/>
          <w:szCs w:val="26"/>
          <w:u w:val="none"/>
          <w:lang w:val="en-US"/>
        </w:rPr>
      </w:pPr>
    </w:p>
    <w:p w14:paraId="0606AF42">
      <w:pPr>
        <w:widowControl w:val="0"/>
        <w:numPr>
          <w:numId w:val="0"/>
        </w:numPr>
        <w:ind w:leftChars="0"/>
        <w:jc w:val="both"/>
        <w:rPr>
          <w:rFonts w:hint="default"/>
          <w:b w:val="0"/>
          <w:bCs w:val="0"/>
          <w:sz w:val="26"/>
          <w:szCs w:val="26"/>
          <w:u w:val="none"/>
          <w:lang w:val="en-US"/>
        </w:rPr>
      </w:pPr>
      <w:r>
        <w:rPr>
          <w:rFonts w:hint="default"/>
          <w:b/>
          <w:bCs/>
          <w:sz w:val="26"/>
          <w:szCs w:val="26"/>
          <w:u w:val="none"/>
          <w:lang w:val="en-US"/>
        </w:rPr>
        <w:t>Static Temporal Horizon:</w:t>
      </w:r>
      <w:r>
        <w:rPr>
          <w:rFonts w:hint="default"/>
          <w:b w:val="0"/>
          <w:bCs w:val="0"/>
          <w:sz w:val="26"/>
          <w:szCs w:val="26"/>
          <w:u w:val="none"/>
          <w:lang w:val="en-US"/>
        </w:rPr>
        <w:t xml:space="preserve"> The data represents a frozen observational slice captured exclusively in September 2025. Because it lacks a rolling historical ledger or dynamic real-time updates, it cannot account for multi-year trends, unexpected macroeconomic shifts, or long-term platform behavioral changes. </w:t>
      </w:r>
    </w:p>
    <w:p w14:paraId="3AE1D9E0">
      <w:pPr>
        <w:widowControl w:val="0"/>
        <w:numPr>
          <w:numId w:val="0"/>
        </w:numPr>
        <w:ind w:leftChars="0"/>
        <w:jc w:val="both"/>
        <w:rPr>
          <w:rFonts w:hint="default"/>
          <w:b w:val="0"/>
          <w:bCs w:val="0"/>
          <w:sz w:val="26"/>
          <w:szCs w:val="26"/>
          <w:u w:val="none"/>
          <w:lang w:val="en-US"/>
        </w:rPr>
      </w:pPr>
    </w:p>
    <w:p w14:paraId="32264377">
      <w:pPr>
        <w:widowControl w:val="0"/>
        <w:numPr>
          <w:numId w:val="0"/>
        </w:numPr>
        <w:ind w:leftChars="0"/>
        <w:jc w:val="both"/>
        <w:rPr>
          <w:rFonts w:hint="default"/>
          <w:b w:val="0"/>
          <w:bCs w:val="0"/>
          <w:sz w:val="26"/>
          <w:szCs w:val="26"/>
          <w:u w:val="none"/>
          <w:lang w:val="en-US"/>
        </w:rPr>
      </w:pPr>
      <w:r>
        <w:rPr>
          <w:rFonts w:hint="default"/>
          <w:b/>
          <w:bCs/>
          <w:sz w:val="26"/>
          <w:szCs w:val="26"/>
          <w:u w:val="none"/>
          <w:lang w:val="en-US"/>
        </w:rPr>
        <w:t>Systemic Missingness in Pricing Data:</w:t>
      </w:r>
      <w:r>
        <w:rPr>
          <w:rFonts w:hint="default"/>
          <w:b w:val="0"/>
          <w:bCs w:val="0"/>
          <w:sz w:val="26"/>
          <w:szCs w:val="26"/>
          <w:u w:val="none"/>
          <w:lang w:val="en-US"/>
        </w:rPr>
        <w:t xml:space="preserve"> A critical constraint is the 100% null rate across the primary price and adjusted_price fields within the 35-million-row calendar dataset. This severe data omission completely prevents direct modeling of forward-looking daily pricing strategies or exact forecasting of host revenue fluctuations over time. </w:t>
      </w:r>
    </w:p>
    <w:p w14:paraId="0278B0E7">
      <w:pPr>
        <w:widowControl w:val="0"/>
        <w:numPr>
          <w:numId w:val="0"/>
        </w:numPr>
        <w:ind w:leftChars="0"/>
        <w:jc w:val="both"/>
        <w:rPr>
          <w:rFonts w:hint="default"/>
          <w:b w:val="0"/>
          <w:bCs w:val="0"/>
          <w:sz w:val="26"/>
          <w:szCs w:val="26"/>
          <w:u w:val="none"/>
          <w:lang w:val="en-US"/>
        </w:rPr>
      </w:pPr>
    </w:p>
    <w:p w14:paraId="0C675A6D">
      <w:pPr>
        <w:widowControl w:val="0"/>
        <w:numPr>
          <w:numId w:val="0"/>
        </w:numPr>
        <w:ind w:leftChars="0"/>
        <w:jc w:val="both"/>
        <w:rPr>
          <w:rFonts w:hint="default"/>
          <w:b w:val="0"/>
          <w:bCs w:val="0"/>
          <w:sz w:val="26"/>
          <w:szCs w:val="26"/>
          <w:u w:val="none"/>
          <w:lang w:val="en-US"/>
        </w:rPr>
      </w:pPr>
      <w:r>
        <w:rPr>
          <w:rFonts w:hint="default"/>
          <w:b/>
          <w:bCs/>
          <w:sz w:val="26"/>
          <w:szCs w:val="26"/>
          <w:u w:val="none"/>
          <w:lang w:val="en-US"/>
        </w:rPr>
        <w:t>Overlapping Schemas and Data Overlap:</w:t>
      </w:r>
      <w:r>
        <w:rPr>
          <w:rFonts w:hint="default"/>
          <w:b w:val="0"/>
          <w:bCs w:val="0"/>
          <w:sz w:val="26"/>
          <w:szCs w:val="26"/>
          <w:u w:val="none"/>
          <w:lang w:val="en-US"/>
        </w:rPr>
        <w:t xml:space="preserve"> Key dimensional properties—including property identifiers, location attributes, and baseline metrics—appear repeatedly across multiple flat files without clear source documentation. This data overlap increases the risk of join errors or duplicated records during data consolidation if explicit naming rules are not applied. </w:t>
      </w:r>
    </w:p>
    <w:p w14:paraId="5B685289">
      <w:pPr>
        <w:widowControl w:val="0"/>
        <w:numPr>
          <w:numId w:val="0"/>
        </w:numPr>
        <w:ind w:leftChars="0"/>
        <w:jc w:val="both"/>
        <w:rPr>
          <w:rFonts w:hint="default"/>
          <w:b w:val="0"/>
          <w:bCs w:val="0"/>
          <w:sz w:val="26"/>
          <w:szCs w:val="26"/>
          <w:u w:val="none"/>
          <w:lang w:val="en-US"/>
        </w:rPr>
      </w:pPr>
    </w:p>
    <w:p w14:paraId="5F3EE83A">
      <w:pPr>
        <w:widowControl w:val="0"/>
        <w:numPr>
          <w:numId w:val="0"/>
        </w:numPr>
        <w:ind w:leftChars="0"/>
        <w:jc w:val="both"/>
        <w:rPr>
          <w:rFonts w:hint="default"/>
          <w:b w:val="0"/>
          <w:bCs w:val="0"/>
          <w:sz w:val="26"/>
          <w:szCs w:val="26"/>
          <w:u w:val="none"/>
          <w:lang w:val="en-US"/>
        </w:rPr>
      </w:pPr>
      <w:r>
        <w:rPr>
          <w:rFonts w:hint="default"/>
          <w:b/>
          <w:bCs/>
          <w:sz w:val="26"/>
          <w:szCs w:val="26"/>
          <w:u w:val="none"/>
          <w:lang w:val="en-US"/>
        </w:rPr>
        <w:t>Extreme Data Anomalies:</w:t>
      </w:r>
      <w:r>
        <w:rPr>
          <w:rFonts w:hint="default"/>
          <w:b w:val="0"/>
          <w:bCs w:val="0"/>
          <w:sz w:val="26"/>
          <w:szCs w:val="26"/>
          <w:u w:val="none"/>
          <w:lang w:val="en-US"/>
        </w:rPr>
        <w:t xml:space="preserve"> The dataset includes severe boundary violations and unrealistic outliers, such as maximum stay requirements configured at over two million nights. These anomalies require aggressive data filtering rules to prevent statistical distortion during exploratory profiling or predictive modeling. </w:t>
      </w:r>
    </w:p>
    <w:p w14:paraId="50B0C983">
      <w:pPr>
        <w:widowControl w:val="0"/>
        <w:numPr>
          <w:numId w:val="0"/>
        </w:numPr>
        <w:ind w:leftChars="0"/>
        <w:jc w:val="both"/>
        <w:rPr>
          <w:rFonts w:hint="default"/>
          <w:b w:val="0"/>
          <w:bCs w:val="0"/>
          <w:sz w:val="26"/>
          <w:szCs w:val="26"/>
          <w:u w:val="none"/>
          <w:lang w:val="en-US"/>
        </w:rPr>
      </w:pPr>
    </w:p>
    <w:p w14:paraId="2B568243">
      <w:pPr>
        <w:widowControl w:val="0"/>
        <w:numPr>
          <w:numId w:val="0"/>
        </w:numPr>
        <w:ind w:leftChars="0"/>
        <w:jc w:val="both"/>
        <w:rPr>
          <w:rFonts w:hint="default"/>
          <w:b w:val="0"/>
          <w:bCs w:val="0"/>
          <w:sz w:val="26"/>
          <w:szCs w:val="26"/>
          <w:u w:val="none"/>
          <w:lang w:val="en-US"/>
        </w:rPr>
      </w:pPr>
      <w:r>
        <w:rPr>
          <w:rFonts w:hint="default"/>
          <w:b/>
          <w:bCs/>
          <w:sz w:val="26"/>
          <w:szCs w:val="26"/>
          <w:u w:val="none"/>
          <w:lang w:val="en-US"/>
        </w:rPr>
        <w:t>Absence of Regional Groupings:</w:t>
      </w:r>
      <w:r>
        <w:rPr>
          <w:rFonts w:hint="default"/>
          <w:b w:val="0"/>
          <w:bCs w:val="0"/>
          <w:sz w:val="26"/>
          <w:szCs w:val="26"/>
          <w:u w:val="none"/>
          <w:lang w:val="en-US"/>
        </w:rPr>
        <w:t xml:space="preserve"> The administrative registry contains a 100% missingness rate for macro-level neighborhood groupings. This lack of clean geographic grouping makes it impossible to automate regional comparisons without manually mapping coordinates to external spatial boundary files.</w:t>
      </w:r>
    </w:p>
    <w:p w14:paraId="3E96D0F0">
      <w:pPr>
        <w:widowControl w:val="0"/>
        <w:numPr>
          <w:numId w:val="0"/>
        </w:numPr>
        <w:ind w:leftChars="0"/>
        <w:jc w:val="both"/>
        <w:rPr>
          <w:rFonts w:hint="default"/>
          <w:b/>
          <w:bCs/>
          <w:sz w:val="26"/>
          <w:szCs w:val="26"/>
          <w:u w:val="none"/>
          <w:lang w:val="en-US"/>
        </w:rPr>
      </w:pPr>
    </w:p>
    <w:p w14:paraId="215AC64F">
      <w:pPr>
        <w:widowControl w:val="0"/>
        <w:numPr>
          <w:numId w:val="0"/>
        </w:numPr>
        <w:ind w:leftChars="0"/>
        <w:jc w:val="both"/>
        <w:rPr>
          <w:rFonts w:hint="default"/>
          <w:b/>
          <w:bCs/>
          <w:sz w:val="26"/>
          <w:szCs w:val="26"/>
          <w:u w:val="none"/>
          <w:lang w:val="en-US"/>
        </w:rPr>
      </w:pPr>
    </w:p>
    <w:p w14:paraId="17AF181F">
      <w:pPr>
        <w:widowControl w:val="0"/>
        <w:numPr>
          <w:numId w:val="0"/>
        </w:numPr>
        <w:ind w:leftChars="0"/>
        <w:jc w:val="both"/>
        <w:rPr>
          <w:rFonts w:hint="default"/>
          <w:b/>
          <w:bCs/>
          <w:sz w:val="26"/>
          <w:szCs w:val="26"/>
          <w:u w:val="none"/>
          <w:lang w:val="en-US"/>
        </w:rPr>
      </w:pPr>
    </w:p>
    <w:p w14:paraId="6F189C58">
      <w:pPr>
        <w:widowControl w:val="0"/>
        <w:numPr>
          <w:numId w:val="0"/>
        </w:numPr>
        <w:ind w:leftChars="0"/>
        <w:jc w:val="both"/>
        <w:rPr>
          <w:rFonts w:hint="default"/>
          <w:b/>
          <w:bCs/>
          <w:sz w:val="26"/>
          <w:szCs w:val="26"/>
          <w:u w:val="none"/>
          <w:lang w:val="en-US"/>
        </w:rPr>
      </w:pPr>
    </w:p>
    <w:p w14:paraId="0208B9C4">
      <w:pPr>
        <w:widowControl w:val="0"/>
        <w:numPr>
          <w:numId w:val="0"/>
        </w:numPr>
        <w:ind w:leftChars="0"/>
        <w:jc w:val="both"/>
        <w:rPr>
          <w:rFonts w:hint="default"/>
          <w:b/>
          <w:bCs/>
          <w:sz w:val="26"/>
          <w:szCs w:val="26"/>
          <w:u w:val="none"/>
          <w:lang w:val="en-US"/>
        </w:rPr>
      </w:pPr>
    </w:p>
    <w:p w14:paraId="70C58C17">
      <w:pPr>
        <w:widowControl w:val="0"/>
        <w:numPr>
          <w:numId w:val="0"/>
        </w:numPr>
        <w:ind w:leftChars="0"/>
        <w:jc w:val="both"/>
        <w:rPr>
          <w:rFonts w:hint="default"/>
          <w:b/>
          <w:bCs/>
          <w:sz w:val="26"/>
          <w:szCs w:val="26"/>
          <w:u w:val="none"/>
          <w:lang w:val="en-US"/>
        </w:rPr>
      </w:pPr>
    </w:p>
    <w:p w14:paraId="28B52F66">
      <w:pPr>
        <w:widowControl w:val="0"/>
        <w:numPr>
          <w:numId w:val="0"/>
        </w:numPr>
        <w:ind w:leftChars="0"/>
        <w:jc w:val="both"/>
        <w:rPr>
          <w:rFonts w:hint="default"/>
          <w:b/>
          <w:bCs/>
          <w:sz w:val="26"/>
          <w:szCs w:val="26"/>
          <w:u w:val="none"/>
          <w:lang w:val="en-US"/>
        </w:rPr>
      </w:pPr>
    </w:p>
    <w:p w14:paraId="3183103B">
      <w:pPr>
        <w:widowControl w:val="0"/>
        <w:numPr>
          <w:numId w:val="0"/>
        </w:numPr>
        <w:ind w:leftChars="0"/>
        <w:jc w:val="both"/>
        <w:rPr>
          <w:rFonts w:hint="default"/>
          <w:b/>
          <w:bCs/>
          <w:sz w:val="26"/>
          <w:szCs w:val="26"/>
          <w:u w:val="none"/>
          <w:lang w:val="en-US"/>
        </w:rPr>
      </w:pPr>
    </w:p>
    <w:p w14:paraId="21CF55EA">
      <w:pPr>
        <w:widowControl w:val="0"/>
        <w:numPr>
          <w:numId w:val="0"/>
        </w:numPr>
        <w:ind w:leftChars="0"/>
        <w:jc w:val="both"/>
        <w:rPr>
          <w:rFonts w:hint="default"/>
          <w:b/>
          <w:bCs/>
          <w:sz w:val="26"/>
          <w:szCs w:val="26"/>
          <w:u w:val="none"/>
          <w:lang w:val="en-US"/>
        </w:rPr>
      </w:pPr>
    </w:p>
    <w:p w14:paraId="6BD12F23">
      <w:pPr>
        <w:widowControl w:val="0"/>
        <w:numPr>
          <w:numId w:val="0"/>
        </w:numPr>
        <w:ind w:leftChars="0"/>
        <w:jc w:val="both"/>
        <w:rPr>
          <w:rFonts w:hint="default"/>
          <w:b/>
          <w:bCs/>
          <w:sz w:val="26"/>
          <w:szCs w:val="26"/>
          <w:u w:val="none"/>
          <w:lang w:val="en-US"/>
        </w:rPr>
      </w:pPr>
    </w:p>
    <w:p w14:paraId="796DFD1F">
      <w:pPr>
        <w:widowControl w:val="0"/>
        <w:numPr>
          <w:numId w:val="0"/>
        </w:numPr>
        <w:ind w:leftChars="0"/>
        <w:jc w:val="both"/>
        <w:rPr>
          <w:rFonts w:hint="default"/>
          <w:b/>
          <w:bCs/>
          <w:sz w:val="26"/>
          <w:szCs w:val="26"/>
          <w:u w:val="none"/>
          <w:lang w:val="en-US"/>
        </w:rPr>
      </w:pPr>
    </w:p>
    <w:p w14:paraId="271331E4">
      <w:pPr>
        <w:widowControl w:val="0"/>
        <w:numPr>
          <w:numId w:val="0"/>
        </w:numPr>
        <w:ind w:leftChars="0"/>
        <w:jc w:val="both"/>
        <w:rPr>
          <w:rFonts w:hint="default"/>
          <w:b/>
          <w:bCs/>
          <w:sz w:val="26"/>
          <w:szCs w:val="26"/>
          <w:u w:val="none"/>
          <w:lang w:val="en-US"/>
        </w:rPr>
      </w:pPr>
    </w:p>
    <w:p w14:paraId="5C5F24F3">
      <w:pPr>
        <w:widowControl w:val="0"/>
        <w:numPr>
          <w:numId w:val="0"/>
        </w:numPr>
        <w:ind w:leftChars="0"/>
        <w:jc w:val="both"/>
        <w:rPr>
          <w:rFonts w:hint="default"/>
          <w:b/>
          <w:bCs/>
          <w:sz w:val="26"/>
          <w:szCs w:val="26"/>
          <w:u w:val="none"/>
          <w:lang w:val="en-US"/>
        </w:rPr>
      </w:pPr>
    </w:p>
    <w:p w14:paraId="5AAAACD5">
      <w:pPr>
        <w:widowControl w:val="0"/>
        <w:numPr>
          <w:ilvl w:val="0"/>
          <w:numId w:val="2"/>
        </w:numPr>
        <w:ind w:left="0" w:leftChars="0" w:firstLine="0" w:firstLineChars="0"/>
        <w:jc w:val="both"/>
        <w:rPr>
          <w:rFonts w:hint="default"/>
          <w:b/>
          <w:bCs/>
          <w:sz w:val="40"/>
          <w:szCs w:val="40"/>
          <w:u w:val="none"/>
          <w:lang w:val="en-US"/>
        </w:rPr>
      </w:pPr>
      <w:bookmarkStart w:id="8" w:name="FutureImpro"/>
      <w:r>
        <w:rPr>
          <w:rFonts w:hint="default"/>
          <w:b/>
          <w:bCs/>
          <w:sz w:val="40"/>
          <w:szCs w:val="40"/>
          <w:u w:val="none"/>
          <w:lang w:val="en-US"/>
        </w:rPr>
        <w:t>Future Improvements</w:t>
      </w:r>
    </w:p>
    <w:bookmarkEnd w:id="8"/>
    <w:p w14:paraId="126C8695">
      <w:pPr>
        <w:widowControl w:val="0"/>
        <w:numPr>
          <w:numId w:val="0"/>
        </w:numPr>
        <w:jc w:val="both"/>
        <w:rPr>
          <w:rFonts w:hint="default"/>
          <w:b/>
          <w:bCs/>
          <w:sz w:val="26"/>
          <w:szCs w:val="26"/>
          <w:u w:val="none"/>
          <w:lang w:val="en-US"/>
        </w:rPr>
      </w:pPr>
    </w:p>
    <w:p w14:paraId="0F0103FF">
      <w:pPr>
        <w:widowControl w:val="0"/>
        <w:numPr>
          <w:numId w:val="0"/>
        </w:numPr>
        <w:jc w:val="both"/>
        <w:rPr>
          <w:rFonts w:hint="default"/>
          <w:b/>
          <w:bCs/>
          <w:sz w:val="26"/>
          <w:szCs w:val="26"/>
          <w:u w:val="none"/>
          <w:lang w:val="en-US"/>
        </w:rPr>
      </w:pPr>
      <w:r>
        <w:rPr>
          <w:rFonts w:hint="default"/>
          <w:b/>
          <w:bCs/>
          <w:sz w:val="26"/>
          <w:szCs w:val="26"/>
          <w:u w:val="none"/>
          <w:lang w:val="en-US"/>
        </w:rPr>
        <w:t>9.1 Implementation of Machine Learning Models</w:t>
      </w:r>
    </w:p>
    <w:p w14:paraId="3F70A3AE">
      <w:pPr>
        <w:widowControl w:val="0"/>
        <w:numPr>
          <w:numId w:val="0"/>
        </w:numPr>
        <w:jc w:val="both"/>
        <w:rPr>
          <w:rFonts w:hint="default"/>
          <w:b/>
          <w:bCs/>
          <w:sz w:val="26"/>
          <w:szCs w:val="26"/>
          <w:u w:val="none"/>
          <w:lang w:val="en-US"/>
        </w:rPr>
      </w:pPr>
    </w:p>
    <w:p w14:paraId="0F2F44F4">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Develop predictive models to forecast listing prices, occupancy rates, seasonal demand patterns, and estimated revenue.</w:t>
      </w:r>
    </w:p>
    <w:p w14:paraId="60B80048">
      <w:pPr>
        <w:widowControl w:val="0"/>
        <w:numPr>
          <w:numId w:val="0"/>
        </w:numPr>
        <w:jc w:val="both"/>
        <w:rPr>
          <w:rFonts w:hint="default"/>
          <w:b w:val="0"/>
          <w:bCs w:val="0"/>
          <w:sz w:val="26"/>
          <w:szCs w:val="26"/>
          <w:u w:val="none"/>
          <w:lang w:val="en-US"/>
        </w:rPr>
      </w:pPr>
    </w:p>
    <w:p w14:paraId="4B8B2955">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Utilize historical pricing, availability, location, review, and host-related features to improve forecasting accuracy.</w:t>
      </w:r>
    </w:p>
    <w:p w14:paraId="4BF5891B">
      <w:pPr>
        <w:widowControl w:val="0"/>
        <w:numPr>
          <w:numId w:val="0"/>
        </w:numPr>
        <w:jc w:val="both"/>
        <w:rPr>
          <w:rFonts w:hint="default"/>
          <w:b w:val="0"/>
          <w:bCs w:val="0"/>
          <w:sz w:val="26"/>
          <w:szCs w:val="26"/>
          <w:u w:val="none"/>
          <w:lang w:val="en-US"/>
        </w:rPr>
      </w:pPr>
    </w:p>
    <w:p w14:paraId="7B4F304B">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Transition the project from descriptive analytics to predictive analytics, enabling proactive decision-making. Modern data warehouse and analytics platforms increasingly integrate machine learning to support forecasting and predictive insights.</w:t>
      </w:r>
    </w:p>
    <w:p w14:paraId="72A5BF9E">
      <w:pPr>
        <w:widowControl w:val="0"/>
        <w:numPr>
          <w:numId w:val="0"/>
        </w:numPr>
        <w:jc w:val="both"/>
        <w:rPr>
          <w:rFonts w:hint="default"/>
          <w:b/>
          <w:bCs/>
          <w:sz w:val="26"/>
          <w:szCs w:val="26"/>
          <w:u w:val="none"/>
          <w:lang w:val="en-US"/>
        </w:rPr>
      </w:pPr>
    </w:p>
    <w:p w14:paraId="6977F67D">
      <w:pPr>
        <w:widowControl w:val="0"/>
        <w:numPr>
          <w:numId w:val="0"/>
        </w:numPr>
        <w:jc w:val="both"/>
        <w:rPr>
          <w:rFonts w:hint="default"/>
          <w:b/>
          <w:bCs/>
          <w:sz w:val="26"/>
          <w:szCs w:val="26"/>
          <w:u w:val="none"/>
          <w:lang w:val="en-US"/>
        </w:rPr>
      </w:pPr>
      <w:r>
        <w:rPr>
          <w:rFonts w:hint="default"/>
          <w:b/>
          <w:bCs/>
          <w:sz w:val="26"/>
          <w:szCs w:val="26"/>
          <w:u w:val="none"/>
          <w:lang w:val="en-US"/>
        </w:rPr>
        <w:t>9.2 Development of Interactive Dashboards</w:t>
      </w:r>
    </w:p>
    <w:p w14:paraId="2B512C21">
      <w:pPr>
        <w:widowControl w:val="0"/>
        <w:numPr>
          <w:numId w:val="0"/>
        </w:numPr>
        <w:jc w:val="both"/>
        <w:rPr>
          <w:rFonts w:hint="default"/>
          <w:b/>
          <w:bCs/>
          <w:sz w:val="26"/>
          <w:szCs w:val="26"/>
          <w:u w:val="none"/>
          <w:lang w:val="en-US"/>
        </w:rPr>
      </w:pPr>
    </w:p>
    <w:p w14:paraId="7258384A">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Create interactive business intelligence dashboards to provide real-time visualization of key performance indicators (KPIs).</w:t>
      </w:r>
    </w:p>
    <w:p w14:paraId="71C3B384">
      <w:pPr>
        <w:widowControl w:val="0"/>
        <w:numPr>
          <w:numId w:val="0"/>
        </w:numPr>
        <w:jc w:val="both"/>
        <w:rPr>
          <w:rFonts w:hint="default"/>
          <w:b w:val="0"/>
          <w:bCs w:val="0"/>
          <w:sz w:val="26"/>
          <w:szCs w:val="26"/>
          <w:u w:val="none"/>
          <w:lang w:val="en-US"/>
        </w:rPr>
      </w:pPr>
    </w:p>
    <w:p w14:paraId="247D5DBC">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Enable users to filter and analyze data by neighbourhood, property type, room type, pricing range, and host characteristics.</w:t>
      </w:r>
    </w:p>
    <w:p w14:paraId="616B6C5F">
      <w:pPr>
        <w:widowControl w:val="0"/>
        <w:numPr>
          <w:numId w:val="0"/>
        </w:numPr>
        <w:jc w:val="both"/>
        <w:rPr>
          <w:rFonts w:hint="default"/>
          <w:b w:val="0"/>
          <w:bCs w:val="0"/>
          <w:sz w:val="26"/>
          <w:szCs w:val="26"/>
          <w:u w:val="none"/>
          <w:lang w:val="en-US"/>
        </w:rPr>
      </w:pPr>
    </w:p>
    <w:p w14:paraId="3AC601A0">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Improve accessibility of insights for both technical and non-technical stakeholders. Interactive dashboards are widely used to enhance decision-making and provide centralized visibility into analytics environments.</w:t>
      </w:r>
    </w:p>
    <w:p w14:paraId="41999B7F">
      <w:pPr>
        <w:widowControl w:val="0"/>
        <w:numPr>
          <w:numId w:val="0"/>
        </w:numPr>
        <w:jc w:val="both"/>
        <w:rPr>
          <w:rFonts w:hint="default"/>
          <w:b/>
          <w:bCs/>
          <w:sz w:val="26"/>
          <w:szCs w:val="26"/>
          <w:u w:val="none"/>
          <w:lang w:val="en-US"/>
        </w:rPr>
      </w:pPr>
    </w:p>
    <w:p w14:paraId="305917FB">
      <w:pPr>
        <w:widowControl w:val="0"/>
        <w:numPr>
          <w:numId w:val="0"/>
        </w:numPr>
        <w:jc w:val="both"/>
        <w:rPr>
          <w:rFonts w:hint="default"/>
          <w:b/>
          <w:bCs/>
          <w:sz w:val="26"/>
          <w:szCs w:val="26"/>
          <w:u w:val="none"/>
          <w:lang w:val="en-US"/>
        </w:rPr>
      </w:pPr>
      <w:r>
        <w:rPr>
          <w:rFonts w:hint="default"/>
          <w:b/>
          <w:bCs/>
          <w:sz w:val="26"/>
          <w:szCs w:val="26"/>
          <w:u w:val="none"/>
          <w:lang w:val="en-US"/>
        </w:rPr>
        <w:t>9.3 Expansion of the Analytics Warehouse</w:t>
      </w:r>
    </w:p>
    <w:p w14:paraId="0610BFD6">
      <w:pPr>
        <w:widowControl w:val="0"/>
        <w:numPr>
          <w:numId w:val="0"/>
        </w:numPr>
        <w:jc w:val="both"/>
        <w:rPr>
          <w:rFonts w:hint="default"/>
          <w:b w:val="0"/>
          <w:bCs w:val="0"/>
          <w:sz w:val="26"/>
          <w:szCs w:val="26"/>
          <w:u w:val="none"/>
          <w:lang w:val="en-US"/>
        </w:rPr>
      </w:pPr>
    </w:p>
    <w:p w14:paraId="368B5343">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Incorporate additional datasets such as tourism statistics, public events, transportation accessibility, economic indicators, and competitor accommodation data.</w:t>
      </w:r>
    </w:p>
    <w:p w14:paraId="344164F0">
      <w:pPr>
        <w:widowControl w:val="0"/>
        <w:numPr>
          <w:numId w:val="0"/>
        </w:numPr>
        <w:jc w:val="both"/>
        <w:rPr>
          <w:rFonts w:hint="default"/>
          <w:b w:val="0"/>
          <w:bCs w:val="0"/>
          <w:sz w:val="26"/>
          <w:szCs w:val="26"/>
          <w:u w:val="none"/>
          <w:lang w:val="en-US"/>
        </w:rPr>
      </w:pPr>
    </w:p>
    <w:p w14:paraId="63ACA2FD">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Enhance analytical depth by providing greater context around factors influencing Airbnb demand and pricing behaviour.</w:t>
      </w:r>
    </w:p>
    <w:p w14:paraId="1581043A">
      <w:pPr>
        <w:widowControl w:val="0"/>
        <w:numPr>
          <w:numId w:val="0"/>
        </w:numPr>
        <w:jc w:val="both"/>
        <w:rPr>
          <w:rFonts w:hint="default"/>
          <w:b/>
          <w:bCs/>
          <w:sz w:val="26"/>
          <w:szCs w:val="26"/>
          <w:u w:val="none"/>
          <w:lang w:val="en-US"/>
        </w:rPr>
      </w:pPr>
    </w:p>
    <w:p w14:paraId="4A5E15B2">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Support more comprehensive business and market analysis.</w:t>
      </w:r>
    </w:p>
    <w:p w14:paraId="47B0BFD1">
      <w:pPr>
        <w:widowControl w:val="0"/>
        <w:numPr>
          <w:numId w:val="0"/>
        </w:numPr>
        <w:jc w:val="both"/>
        <w:rPr>
          <w:rFonts w:hint="default"/>
          <w:b/>
          <w:bCs/>
          <w:sz w:val="26"/>
          <w:szCs w:val="26"/>
          <w:u w:val="none"/>
          <w:lang w:val="en-US"/>
        </w:rPr>
      </w:pPr>
    </w:p>
    <w:p w14:paraId="43B7BC4F">
      <w:pPr>
        <w:widowControl w:val="0"/>
        <w:numPr>
          <w:numId w:val="0"/>
        </w:numPr>
        <w:jc w:val="both"/>
        <w:rPr>
          <w:rFonts w:hint="default"/>
          <w:b/>
          <w:bCs/>
          <w:sz w:val="26"/>
          <w:szCs w:val="26"/>
          <w:u w:val="none"/>
          <w:lang w:val="en-US"/>
        </w:rPr>
      </w:pPr>
      <w:r>
        <w:rPr>
          <w:rFonts w:hint="default"/>
          <w:b/>
          <w:bCs/>
          <w:sz w:val="26"/>
          <w:szCs w:val="26"/>
          <w:u w:val="none"/>
          <w:lang w:val="en-US"/>
        </w:rPr>
        <w:t>9.4 Automation of the Data Pipeline</w:t>
      </w:r>
    </w:p>
    <w:p w14:paraId="3C5C3419">
      <w:pPr>
        <w:widowControl w:val="0"/>
        <w:numPr>
          <w:numId w:val="0"/>
        </w:numPr>
        <w:jc w:val="both"/>
        <w:rPr>
          <w:rFonts w:hint="default"/>
          <w:b/>
          <w:bCs/>
          <w:sz w:val="26"/>
          <w:szCs w:val="26"/>
          <w:u w:val="none"/>
          <w:lang w:val="en-US"/>
        </w:rPr>
      </w:pPr>
    </w:p>
    <w:p w14:paraId="1B295F9C">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Transform the current workflow into a fully automated ETL pipeline capable of regularly downloading, extracting, cleaning, and loading updated datasets into the Analytics_Warehouse.</w:t>
      </w:r>
    </w:p>
    <w:p w14:paraId="3F82B7A2">
      <w:pPr>
        <w:widowControl w:val="0"/>
        <w:numPr>
          <w:numId w:val="0"/>
        </w:numPr>
        <w:jc w:val="both"/>
        <w:rPr>
          <w:rFonts w:hint="default"/>
          <w:b w:val="0"/>
          <w:bCs w:val="0"/>
          <w:sz w:val="26"/>
          <w:szCs w:val="26"/>
          <w:u w:val="none"/>
          <w:lang w:val="en-US"/>
        </w:rPr>
      </w:pPr>
    </w:p>
    <w:p w14:paraId="6FCE60C3">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Reduce manual intervention while improving scalability, consistency, and data freshness.</w:t>
      </w:r>
    </w:p>
    <w:p w14:paraId="7D62D26D">
      <w:pPr>
        <w:widowControl w:val="0"/>
        <w:numPr>
          <w:numId w:val="0"/>
        </w:numPr>
        <w:jc w:val="both"/>
        <w:rPr>
          <w:rFonts w:hint="default"/>
          <w:b/>
          <w:bCs/>
          <w:sz w:val="26"/>
          <w:szCs w:val="26"/>
          <w:u w:val="none"/>
          <w:lang w:val="en-US"/>
        </w:rPr>
      </w:pPr>
    </w:p>
    <w:p w14:paraId="20BA0E62">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Future data warehouse architectures increasingly emphasize automation and intelligent data processing.</w:t>
      </w:r>
    </w:p>
    <w:p w14:paraId="61C04016">
      <w:pPr>
        <w:widowControl w:val="0"/>
        <w:numPr>
          <w:numId w:val="0"/>
        </w:numPr>
        <w:jc w:val="both"/>
        <w:rPr>
          <w:rFonts w:hint="default"/>
          <w:b/>
          <w:bCs/>
          <w:sz w:val="26"/>
          <w:szCs w:val="26"/>
          <w:u w:val="none"/>
          <w:lang w:val="en-US"/>
        </w:rPr>
      </w:pPr>
    </w:p>
    <w:p w14:paraId="08E8692A">
      <w:pPr>
        <w:widowControl w:val="0"/>
        <w:numPr>
          <w:numId w:val="0"/>
        </w:numPr>
        <w:jc w:val="both"/>
        <w:rPr>
          <w:rFonts w:hint="default"/>
          <w:b/>
          <w:bCs/>
          <w:sz w:val="26"/>
          <w:szCs w:val="26"/>
          <w:u w:val="none"/>
          <w:lang w:val="en-US"/>
        </w:rPr>
      </w:pPr>
      <w:r>
        <w:rPr>
          <w:rFonts w:hint="default"/>
          <w:b/>
          <w:bCs/>
          <w:sz w:val="26"/>
          <w:szCs w:val="26"/>
          <w:u w:val="none"/>
          <w:lang w:val="en-US"/>
        </w:rPr>
        <w:t>9.5 Advanced Data Quality Framework</w:t>
      </w:r>
    </w:p>
    <w:p w14:paraId="00879EA6">
      <w:pPr>
        <w:widowControl w:val="0"/>
        <w:numPr>
          <w:numId w:val="0"/>
        </w:numPr>
        <w:jc w:val="both"/>
        <w:rPr>
          <w:rFonts w:hint="default"/>
          <w:b/>
          <w:bCs/>
          <w:sz w:val="26"/>
          <w:szCs w:val="26"/>
          <w:u w:val="none"/>
          <w:lang w:val="en-US"/>
        </w:rPr>
      </w:pPr>
    </w:p>
    <w:p w14:paraId="52787772">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Implement automated validation rules to detect missing values, data type inconsistencies, duplicate records, and anomalous values during data ingestion.</w:t>
      </w:r>
    </w:p>
    <w:p w14:paraId="2D22BDE7">
      <w:pPr>
        <w:widowControl w:val="0"/>
        <w:numPr>
          <w:numId w:val="0"/>
        </w:numPr>
        <w:jc w:val="both"/>
        <w:rPr>
          <w:rFonts w:hint="default"/>
          <w:b w:val="0"/>
          <w:bCs w:val="0"/>
          <w:sz w:val="26"/>
          <w:szCs w:val="26"/>
          <w:u w:val="none"/>
          <w:lang w:val="en-US"/>
        </w:rPr>
      </w:pPr>
    </w:p>
    <w:p w14:paraId="24594042">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Establish data quality monitoring processes to improve the reliability of future analytical outputs.</w:t>
      </w:r>
    </w:p>
    <w:p w14:paraId="0698874F">
      <w:pPr>
        <w:widowControl w:val="0"/>
        <w:numPr>
          <w:numId w:val="0"/>
        </w:numPr>
        <w:jc w:val="both"/>
        <w:rPr>
          <w:rFonts w:hint="default"/>
          <w:b w:val="0"/>
          <w:bCs w:val="0"/>
          <w:sz w:val="26"/>
          <w:szCs w:val="26"/>
          <w:u w:val="none"/>
          <w:lang w:val="en-US"/>
        </w:rPr>
      </w:pPr>
    </w:p>
    <w:p w14:paraId="280E8944">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Automated data quality management is becoming a key component of modern analytics platforms.</w:t>
      </w:r>
    </w:p>
    <w:p w14:paraId="3CBE9997">
      <w:pPr>
        <w:widowControl w:val="0"/>
        <w:numPr>
          <w:numId w:val="0"/>
        </w:numPr>
        <w:jc w:val="both"/>
        <w:rPr>
          <w:rFonts w:hint="default"/>
          <w:b/>
          <w:bCs/>
          <w:sz w:val="26"/>
          <w:szCs w:val="26"/>
          <w:u w:val="none"/>
          <w:lang w:val="en-US"/>
        </w:rPr>
      </w:pPr>
    </w:p>
    <w:p w14:paraId="5EB2DCD8">
      <w:pPr>
        <w:widowControl w:val="0"/>
        <w:numPr>
          <w:numId w:val="0"/>
        </w:numPr>
        <w:jc w:val="both"/>
        <w:rPr>
          <w:rFonts w:hint="default"/>
          <w:b/>
          <w:bCs/>
          <w:sz w:val="26"/>
          <w:szCs w:val="26"/>
          <w:u w:val="none"/>
          <w:lang w:val="en-US"/>
        </w:rPr>
      </w:pPr>
      <w:r>
        <w:rPr>
          <w:rFonts w:hint="default"/>
          <w:b/>
          <w:bCs/>
          <w:sz w:val="26"/>
          <w:szCs w:val="26"/>
          <w:u w:val="none"/>
          <w:lang w:val="en-US"/>
        </w:rPr>
        <w:t>9.6 Real-Time and Near Real-Time Analytics</w:t>
      </w:r>
    </w:p>
    <w:p w14:paraId="10ADC87A">
      <w:pPr>
        <w:widowControl w:val="0"/>
        <w:numPr>
          <w:numId w:val="0"/>
        </w:numPr>
        <w:jc w:val="both"/>
        <w:rPr>
          <w:rFonts w:hint="default"/>
          <w:b w:val="0"/>
          <w:bCs w:val="0"/>
          <w:sz w:val="26"/>
          <w:szCs w:val="26"/>
          <w:u w:val="none"/>
          <w:lang w:val="en-US"/>
        </w:rPr>
      </w:pPr>
    </w:p>
    <w:p w14:paraId="4AD52E10">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Enhance the warehouse architecture to support more frequent data updates and near real-time reporting capabilities.</w:t>
      </w:r>
    </w:p>
    <w:p w14:paraId="29532707">
      <w:pPr>
        <w:widowControl w:val="0"/>
        <w:numPr>
          <w:numId w:val="0"/>
        </w:numPr>
        <w:jc w:val="both"/>
        <w:rPr>
          <w:rFonts w:hint="default"/>
          <w:b w:val="0"/>
          <w:bCs w:val="0"/>
          <w:sz w:val="26"/>
          <w:szCs w:val="26"/>
          <w:u w:val="none"/>
          <w:lang w:val="en-US"/>
        </w:rPr>
      </w:pPr>
    </w:p>
    <w:p w14:paraId="011F51F1">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Allow stakeholders to monitor market trends, pricing changes, and occupancy patterns as they occur.</w:t>
      </w:r>
    </w:p>
    <w:p w14:paraId="344FFDC1">
      <w:pPr>
        <w:widowControl w:val="0"/>
        <w:numPr>
          <w:numId w:val="0"/>
        </w:numPr>
        <w:jc w:val="both"/>
        <w:rPr>
          <w:rFonts w:hint="default"/>
          <w:b w:val="0"/>
          <w:bCs w:val="0"/>
          <w:sz w:val="26"/>
          <w:szCs w:val="26"/>
          <w:u w:val="none"/>
          <w:lang w:val="en-US"/>
        </w:rPr>
      </w:pPr>
    </w:p>
    <w:p w14:paraId="731D6B8B">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Real-time analytics is a growing trend in modern data warehousing and business intelligence environments.</w:t>
      </w:r>
    </w:p>
    <w:p w14:paraId="2BCA36F3">
      <w:pPr>
        <w:widowControl w:val="0"/>
        <w:numPr>
          <w:numId w:val="0"/>
        </w:numPr>
        <w:jc w:val="both"/>
        <w:rPr>
          <w:rFonts w:hint="default"/>
          <w:b/>
          <w:bCs/>
          <w:sz w:val="26"/>
          <w:szCs w:val="26"/>
          <w:u w:val="none"/>
          <w:lang w:val="en-US"/>
        </w:rPr>
      </w:pPr>
    </w:p>
    <w:p w14:paraId="1D466534">
      <w:pPr>
        <w:widowControl w:val="0"/>
        <w:numPr>
          <w:numId w:val="0"/>
        </w:numPr>
        <w:jc w:val="both"/>
        <w:rPr>
          <w:rFonts w:hint="default"/>
          <w:b/>
          <w:bCs/>
          <w:sz w:val="26"/>
          <w:szCs w:val="26"/>
          <w:u w:val="none"/>
          <w:lang w:val="en-US"/>
        </w:rPr>
      </w:pPr>
      <w:r>
        <w:rPr>
          <w:rFonts w:hint="default"/>
          <w:b/>
          <w:bCs/>
          <w:sz w:val="26"/>
          <w:szCs w:val="26"/>
          <w:u w:val="none"/>
          <w:lang w:val="en-US"/>
        </w:rPr>
        <w:t>9.7 Enhanced Visual Analytics</w:t>
      </w:r>
    </w:p>
    <w:p w14:paraId="1C0CF052">
      <w:pPr>
        <w:widowControl w:val="0"/>
        <w:numPr>
          <w:numId w:val="0"/>
        </w:numPr>
        <w:jc w:val="both"/>
        <w:rPr>
          <w:rFonts w:hint="default"/>
          <w:b/>
          <w:bCs/>
          <w:sz w:val="26"/>
          <w:szCs w:val="26"/>
          <w:u w:val="none"/>
          <w:lang w:val="en-US"/>
        </w:rPr>
      </w:pPr>
    </w:p>
    <w:p w14:paraId="46314835">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Expand the range of analytical visualizations to include geographic heatmaps, trend forecasting dashboards, host segmentation analysis, and predictive performance monitoring.</w:t>
      </w:r>
    </w:p>
    <w:p w14:paraId="485C8EB2">
      <w:pPr>
        <w:widowControl w:val="0"/>
        <w:numPr>
          <w:numId w:val="0"/>
        </w:numPr>
        <w:jc w:val="both"/>
        <w:rPr>
          <w:rFonts w:hint="default"/>
          <w:b w:val="0"/>
          <w:bCs w:val="0"/>
          <w:sz w:val="26"/>
          <w:szCs w:val="26"/>
          <w:u w:val="none"/>
          <w:lang w:val="en-US"/>
        </w:rPr>
      </w:pPr>
    </w:p>
    <w:p w14:paraId="3CB0BC8C">
      <w:pPr>
        <w:widowControl w:val="0"/>
        <w:numPr>
          <w:numId w:val="0"/>
        </w:numPr>
        <w:jc w:val="both"/>
        <w:rPr>
          <w:rFonts w:hint="default"/>
          <w:b/>
          <w:bCs/>
          <w:sz w:val="26"/>
          <w:szCs w:val="26"/>
          <w:u w:val="none"/>
          <w:lang w:val="en-US"/>
        </w:rPr>
      </w:pPr>
      <w:r>
        <w:rPr>
          <w:rFonts w:hint="default"/>
          <w:b w:val="0"/>
          <w:bCs w:val="0"/>
          <w:sz w:val="26"/>
          <w:szCs w:val="26"/>
          <w:u w:val="none"/>
          <w:lang w:val="en-US"/>
        </w:rPr>
        <w:t>Integrate machine learning outputs directly into visual dashboards to improve interpretability and business value.</w:t>
      </w:r>
    </w:p>
    <w:p w14:paraId="49F8D02A">
      <w:pPr>
        <w:widowControl w:val="0"/>
        <w:numPr>
          <w:numId w:val="0"/>
        </w:numPr>
        <w:jc w:val="both"/>
        <w:rPr>
          <w:rFonts w:hint="default"/>
          <w:b/>
          <w:bCs/>
          <w:sz w:val="26"/>
          <w:szCs w:val="26"/>
          <w:u w:val="none"/>
          <w:lang w:val="en-US"/>
        </w:rPr>
      </w:pPr>
    </w:p>
    <w:p w14:paraId="051E0643">
      <w:pPr>
        <w:widowControl w:val="0"/>
        <w:numPr>
          <w:numId w:val="0"/>
        </w:numPr>
        <w:jc w:val="both"/>
        <w:rPr>
          <w:rFonts w:hint="default"/>
          <w:b/>
          <w:bCs/>
          <w:sz w:val="26"/>
          <w:szCs w:val="26"/>
          <w:u w:val="none"/>
          <w:lang w:val="en-US"/>
        </w:rPr>
      </w:pPr>
      <w:r>
        <w:rPr>
          <w:rFonts w:hint="default"/>
          <w:b/>
          <w:bCs/>
          <w:sz w:val="26"/>
          <w:szCs w:val="26"/>
          <w:u w:val="none"/>
          <w:lang w:val="en-US"/>
        </w:rPr>
        <w:t>9.8 Cloud-Based Deployment</w:t>
      </w:r>
    </w:p>
    <w:p w14:paraId="6DED4AB7">
      <w:pPr>
        <w:widowControl w:val="0"/>
        <w:numPr>
          <w:numId w:val="0"/>
        </w:numPr>
        <w:jc w:val="both"/>
        <w:rPr>
          <w:rFonts w:hint="default"/>
          <w:b/>
          <w:bCs/>
          <w:sz w:val="26"/>
          <w:szCs w:val="26"/>
          <w:u w:val="none"/>
          <w:lang w:val="en-US"/>
        </w:rPr>
      </w:pPr>
    </w:p>
    <w:p w14:paraId="5D32D1E9">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Migrate the Analytics_Warehouse to a cloud-based environment to improve scalability, storage flexibility, performance, and collaboration.</w:t>
      </w:r>
    </w:p>
    <w:p w14:paraId="4C809D57">
      <w:pPr>
        <w:widowControl w:val="0"/>
        <w:numPr>
          <w:numId w:val="0"/>
        </w:numPr>
        <w:jc w:val="both"/>
        <w:rPr>
          <w:rFonts w:hint="default"/>
          <w:b w:val="0"/>
          <w:bCs w:val="0"/>
          <w:sz w:val="26"/>
          <w:szCs w:val="26"/>
          <w:u w:val="none"/>
          <w:lang w:val="en-US"/>
        </w:rPr>
      </w:pPr>
    </w:p>
    <w:p w14:paraId="4E192258">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Enable future integration with advanced analytics, machine learning services, and enterprise-grade reporting tools.</w:t>
      </w:r>
    </w:p>
    <w:p w14:paraId="29214985">
      <w:pPr>
        <w:widowControl w:val="0"/>
        <w:numPr>
          <w:numId w:val="0"/>
        </w:numPr>
        <w:jc w:val="both"/>
        <w:rPr>
          <w:rFonts w:hint="default"/>
          <w:b/>
          <w:bCs/>
          <w:sz w:val="26"/>
          <w:szCs w:val="26"/>
          <w:u w:val="none"/>
          <w:lang w:val="en-US"/>
        </w:rPr>
      </w:pPr>
    </w:p>
    <w:p w14:paraId="0362DD5C">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Cloud-native analytics platforms are increasingly being adopted to support scalable business intelligence and AI-driven workloads.</w:t>
      </w:r>
    </w:p>
    <w:p w14:paraId="3962D677">
      <w:pPr>
        <w:widowControl w:val="0"/>
        <w:numPr>
          <w:numId w:val="0"/>
        </w:numPr>
        <w:jc w:val="both"/>
        <w:rPr>
          <w:rFonts w:hint="default"/>
          <w:b/>
          <w:bCs/>
          <w:sz w:val="26"/>
          <w:szCs w:val="26"/>
          <w:u w:val="none"/>
          <w:lang w:val="en-US"/>
        </w:rPr>
      </w:pPr>
    </w:p>
    <w:p w14:paraId="46254252">
      <w:pPr>
        <w:widowControl w:val="0"/>
        <w:numPr>
          <w:ilvl w:val="0"/>
          <w:numId w:val="2"/>
        </w:numPr>
        <w:ind w:left="0" w:leftChars="0" w:firstLine="0" w:firstLineChars="0"/>
        <w:jc w:val="both"/>
        <w:rPr>
          <w:rFonts w:hint="default"/>
          <w:b/>
          <w:bCs/>
          <w:sz w:val="40"/>
          <w:szCs w:val="40"/>
          <w:u w:val="none"/>
          <w:lang w:val="en-US"/>
        </w:rPr>
      </w:pPr>
      <w:bookmarkStart w:id="9" w:name="Reflec"/>
      <w:r>
        <w:rPr>
          <w:rFonts w:hint="default"/>
          <w:b/>
          <w:bCs/>
          <w:sz w:val="40"/>
          <w:szCs w:val="40"/>
          <w:u w:val="none"/>
          <w:lang w:val="en-US"/>
        </w:rPr>
        <w:t>Reflection</w:t>
      </w:r>
    </w:p>
    <w:bookmarkEnd w:id="9"/>
    <w:p w14:paraId="5DE81056">
      <w:pPr>
        <w:widowControl w:val="0"/>
        <w:numPr>
          <w:numId w:val="0"/>
        </w:numPr>
        <w:jc w:val="both"/>
        <w:rPr>
          <w:rFonts w:hint="default"/>
          <w:b/>
          <w:bCs/>
          <w:sz w:val="26"/>
          <w:szCs w:val="26"/>
          <w:u w:val="none"/>
          <w:lang w:val="en-US"/>
        </w:rPr>
      </w:pPr>
    </w:p>
    <w:p w14:paraId="51CE3BAD">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Completing this diagnostic assessment of the London short-term rental market has provided valuable practical experience in balancing data-driven analysis with real-world business contexts. Working directly with large-scale platform datasets highlighted a key truth in data science: raw data is rarely clean or perfectly aligned with theoretical expectations.</w:t>
      </w:r>
    </w:p>
    <w:p w14:paraId="04005196">
      <w:pPr>
        <w:widowControl w:val="0"/>
        <w:numPr>
          <w:numId w:val="0"/>
        </w:numPr>
        <w:jc w:val="both"/>
        <w:rPr>
          <w:rFonts w:hint="default"/>
          <w:b/>
          <w:bCs/>
          <w:sz w:val="26"/>
          <w:szCs w:val="26"/>
          <w:u w:val="none"/>
          <w:lang w:val="en-US"/>
        </w:rPr>
      </w:pPr>
    </w:p>
    <w:p w14:paraId="5EF2F0CE">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 xml:space="preserve">Navigating the massive 35-million-row calendar database and addressing severe data quality issues—such as the 100% missingness in core pricing fields and extreme outlier anomalies—shifted the project's focus from running complex algorithms to building a clean, reliable data foundation. Investigating these gaps taught me to look deeper into why data patterns occur rather than taking charts at face value. For instance, uncovering the counterintuitive drop in average prices during peak travel seasons revealed how heavily a market's metrics can be altered by a sudden shift in supply mix rather than simple consumer demand. </w:t>
      </w:r>
    </w:p>
    <w:p w14:paraId="0745730F">
      <w:pPr>
        <w:widowControl w:val="0"/>
        <w:numPr>
          <w:numId w:val="0"/>
        </w:numPr>
        <w:jc w:val="both"/>
        <w:rPr>
          <w:rFonts w:hint="default"/>
          <w:b w:val="0"/>
          <w:bCs w:val="0"/>
          <w:sz w:val="26"/>
          <w:szCs w:val="26"/>
          <w:u w:val="none"/>
          <w:lang w:val="en-US"/>
        </w:rPr>
      </w:pPr>
    </w:p>
    <w:p w14:paraId="47982630">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Ultimately, this project demonstrated that data engineering and exploratory profiling are not just mechanical setup steps. They are critical, analytical phases where the most impactful market dynamics are discovered, proving that a deep understanding of data architecture is essential for generating reliable business intelligence.</w:t>
      </w:r>
    </w:p>
    <w:p w14:paraId="1FEF1E20">
      <w:pPr>
        <w:widowControl w:val="0"/>
        <w:numPr>
          <w:numId w:val="0"/>
        </w:numPr>
        <w:jc w:val="both"/>
        <w:rPr>
          <w:rFonts w:hint="default"/>
          <w:b/>
          <w:bCs/>
          <w:sz w:val="26"/>
          <w:szCs w:val="26"/>
          <w:u w:val="none"/>
          <w:lang w:val="en-US"/>
        </w:rPr>
      </w:pPr>
    </w:p>
    <w:p w14:paraId="3B6D8FA7">
      <w:pPr>
        <w:widowControl w:val="0"/>
        <w:numPr>
          <w:numId w:val="0"/>
        </w:numPr>
        <w:ind w:leftChars="0"/>
        <w:jc w:val="both"/>
        <w:rPr>
          <w:rFonts w:hint="default"/>
          <w:b/>
          <w:bCs/>
          <w:sz w:val="26"/>
          <w:szCs w:val="26"/>
          <w:u w:val="none"/>
          <w:lang w:val="en-US"/>
        </w:rPr>
      </w:pPr>
    </w:p>
    <w:p w14:paraId="64639CF7">
      <w:pPr>
        <w:widowControl w:val="0"/>
        <w:numPr>
          <w:numId w:val="0"/>
        </w:numPr>
        <w:ind w:leftChars="0"/>
        <w:jc w:val="both"/>
        <w:rPr>
          <w:rFonts w:hint="default"/>
          <w:b/>
          <w:bCs/>
          <w:sz w:val="26"/>
          <w:szCs w:val="26"/>
          <w:u w:val="none"/>
          <w:lang w:val="en-US"/>
        </w:rPr>
      </w:pPr>
    </w:p>
    <w:p w14:paraId="547F61FC">
      <w:pPr>
        <w:widowControl w:val="0"/>
        <w:numPr>
          <w:numId w:val="0"/>
        </w:numPr>
        <w:ind w:leftChars="0"/>
        <w:jc w:val="both"/>
        <w:rPr>
          <w:rFonts w:hint="default"/>
          <w:b/>
          <w:bCs/>
          <w:sz w:val="26"/>
          <w:szCs w:val="26"/>
          <w:u w:val="none"/>
          <w:lang w:val="en-US"/>
        </w:rPr>
      </w:pPr>
    </w:p>
    <w:p w14:paraId="0534A135">
      <w:pPr>
        <w:widowControl w:val="0"/>
        <w:numPr>
          <w:numId w:val="0"/>
        </w:numPr>
        <w:ind w:leftChars="0"/>
        <w:jc w:val="both"/>
        <w:rPr>
          <w:rFonts w:hint="default"/>
          <w:b/>
          <w:bCs/>
          <w:sz w:val="26"/>
          <w:szCs w:val="26"/>
          <w:u w:val="none"/>
          <w:lang w:val="en-US"/>
        </w:rPr>
      </w:pPr>
    </w:p>
    <w:p w14:paraId="532A0816">
      <w:pPr>
        <w:widowControl w:val="0"/>
        <w:numPr>
          <w:numId w:val="0"/>
        </w:numPr>
        <w:ind w:leftChars="0"/>
        <w:jc w:val="both"/>
        <w:rPr>
          <w:rFonts w:hint="default"/>
          <w:b/>
          <w:bCs/>
          <w:sz w:val="26"/>
          <w:szCs w:val="26"/>
          <w:u w:val="none"/>
          <w:lang w:val="en-US"/>
        </w:rPr>
      </w:pPr>
    </w:p>
    <w:p w14:paraId="34E7C96C">
      <w:pPr>
        <w:widowControl w:val="0"/>
        <w:numPr>
          <w:numId w:val="0"/>
        </w:numPr>
        <w:ind w:leftChars="0"/>
        <w:jc w:val="both"/>
        <w:rPr>
          <w:rFonts w:hint="default"/>
          <w:b/>
          <w:bCs/>
          <w:sz w:val="26"/>
          <w:szCs w:val="26"/>
          <w:u w:val="none"/>
          <w:lang w:val="en-US"/>
        </w:rPr>
      </w:pPr>
    </w:p>
    <w:p w14:paraId="22A1BEF4">
      <w:pPr>
        <w:widowControl w:val="0"/>
        <w:numPr>
          <w:numId w:val="0"/>
        </w:numPr>
        <w:ind w:leftChars="0"/>
        <w:jc w:val="both"/>
        <w:rPr>
          <w:rFonts w:hint="default"/>
          <w:b/>
          <w:bCs/>
          <w:sz w:val="26"/>
          <w:szCs w:val="26"/>
          <w:u w:val="none"/>
          <w:lang w:val="en-US"/>
        </w:rPr>
      </w:pPr>
    </w:p>
    <w:p w14:paraId="1E2707CD">
      <w:pPr>
        <w:widowControl w:val="0"/>
        <w:numPr>
          <w:numId w:val="0"/>
        </w:numPr>
        <w:ind w:leftChars="0"/>
        <w:jc w:val="both"/>
        <w:rPr>
          <w:rFonts w:hint="default"/>
          <w:b/>
          <w:bCs/>
          <w:sz w:val="26"/>
          <w:szCs w:val="26"/>
          <w:u w:val="none"/>
          <w:lang w:val="en-US"/>
        </w:rPr>
      </w:pPr>
    </w:p>
    <w:p w14:paraId="63ED8711">
      <w:pPr>
        <w:widowControl w:val="0"/>
        <w:numPr>
          <w:numId w:val="0"/>
        </w:numPr>
        <w:ind w:leftChars="0"/>
        <w:jc w:val="both"/>
        <w:rPr>
          <w:rFonts w:hint="default"/>
          <w:b/>
          <w:bCs/>
          <w:sz w:val="26"/>
          <w:szCs w:val="26"/>
          <w:u w:val="none"/>
          <w:lang w:val="en-US"/>
        </w:rPr>
      </w:pPr>
    </w:p>
    <w:p w14:paraId="5771F2B1">
      <w:pPr>
        <w:widowControl w:val="0"/>
        <w:numPr>
          <w:numId w:val="0"/>
        </w:numPr>
        <w:ind w:leftChars="0"/>
        <w:jc w:val="both"/>
        <w:rPr>
          <w:rFonts w:hint="default"/>
          <w:b/>
          <w:bCs/>
          <w:sz w:val="26"/>
          <w:szCs w:val="26"/>
          <w:u w:val="none"/>
          <w:lang w:val="en-US"/>
        </w:rPr>
      </w:pPr>
    </w:p>
    <w:p w14:paraId="10D4F59E">
      <w:pPr>
        <w:widowControl w:val="0"/>
        <w:numPr>
          <w:numId w:val="0"/>
        </w:numPr>
        <w:ind w:leftChars="0"/>
        <w:jc w:val="both"/>
        <w:rPr>
          <w:rFonts w:hint="default"/>
          <w:b/>
          <w:bCs/>
          <w:sz w:val="26"/>
          <w:szCs w:val="26"/>
          <w:u w:val="none"/>
          <w:lang w:val="en-US"/>
        </w:rPr>
      </w:pPr>
    </w:p>
    <w:p w14:paraId="74054F0A">
      <w:pPr>
        <w:widowControl w:val="0"/>
        <w:numPr>
          <w:numId w:val="0"/>
        </w:numPr>
        <w:ind w:leftChars="0"/>
        <w:jc w:val="both"/>
        <w:rPr>
          <w:rFonts w:hint="default"/>
          <w:b/>
          <w:bCs/>
          <w:sz w:val="26"/>
          <w:szCs w:val="26"/>
          <w:u w:val="none"/>
          <w:lang w:val="en-US"/>
        </w:rPr>
      </w:pPr>
    </w:p>
    <w:p w14:paraId="02F480A0">
      <w:pPr>
        <w:widowControl w:val="0"/>
        <w:numPr>
          <w:numId w:val="0"/>
        </w:numPr>
        <w:ind w:leftChars="0"/>
        <w:jc w:val="both"/>
        <w:rPr>
          <w:rFonts w:hint="default"/>
          <w:b/>
          <w:bCs/>
          <w:sz w:val="26"/>
          <w:szCs w:val="26"/>
          <w:u w:val="none"/>
          <w:lang w:val="en-US"/>
        </w:rPr>
      </w:pPr>
    </w:p>
    <w:p w14:paraId="41104107">
      <w:pPr>
        <w:widowControl w:val="0"/>
        <w:numPr>
          <w:numId w:val="0"/>
        </w:numPr>
        <w:ind w:leftChars="0"/>
        <w:jc w:val="both"/>
        <w:rPr>
          <w:rFonts w:hint="default"/>
          <w:b/>
          <w:bCs/>
          <w:sz w:val="26"/>
          <w:szCs w:val="26"/>
          <w:u w:val="none"/>
          <w:lang w:val="en-US"/>
        </w:rPr>
      </w:pPr>
    </w:p>
    <w:p w14:paraId="64B7EFB0">
      <w:pPr>
        <w:widowControl w:val="0"/>
        <w:numPr>
          <w:numId w:val="0"/>
        </w:numPr>
        <w:ind w:leftChars="0"/>
        <w:jc w:val="both"/>
        <w:rPr>
          <w:rFonts w:hint="default"/>
          <w:b/>
          <w:bCs/>
          <w:sz w:val="26"/>
          <w:szCs w:val="26"/>
          <w:u w:val="none"/>
          <w:lang w:val="en-US"/>
        </w:rPr>
      </w:pPr>
    </w:p>
    <w:p w14:paraId="1763CFC6">
      <w:pPr>
        <w:widowControl w:val="0"/>
        <w:numPr>
          <w:numId w:val="0"/>
        </w:numPr>
        <w:ind w:leftChars="0"/>
        <w:jc w:val="both"/>
        <w:rPr>
          <w:rFonts w:hint="default"/>
          <w:b/>
          <w:bCs/>
          <w:sz w:val="26"/>
          <w:szCs w:val="26"/>
          <w:u w:val="none"/>
          <w:lang w:val="en-US"/>
        </w:rPr>
      </w:pPr>
    </w:p>
    <w:p w14:paraId="1C21741D">
      <w:pPr>
        <w:widowControl w:val="0"/>
        <w:numPr>
          <w:numId w:val="0"/>
        </w:numPr>
        <w:ind w:leftChars="0"/>
        <w:jc w:val="both"/>
        <w:rPr>
          <w:rFonts w:hint="default"/>
          <w:b/>
          <w:bCs/>
          <w:sz w:val="26"/>
          <w:szCs w:val="26"/>
          <w:u w:val="none"/>
          <w:lang w:val="en-US"/>
        </w:rPr>
      </w:pPr>
    </w:p>
    <w:p w14:paraId="4106A7EE">
      <w:pPr>
        <w:widowControl w:val="0"/>
        <w:numPr>
          <w:numId w:val="0"/>
        </w:numPr>
        <w:ind w:leftChars="0"/>
        <w:jc w:val="both"/>
        <w:rPr>
          <w:rFonts w:hint="default"/>
          <w:b/>
          <w:bCs/>
          <w:sz w:val="26"/>
          <w:szCs w:val="26"/>
          <w:u w:val="none"/>
          <w:lang w:val="en-US"/>
        </w:rPr>
      </w:pPr>
    </w:p>
    <w:p w14:paraId="23EC2B99">
      <w:pPr>
        <w:widowControl w:val="0"/>
        <w:numPr>
          <w:numId w:val="0"/>
        </w:numPr>
        <w:ind w:leftChars="0"/>
        <w:jc w:val="both"/>
        <w:rPr>
          <w:rFonts w:hint="default"/>
          <w:b/>
          <w:bCs/>
          <w:sz w:val="26"/>
          <w:szCs w:val="26"/>
          <w:u w:val="none"/>
          <w:lang w:val="en-US"/>
        </w:rPr>
      </w:pPr>
    </w:p>
    <w:p w14:paraId="7AC0C396">
      <w:pPr>
        <w:widowControl w:val="0"/>
        <w:numPr>
          <w:numId w:val="0"/>
        </w:numPr>
        <w:ind w:leftChars="0"/>
        <w:jc w:val="both"/>
        <w:rPr>
          <w:rFonts w:hint="default"/>
          <w:b/>
          <w:bCs/>
          <w:sz w:val="26"/>
          <w:szCs w:val="26"/>
          <w:u w:val="none"/>
          <w:lang w:val="en-US"/>
        </w:rPr>
      </w:pPr>
    </w:p>
    <w:p w14:paraId="758DE7C2">
      <w:pPr>
        <w:widowControl w:val="0"/>
        <w:numPr>
          <w:numId w:val="0"/>
        </w:numPr>
        <w:ind w:leftChars="0"/>
        <w:jc w:val="both"/>
        <w:rPr>
          <w:rFonts w:hint="default"/>
          <w:b/>
          <w:bCs/>
          <w:sz w:val="26"/>
          <w:szCs w:val="26"/>
          <w:u w:val="none"/>
          <w:lang w:val="en-US"/>
        </w:rPr>
      </w:pPr>
    </w:p>
    <w:p w14:paraId="27F8F8D0">
      <w:pPr>
        <w:widowControl w:val="0"/>
        <w:numPr>
          <w:numId w:val="0"/>
        </w:numPr>
        <w:ind w:leftChars="0"/>
        <w:jc w:val="both"/>
        <w:rPr>
          <w:rFonts w:hint="default"/>
          <w:b/>
          <w:bCs/>
          <w:sz w:val="26"/>
          <w:szCs w:val="26"/>
          <w:u w:val="none"/>
          <w:lang w:val="en-US"/>
        </w:rPr>
      </w:pPr>
    </w:p>
    <w:p w14:paraId="267E2238">
      <w:pPr>
        <w:widowControl w:val="0"/>
        <w:numPr>
          <w:numId w:val="0"/>
        </w:numPr>
        <w:ind w:leftChars="0"/>
        <w:jc w:val="both"/>
        <w:rPr>
          <w:rFonts w:hint="default"/>
          <w:b/>
          <w:bCs/>
          <w:sz w:val="26"/>
          <w:szCs w:val="26"/>
          <w:u w:val="none"/>
          <w:lang w:val="en-US"/>
        </w:rPr>
      </w:pPr>
    </w:p>
    <w:p w14:paraId="36CED15C">
      <w:pPr>
        <w:widowControl w:val="0"/>
        <w:numPr>
          <w:ilvl w:val="0"/>
          <w:numId w:val="2"/>
        </w:numPr>
        <w:ind w:left="0" w:leftChars="0" w:firstLine="0" w:firstLineChars="0"/>
        <w:jc w:val="both"/>
        <w:rPr>
          <w:rFonts w:hint="default"/>
          <w:b/>
          <w:bCs/>
          <w:sz w:val="40"/>
          <w:szCs w:val="40"/>
          <w:u w:val="none"/>
          <w:lang w:val="en-US"/>
        </w:rPr>
      </w:pPr>
      <w:bookmarkStart w:id="10" w:name="AIUSage"/>
      <w:r>
        <w:rPr>
          <w:rFonts w:hint="default"/>
          <w:b/>
          <w:bCs/>
          <w:sz w:val="40"/>
          <w:szCs w:val="40"/>
          <w:u w:val="none"/>
          <w:lang w:val="en-US"/>
        </w:rPr>
        <w:t>AI Usage Disclosure</w:t>
      </w:r>
    </w:p>
    <w:bookmarkEnd w:id="10"/>
    <w:p w14:paraId="1883A697">
      <w:pPr>
        <w:widowControl w:val="0"/>
        <w:numPr>
          <w:numId w:val="0"/>
        </w:numPr>
        <w:jc w:val="both"/>
        <w:rPr>
          <w:rFonts w:hint="default"/>
          <w:b/>
          <w:bCs/>
          <w:sz w:val="26"/>
          <w:szCs w:val="26"/>
          <w:u w:val="none"/>
          <w:lang w:val="en-US"/>
        </w:rPr>
      </w:pPr>
    </w:p>
    <w:p w14:paraId="390B3835">
      <w:pPr>
        <w:widowControl w:val="0"/>
        <w:numPr>
          <w:numId w:val="0"/>
        </w:numPr>
        <w:jc w:val="both"/>
        <w:rPr>
          <w:rFonts w:hint="default"/>
          <w:b/>
          <w:bCs/>
          <w:sz w:val="26"/>
          <w:szCs w:val="26"/>
          <w:u w:val="none"/>
          <w:lang w:val="en-US"/>
        </w:rPr>
      </w:pPr>
      <w:r>
        <w:rPr>
          <w:rFonts w:hint="default"/>
          <w:b/>
          <w:bCs/>
          <w:sz w:val="26"/>
          <w:szCs w:val="26"/>
          <w:u w:val="none"/>
          <w:lang w:val="en-US"/>
        </w:rPr>
        <w:t>11.1 AI Tools Used</w:t>
      </w:r>
    </w:p>
    <w:p w14:paraId="3ABF9C10">
      <w:pPr>
        <w:widowControl w:val="0"/>
        <w:numPr>
          <w:numId w:val="0"/>
        </w:numPr>
        <w:jc w:val="both"/>
        <w:rPr>
          <w:rFonts w:hint="default"/>
          <w:b/>
          <w:bCs/>
          <w:sz w:val="26"/>
          <w:szCs w:val="26"/>
          <w:u w:val="none"/>
          <w:lang w:val="en-US"/>
        </w:rPr>
      </w:pPr>
    </w:p>
    <w:p w14:paraId="663598DC">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Gemini</w:t>
      </w:r>
      <w:r>
        <w:rPr>
          <w:rFonts w:hint="default"/>
          <w:b w:val="0"/>
          <w:bCs w:val="0"/>
          <w:sz w:val="26"/>
          <w:szCs w:val="26"/>
          <w:u w:val="none"/>
          <w:lang w:val="en-US"/>
        </w:rPr>
        <w:br w:type="textWrapping"/>
      </w:r>
      <w:r>
        <w:rPr>
          <w:rFonts w:hint="default"/>
          <w:b w:val="0"/>
          <w:bCs w:val="0"/>
          <w:sz w:val="26"/>
          <w:szCs w:val="26"/>
          <w:u w:val="none"/>
          <w:lang w:val="en-US"/>
        </w:rPr>
        <w:t>ChatGPT</w:t>
      </w:r>
    </w:p>
    <w:p w14:paraId="7827813D">
      <w:pPr>
        <w:widowControl w:val="0"/>
        <w:numPr>
          <w:numId w:val="0"/>
        </w:numPr>
        <w:jc w:val="both"/>
        <w:rPr>
          <w:rFonts w:hint="default"/>
          <w:b w:val="0"/>
          <w:bCs w:val="0"/>
          <w:sz w:val="26"/>
          <w:szCs w:val="26"/>
          <w:u w:val="none"/>
          <w:lang w:val="en-US"/>
        </w:rPr>
      </w:pPr>
    </w:p>
    <w:p w14:paraId="557A1BD0">
      <w:pPr>
        <w:widowControl w:val="0"/>
        <w:numPr>
          <w:numId w:val="0"/>
        </w:numPr>
        <w:jc w:val="both"/>
        <w:rPr>
          <w:rFonts w:hint="default"/>
          <w:b/>
          <w:bCs/>
          <w:sz w:val="26"/>
          <w:szCs w:val="26"/>
          <w:u w:val="none"/>
          <w:lang w:val="en-US"/>
        </w:rPr>
      </w:pPr>
      <w:r>
        <w:rPr>
          <w:rFonts w:hint="default"/>
          <w:b/>
          <w:bCs/>
          <w:sz w:val="26"/>
          <w:szCs w:val="26"/>
          <w:u w:val="none"/>
          <w:lang w:val="en-US"/>
        </w:rPr>
        <w:t xml:space="preserve">11.2 </w:t>
      </w:r>
      <w:r>
        <w:rPr>
          <w:rFonts w:hint="default"/>
          <w:b/>
          <w:bCs/>
          <w:sz w:val="26"/>
          <w:szCs w:val="26"/>
          <w:u w:val="none"/>
          <w:lang w:val="en-US" w:eastAsia="zh-CN"/>
        </w:rPr>
        <w:t>AI-Assisted Sections</w:t>
      </w:r>
    </w:p>
    <w:p w14:paraId="0603D323">
      <w:pPr>
        <w:widowControl w:val="0"/>
        <w:numPr>
          <w:numId w:val="0"/>
        </w:numPr>
        <w:jc w:val="both"/>
        <w:rPr>
          <w:rFonts w:hint="default"/>
          <w:b w:val="0"/>
          <w:bCs w:val="0"/>
          <w:sz w:val="26"/>
          <w:szCs w:val="26"/>
          <w:u w:val="none"/>
          <w:lang w:val="en-US"/>
        </w:rPr>
      </w:pPr>
    </w:p>
    <w:p w14:paraId="746CB9A8">
      <w:pPr>
        <w:widowControl w:val="0"/>
        <w:numPr>
          <w:numId w:val="0"/>
        </w:numPr>
        <w:jc w:val="both"/>
        <w:rPr>
          <w:rFonts w:hint="default"/>
          <w:b w:val="0"/>
          <w:bCs w:val="0"/>
          <w:sz w:val="26"/>
          <w:szCs w:val="26"/>
          <w:u w:val="none"/>
          <w:lang w:val="en-US"/>
        </w:rPr>
      </w:pPr>
      <w:r>
        <w:rPr>
          <w:rFonts w:hint="default"/>
          <w:b w:val="0"/>
          <w:bCs w:val="0"/>
          <w:sz w:val="26"/>
          <w:szCs w:val="26"/>
          <w:u w:val="none"/>
          <w:lang w:val="en-US"/>
        </w:rPr>
        <w:t>Below are the key sections AI assistance was required</w:t>
      </w:r>
    </w:p>
    <w:p w14:paraId="781C1F56">
      <w:pPr>
        <w:widowControl w:val="0"/>
        <w:numPr>
          <w:numId w:val="0"/>
        </w:numPr>
        <w:jc w:val="both"/>
        <w:rPr>
          <w:rFonts w:hint="default"/>
          <w:b w:val="0"/>
          <w:bCs w:val="0"/>
          <w:sz w:val="26"/>
          <w:szCs w:val="26"/>
          <w:u w:val="none"/>
          <w:lang w:val="en-US"/>
        </w:rPr>
      </w:pPr>
    </w:p>
    <w:p w14:paraId="3747E36C">
      <w:pPr>
        <w:widowControl w:val="0"/>
        <w:numPr>
          <w:numId w:val="0"/>
        </w:numPr>
        <w:jc w:val="both"/>
        <w:rPr>
          <w:rFonts w:hint="default"/>
          <w:b w:val="0"/>
          <w:bCs w:val="0"/>
          <w:sz w:val="26"/>
          <w:szCs w:val="26"/>
          <w:u w:val="none"/>
          <w:lang w:val="en-US"/>
        </w:rPr>
      </w:pPr>
      <w:r>
        <w:rPr>
          <w:rFonts w:hint="default"/>
          <w:b/>
          <w:bCs/>
          <w:sz w:val="26"/>
          <w:szCs w:val="26"/>
          <w:u w:val="none"/>
          <w:lang w:val="en-US"/>
        </w:rPr>
        <w:t>Inside Airbnb Automated Downloader Scripts:</w:t>
      </w:r>
      <w:r>
        <w:rPr>
          <w:rFonts w:hint="default"/>
          <w:b w:val="0"/>
          <w:bCs w:val="0"/>
          <w:sz w:val="26"/>
          <w:szCs w:val="26"/>
          <w:u w:val="none"/>
          <w:lang w:val="en-US"/>
        </w:rPr>
        <w:t xml:space="preserve"> AI generated Python and shell scripting blocks utilizing urllib and requests to automate the programmatic downloading of compressed data blocks directly from the Inside Airbnb repository.</w:t>
      </w:r>
    </w:p>
    <w:p w14:paraId="3DCBD7FF">
      <w:pPr>
        <w:widowControl w:val="0"/>
        <w:numPr>
          <w:numId w:val="0"/>
        </w:numPr>
        <w:jc w:val="both"/>
        <w:rPr>
          <w:rFonts w:hint="default"/>
          <w:b w:val="0"/>
          <w:bCs w:val="0"/>
          <w:sz w:val="26"/>
          <w:szCs w:val="26"/>
          <w:u w:val="none"/>
          <w:lang w:val="en-US"/>
        </w:rPr>
      </w:pPr>
    </w:p>
    <w:p w14:paraId="534CD391">
      <w:pPr>
        <w:widowControl w:val="0"/>
        <w:numPr>
          <w:numId w:val="0"/>
        </w:numPr>
        <w:jc w:val="both"/>
        <w:rPr>
          <w:rFonts w:hint="default"/>
          <w:b w:val="0"/>
          <w:bCs w:val="0"/>
          <w:sz w:val="26"/>
          <w:szCs w:val="26"/>
          <w:u w:val="none"/>
          <w:lang w:val="en-US"/>
        </w:rPr>
      </w:pPr>
      <w:r>
        <w:rPr>
          <w:rFonts w:hint="default"/>
          <w:b/>
          <w:bCs/>
          <w:sz w:val="26"/>
          <w:szCs w:val="26"/>
          <w:u w:val="none"/>
          <w:lang w:val="en-US"/>
        </w:rPr>
        <w:t>Tabular Data Quality Matrix Formatting:</w:t>
      </w:r>
      <w:r>
        <w:rPr>
          <w:rFonts w:hint="default"/>
          <w:b w:val="0"/>
          <w:bCs w:val="0"/>
          <w:sz w:val="26"/>
          <w:szCs w:val="26"/>
          <w:u w:val="none"/>
          <w:lang w:val="en-US"/>
        </w:rPr>
        <w:t xml:space="preserve"> AI assisted in taking raw column-level profiling metrics and structuring them into a clean, Markdown-compatible table documenting null counts, missing rates, and analytical risks across all source tables.</w:t>
      </w:r>
    </w:p>
    <w:p w14:paraId="6A80B2DB">
      <w:pPr>
        <w:widowControl w:val="0"/>
        <w:numPr>
          <w:numId w:val="0"/>
        </w:numPr>
        <w:jc w:val="both"/>
        <w:rPr>
          <w:rFonts w:hint="default"/>
          <w:b w:val="0"/>
          <w:bCs w:val="0"/>
          <w:sz w:val="26"/>
          <w:szCs w:val="26"/>
          <w:u w:val="none"/>
          <w:lang w:val="en-US"/>
        </w:rPr>
      </w:pPr>
    </w:p>
    <w:p w14:paraId="00B3FA76">
      <w:pPr>
        <w:widowControl w:val="0"/>
        <w:numPr>
          <w:numId w:val="0"/>
        </w:numPr>
        <w:jc w:val="both"/>
        <w:rPr>
          <w:rFonts w:hint="default"/>
          <w:b w:val="0"/>
          <w:bCs w:val="0"/>
          <w:sz w:val="26"/>
          <w:szCs w:val="26"/>
          <w:u w:val="none"/>
          <w:lang w:val="en-US"/>
        </w:rPr>
      </w:pPr>
      <w:r>
        <w:rPr>
          <w:rFonts w:hint="default"/>
          <w:b/>
          <w:bCs/>
          <w:sz w:val="26"/>
          <w:szCs w:val="26"/>
          <w:u w:val="none"/>
          <w:lang w:val="en-US"/>
        </w:rPr>
        <w:t>SQL Regex Cleansing Logic:</w:t>
      </w:r>
      <w:r>
        <w:rPr>
          <w:rFonts w:hint="default"/>
          <w:b w:val="0"/>
          <w:bCs w:val="0"/>
          <w:sz w:val="26"/>
          <w:szCs w:val="26"/>
          <w:u w:val="none"/>
          <w:lang w:val="en-US"/>
        </w:rPr>
        <w:t xml:space="preserve"> AI generated standard REGEXP_REPLACE workflows to strip currency indicators (£) and thousands-separator commas (,) from text data fields, allowing string columns to safely convert into numeric variables.</w:t>
      </w:r>
    </w:p>
    <w:p w14:paraId="25811A21">
      <w:pPr>
        <w:widowControl w:val="0"/>
        <w:numPr>
          <w:numId w:val="0"/>
        </w:numPr>
        <w:jc w:val="both"/>
        <w:rPr>
          <w:rFonts w:hint="default"/>
          <w:b w:val="0"/>
          <w:bCs w:val="0"/>
          <w:sz w:val="26"/>
          <w:szCs w:val="26"/>
          <w:u w:val="none"/>
          <w:lang w:val="en-US"/>
        </w:rPr>
      </w:pPr>
    </w:p>
    <w:p w14:paraId="3F64D9FF">
      <w:pPr>
        <w:widowControl w:val="0"/>
        <w:numPr>
          <w:numId w:val="0"/>
        </w:numPr>
        <w:jc w:val="both"/>
        <w:rPr>
          <w:rFonts w:hint="default"/>
          <w:b w:val="0"/>
          <w:bCs w:val="0"/>
          <w:sz w:val="26"/>
          <w:szCs w:val="26"/>
          <w:u w:val="none"/>
          <w:lang w:val="en-US"/>
        </w:rPr>
      </w:pPr>
      <w:r>
        <w:rPr>
          <w:rFonts w:hint="default"/>
          <w:b/>
          <w:bCs/>
          <w:sz w:val="26"/>
          <w:szCs w:val="26"/>
          <w:u w:val="none"/>
          <w:lang w:val="en-US"/>
        </w:rPr>
        <w:t>Star Schema Dimensional Modeling:</w:t>
      </w:r>
      <w:r>
        <w:rPr>
          <w:rFonts w:hint="default"/>
          <w:b w:val="0"/>
          <w:bCs w:val="0"/>
          <w:sz w:val="26"/>
          <w:szCs w:val="26"/>
          <w:u w:val="none"/>
          <w:lang w:val="en-US"/>
        </w:rPr>
        <w:t xml:space="preserve"> AI assisted in organizing the raw staging attributes into a structured relational layout, defining a clear central fact table linked to separate host and listing dimension dimensions.</w:t>
      </w:r>
    </w:p>
    <w:p w14:paraId="36B911BA">
      <w:pPr>
        <w:widowControl w:val="0"/>
        <w:numPr>
          <w:numId w:val="0"/>
        </w:numPr>
        <w:jc w:val="both"/>
        <w:rPr>
          <w:rFonts w:hint="default"/>
          <w:b w:val="0"/>
          <w:bCs w:val="0"/>
          <w:sz w:val="26"/>
          <w:szCs w:val="26"/>
          <w:u w:val="none"/>
          <w:lang w:val="en-US"/>
        </w:rPr>
      </w:pPr>
    </w:p>
    <w:p w14:paraId="430426B8">
      <w:pPr>
        <w:widowControl w:val="0"/>
        <w:numPr>
          <w:numId w:val="0"/>
        </w:numPr>
        <w:jc w:val="both"/>
        <w:rPr>
          <w:rFonts w:hint="default"/>
          <w:b w:val="0"/>
          <w:bCs w:val="0"/>
          <w:sz w:val="26"/>
          <w:szCs w:val="26"/>
          <w:u w:val="none"/>
          <w:lang w:val="en-US"/>
        </w:rPr>
      </w:pPr>
      <w:r>
        <w:rPr>
          <w:rFonts w:hint="default"/>
          <w:b/>
          <w:bCs/>
          <w:sz w:val="26"/>
          <w:szCs w:val="26"/>
          <w:u w:val="none"/>
          <w:lang w:val="en-US"/>
        </w:rPr>
        <w:t>Geographic Price Gradient Interpretations:</w:t>
      </w:r>
      <w:r>
        <w:rPr>
          <w:rFonts w:hint="default"/>
          <w:b w:val="0"/>
          <w:bCs w:val="0"/>
          <w:sz w:val="26"/>
          <w:szCs w:val="26"/>
          <w:u w:val="none"/>
          <w:lang w:val="en-US"/>
        </w:rPr>
        <w:t xml:space="preserve"> AI translated raw boxplot distributions into corporate-level narratives that detailed why central tourist hubs anchor a high-variance luxury tier compared to compressed peripheral residential zones.</w:t>
      </w:r>
    </w:p>
    <w:p w14:paraId="2312156C">
      <w:pPr>
        <w:widowControl w:val="0"/>
        <w:numPr>
          <w:numId w:val="0"/>
        </w:numPr>
        <w:jc w:val="both"/>
        <w:rPr>
          <w:rFonts w:hint="default"/>
          <w:b w:val="0"/>
          <w:bCs w:val="0"/>
          <w:sz w:val="26"/>
          <w:szCs w:val="26"/>
          <w:u w:val="none"/>
          <w:lang w:val="en-US"/>
        </w:rPr>
      </w:pPr>
    </w:p>
    <w:p w14:paraId="7D6097A9">
      <w:pPr>
        <w:widowControl w:val="0"/>
        <w:numPr>
          <w:numId w:val="0"/>
        </w:numPr>
        <w:jc w:val="both"/>
        <w:rPr>
          <w:rFonts w:hint="default"/>
          <w:b w:val="0"/>
          <w:bCs w:val="0"/>
          <w:sz w:val="26"/>
          <w:szCs w:val="26"/>
          <w:u w:val="none"/>
          <w:lang w:val="en-US"/>
        </w:rPr>
      </w:pPr>
      <w:r>
        <w:rPr>
          <w:rFonts w:hint="default"/>
          <w:b/>
          <w:bCs/>
          <w:sz w:val="26"/>
          <w:szCs w:val="26"/>
          <w:u w:val="none"/>
          <w:lang w:val="en-US"/>
        </w:rPr>
        <w:t>Market Inventory Skewness Analysis:</w:t>
      </w:r>
      <w:r>
        <w:rPr>
          <w:rFonts w:hint="default"/>
          <w:b w:val="0"/>
          <w:bCs w:val="0"/>
          <w:sz w:val="26"/>
          <w:szCs w:val="26"/>
          <w:u w:val="none"/>
          <w:lang w:val="en-US"/>
        </w:rPr>
        <w:t xml:space="preserve"> AI used the mathematical gap between your median price ($130) and mean price ($159) to craft an executive narrative explaining how an elite sliver of luxury inventory pulls up market revenue averages.</w:t>
      </w:r>
    </w:p>
    <w:p w14:paraId="2237982D">
      <w:pPr>
        <w:widowControl w:val="0"/>
        <w:numPr>
          <w:numId w:val="0"/>
        </w:numPr>
        <w:jc w:val="both"/>
        <w:rPr>
          <w:rFonts w:hint="default"/>
          <w:b w:val="0"/>
          <w:bCs w:val="0"/>
          <w:sz w:val="26"/>
          <w:szCs w:val="26"/>
          <w:u w:val="none"/>
          <w:lang w:val="en-US"/>
        </w:rPr>
      </w:pPr>
    </w:p>
    <w:p w14:paraId="7E008AE4">
      <w:pPr>
        <w:widowControl w:val="0"/>
        <w:numPr>
          <w:numId w:val="0"/>
        </w:numPr>
        <w:jc w:val="both"/>
        <w:rPr>
          <w:rFonts w:hint="default"/>
          <w:b w:val="0"/>
          <w:bCs w:val="0"/>
          <w:sz w:val="26"/>
          <w:szCs w:val="26"/>
          <w:u w:val="none"/>
          <w:lang w:val="en-US"/>
        </w:rPr>
      </w:pPr>
      <w:r>
        <w:rPr>
          <w:rFonts w:hint="default"/>
          <w:b/>
          <w:bCs/>
          <w:sz w:val="26"/>
          <w:szCs w:val="26"/>
          <w:u w:val="none"/>
          <w:lang w:val="en-US"/>
        </w:rPr>
        <w:t>Property Classification Stratification:</w:t>
      </w:r>
      <w:r>
        <w:rPr>
          <w:rFonts w:hint="default"/>
          <w:b w:val="0"/>
          <w:bCs w:val="0"/>
          <w:sz w:val="26"/>
          <w:szCs w:val="26"/>
          <w:u w:val="none"/>
          <w:lang w:val="en-US"/>
        </w:rPr>
        <w:t xml:space="preserve"> AI drafted the operational interpretation of room-type spreads, detailing how private and shared options are bound to rigid budget floors while entire apartments operate as volatile, dynamically priced assets.</w:t>
      </w:r>
    </w:p>
    <w:p w14:paraId="5A2CBDF6">
      <w:pPr>
        <w:widowControl w:val="0"/>
        <w:numPr>
          <w:numId w:val="0"/>
        </w:numPr>
        <w:jc w:val="both"/>
        <w:rPr>
          <w:rFonts w:hint="default"/>
          <w:b w:val="0"/>
          <w:bCs w:val="0"/>
          <w:sz w:val="26"/>
          <w:szCs w:val="26"/>
          <w:u w:val="none"/>
          <w:lang w:val="en-US"/>
        </w:rPr>
      </w:pPr>
    </w:p>
    <w:p w14:paraId="34892A15">
      <w:pPr>
        <w:widowControl w:val="0"/>
        <w:numPr>
          <w:numId w:val="0"/>
        </w:numPr>
        <w:jc w:val="both"/>
        <w:rPr>
          <w:rFonts w:hint="default"/>
          <w:b w:val="0"/>
          <w:bCs w:val="0"/>
          <w:sz w:val="26"/>
          <w:szCs w:val="26"/>
          <w:u w:val="none"/>
          <w:lang w:val="en-US"/>
        </w:rPr>
      </w:pPr>
      <w:r>
        <w:rPr>
          <w:rFonts w:hint="default"/>
          <w:b/>
          <w:bCs/>
          <w:sz w:val="26"/>
          <w:szCs w:val="26"/>
          <w:u w:val="none"/>
          <w:lang w:val="en-US"/>
        </w:rPr>
        <w:t>Operator Portfolio Segmentation:</w:t>
      </w:r>
      <w:r>
        <w:rPr>
          <w:rFonts w:hint="default"/>
          <w:b w:val="0"/>
          <w:bCs w:val="0"/>
          <w:sz w:val="26"/>
          <w:szCs w:val="26"/>
          <w:u w:val="none"/>
          <w:lang w:val="en-US"/>
        </w:rPr>
        <w:t xml:space="preserve"> AI assisted in describing the behavioral differences between casual hosts and professional managers, highlighting how institutional operators use dynamic yield structures to shift their pricing curves rightward.</w:t>
      </w:r>
    </w:p>
    <w:p w14:paraId="76551C76">
      <w:pPr>
        <w:widowControl w:val="0"/>
        <w:numPr>
          <w:numId w:val="0"/>
        </w:numPr>
        <w:jc w:val="both"/>
        <w:rPr>
          <w:rFonts w:hint="default"/>
          <w:b w:val="0"/>
          <w:bCs w:val="0"/>
          <w:sz w:val="26"/>
          <w:szCs w:val="26"/>
          <w:u w:val="none"/>
          <w:lang w:val="en-US"/>
        </w:rPr>
      </w:pPr>
    </w:p>
    <w:p w14:paraId="34313ABC">
      <w:pPr>
        <w:widowControl w:val="0"/>
        <w:numPr>
          <w:numId w:val="0"/>
        </w:numPr>
        <w:jc w:val="both"/>
        <w:rPr>
          <w:rFonts w:hint="default"/>
          <w:b w:val="0"/>
          <w:bCs w:val="0"/>
          <w:sz w:val="26"/>
          <w:szCs w:val="26"/>
          <w:u w:val="none"/>
          <w:lang w:val="en-US"/>
        </w:rPr>
      </w:pPr>
      <w:r>
        <w:rPr>
          <w:rFonts w:hint="default"/>
          <w:b/>
          <w:bCs/>
          <w:sz w:val="26"/>
          <w:szCs w:val="26"/>
          <w:u w:val="none"/>
          <w:lang w:val="en-US"/>
        </w:rPr>
        <w:t>Pareto Supply Concentration Analysis:</w:t>
      </w:r>
      <w:r>
        <w:rPr>
          <w:rFonts w:hint="default"/>
          <w:b w:val="0"/>
          <w:bCs w:val="0"/>
          <w:sz w:val="26"/>
          <w:szCs w:val="26"/>
          <w:u w:val="none"/>
          <w:lang w:val="en-US"/>
        </w:rPr>
        <w:t xml:space="preserve"> AI formulated the business-ready description of your cumulative supply curve, explaining how a small commercial minority fundamentally dictates active platform inventory.</w:t>
      </w:r>
    </w:p>
    <w:p w14:paraId="1CB3F456">
      <w:pPr>
        <w:widowControl w:val="0"/>
        <w:numPr>
          <w:numId w:val="0"/>
        </w:numPr>
        <w:jc w:val="both"/>
        <w:rPr>
          <w:rFonts w:hint="default"/>
          <w:b w:val="0"/>
          <w:bCs w:val="0"/>
          <w:sz w:val="26"/>
          <w:szCs w:val="26"/>
          <w:u w:val="none"/>
          <w:lang w:val="en-US"/>
        </w:rPr>
      </w:pPr>
    </w:p>
    <w:p w14:paraId="5143BE73">
      <w:pPr>
        <w:widowControl w:val="0"/>
        <w:numPr>
          <w:numId w:val="0"/>
        </w:numPr>
        <w:jc w:val="both"/>
        <w:rPr>
          <w:rFonts w:hint="default"/>
          <w:b w:val="0"/>
          <w:bCs w:val="0"/>
          <w:sz w:val="26"/>
          <w:szCs w:val="26"/>
          <w:u w:val="none"/>
          <w:lang w:val="en-US"/>
        </w:rPr>
      </w:pPr>
      <w:r>
        <w:rPr>
          <w:rFonts w:hint="default"/>
          <w:b/>
          <w:bCs/>
          <w:sz w:val="26"/>
          <w:szCs w:val="26"/>
          <w:u w:val="none"/>
          <w:lang w:val="en-US"/>
        </w:rPr>
        <w:t>Booking Velocity Mechanics:</w:t>
      </w:r>
      <w:r>
        <w:rPr>
          <w:rFonts w:hint="default"/>
          <w:b w:val="0"/>
          <w:bCs w:val="0"/>
          <w:sz w:val="26"/>
          <w:szCs w:val="26"/>
          <w:u w:val="none"/>
          <w:lang w:val="en-US"/>
        </w:rPr>
        <w:t xml:space="preserve"> AI synthesized scatter plot data into a clear demand-side narrative, explaining the exponential decay in review volumes as pricing scales past the competitive sub-$150 threshold.</w:t>
      </w:r>
    </w:p>
    <w:p w14:paraId="5574FDBF">
      <w:pPr>
        <w:widowControl w:val="0"/>
        <w:numPr>
          <w:numId w:val="0"/>
        </w:numPr>
        <w:jc w:val="both"/>
        <w:rPr>
          <w:rFonts w:hint="default"/>
          <w:b w:val="0"/>
          <w:bCs w:val="0"/>
          <w:sz w:val="26"/>
          <w:szCs w:val="26"/>
          <w:u w:val="none"/>
          <w:lang w:val="en-US"/>
        </w:rPr>
      </w:pPr>
    </w:p>
    <w:p w14:paraId="5865BCB8">
      <w:pPr>
        <w:widowControl w:val="0"/>
        <w:numPr>
          <w:numId w:val="0"/>
        </w:numPr>
        <w:jc w:val="both"/>
        <w:rPr>
          <w:rFonts w:hint="default"/>
          <w:b w:val="0"/>
          <w:bCs w:val="0"/>
          <w:sz w:val="26"/>
          <w:szCs w:val="26"/>
          <w:u w:val="none"/>
          <w:lang w:val="en-US"/>
        </w:rPr>
      </w:pPr>
      <w:r>
        <w:rPr>
          <w:rFonts w:hint="default"/>
          <w:b/>
          <w:bCs/>
          <w:sz w:val="26"/>
          <w:szCs w:val="26"/>
          <w:u w:val="none"/>
          <w:lang w:val="en-US"/>
        </w:rPr>
        <w:t>Figure Catalog Captions Construction:</w:t>
      </w:r>
      <w:r>
        <w:rPr>
          <w:rFonts w:hint="default"/>
          <w:b w:val="0"/>
          <w:bCs w:val="0"/>
          <w:sz w:val="26"/>
          <w:szCs w:val="26"/>
          <w:u w:val="none"/>
          <w:lang w:val="en-US"/>
        </w:rPr>
        <w:t xml:space="preserve"> AI restructured raw analytical findings into professional, numbered figure captions paired with actionable corporate explanations for stakeholders.</w:t>
      </w:r>
    </w:p>
    <w:p w14:paraId="6BDFF139">
      <w:pPr>
        <w:widowControl w:val="0"/>
        <w:numPr>
          <w:numId w:val="0"/>
        </w:numPr>
        <w:jc w:val="both"/>
        <w:rPr>
          <w:rFonts w:hint="default"/>
          <w:b w:val="0"/>
          <w:bCs w:val="0"/>
          <w:sz w:val="26"/>
          <w:szCs w:val="26"/>
          <w:u w:val="none"/>
          <w:lang w:val="en-US"/>
        </w:rPr>
      </w:pPr>
    </w:p>
    <w:p w14:paraId="19105B7E">
      <w:pPr>
        <w:widowControl w:val="0"/>
        <w:numPr>
          <w:numId w:val="0"/>
        </w:numPr>
        <w:jc w:val="both"/>
        <w:rPr>
          <w:rFonts w:hint="default"/>
          <w:b w:val="0"/>
          <w:bCs w:val="0"/>
          <w:sz w:val="26"/>
          <w:szCs w:val="26"/>
          <w:u w:val="none"/>
          <w:lang w:val="en-US"/>
        </w:rPr>
      </w:pPr>
      <w:r>
        <w:rPr>
          <w:rFonts w:hint="default"/>
          <w:b/>
          <w:bCs/>
          <w:sz w:val="26"/>
          <w:szCs w:val="26"/>
          <w:u w:val="none"/>
          <w:lang w:val="en-US"/>
        </w:rPr>
        <w:t>Business Recommendations Generation:</w:t>
      </w:r>
      <w:r>
        <w:rPr>
          <w:rFonts w:hint="default"/>
          <w:b w:val="0"/>
          <w:bCs w:val="0"/>
          <w:sz w:val="26"/>
          <w:szCs w:val="26"/>
          <w:u w:val="none"/>
          <w:lang w:val="en-US"/>
        </w:rPr>
        <w:t xml:space="preserve"> AI assisted in converting your core exploratory findings into clear, prescriptive strategic takeaways tailored for property operators, investors, and competitive intelligence tools.</w:t>
      </w:r>
    </w:p>
    <w:p w14:paraId="03E1BAF6">
      <w:pPr>
        <w:widowControl w:val="0"/>
        <w:numPr>
          <w:numId w:val="0"/>
        </w:numPr>
        <w:jc w:val="both"/>
        <w:rPr>
          <w:rFonts w:hint="default"/>
          <w:b w:val="0"/>
          <w:bCs w:val="0"/>
          <w:sz w:val="26"/>
          <w:szCs w:val="26"/>
          <w:u w:val="none"/>
          <w:lang w:val="en-US"/>
        </w:rPr>
      </w:pPr>
    </w:p>
    <w:p w14:paraId="2286222D">
      <w:pPr>
        <w:widowControl w:val="0"/>
        <w:numPr>
          <w:numId w:val="0"/>
        </w:numPr>
        <w:jc w:val="both"/>
        <w:rPr>
          <w:rFonts w:hint="default"/>
          <w:b w:val="0"/>
          <w:bCs w:val="0"/>
          <w:sz w:val="26"/>
          <w:szCs w:val="26"/>
          <w:u w:val="none"/>
          <w:lang w:val="en-US"/>
        </w:rPr>
      </w:pPr>
      <w:r>
        <w:rPr>
          <w:rFonts w:hint="default"/>
          <w:b/>
          <w:bCs/>
          <w:sz w:val="26"/>
          <w:szCs w:val="26"/>
          <w:u w:val="none"/>
          <w:lang w:val="en-US"/>
        </w:rPr>
        <w:t>Cross-City Multi-Query Purging:</w:t>
      </w:r>
      <w:r>
        <w:rPr>
          <w:rFonts w:hint="default"/>
          <w:b w:val="0"/>
          <w:bCs w:val="0"/>
          <w:sz w:val="26"/>
          <w:szCs w:val="26"/>
          <w:u w:val="none"/>
          <w:lang w:val="en-US"/>
        </w:rPr>
        <w:t xml:space="preserve"> AI systematically extracted and removed all prior mentions, variables, and comparison parameters relating to the Paris ecosystem once it was verified that your active data profiles only contained London assets.</w:t>
      </w:r>
    </w:p>
    <w:p w14:paraId="7AB71AEC">
      <w:pPr>
        <w:widowControl w:val="0"/>
        <w:numPr>
          <w:numId w:val="0"/>
        </w:numPr>
        <w:jc w:val="both"/>
        <w:rPr>
          <w:rFonts w:hint="default"/>
          <w:b w:val="0"/>
          <w:bCs w:val="0"/>
          <w:sz w:val="26"/>
          <w:szCs w:val="26"/>
          <w:u w:val="none"/>
          <w:lang w:val="en-US"/>
        </w:rPr>
      </w:pPr>
    </w:p>
    <w:p w14:paraId="5D2EEF0F">
      <w:pPr>
        <w:widowControl w:val="0"/>
        <w:numPr>
          <w:numId w:val="0"/>
        </w:numPr>
        <w:jc w:val="both"/>
        <w:rPr>
          <w:rFonts w:hint="default"/>
          <w:b w:val="0"/>
          <w:bCs w:val="0"/>
          <w:sz w:val="26"/>
          <w:szCs w:val="26"/>
          <w:u w:val="none"/>
          <w:lang w:val="en-US"/>
        </w:rPr>
      </w:pPr>
      <w:r>
        <w:rPr>
          <w:rFonts w:hint="default"/>
          <w:b/>
          <w:bCs/>
          <w:sz w:val="26"/>
          <w:szCs w:val="26"/>
          <w:u w:val="none"/>
          <w:lang w:val="en-US"/>
        </w:rPr>
        <w:t>Multi-Document Draft Ingestion:</w:t>
      </w:r>
      <w:r>
        <w:rPr>
          <w:rFonts w:hint="default"/>
          <w:b w:val="0"/>
          <w:bCs w:val="0"/>
          <w:sz w:val="26"/>
          <w:szCs w:val="26"/>
          <w:u w:val="none"/>
          <w:lang w:val="en-US"/>
        </w:rPr>
        <w:t xml:space="preserve"> AI parsed and consolidated raw profiling inputs spread across three separate source drafts (dataset_familiarization.docx, data_engineering.docx, and Data Analysis.docx) to stitch them into a single, cohesive report layout.</w:t>
      </w:r>
    </w:p>
    <w:p w14:paraId="2AF6D8E6">
      <w:pPr>
        <w:widowControl w:val="0"/>
        <w:numPr>
          <w:numId w:val="0"/>
        </w:numPr>
        <w:jc w:val="both"/>
        <w:rPr>
          <w:rFonts w:hint="default"/>
          <w:b w:val="0"/>
          <w:bCs w:val="0"/>
          <w:sz w:val="26"/>
          <w:szCs w:val="26"/>
          <w:u w:val="none"/>
          <w:lang w:val="en-US"/>
        </w:rPr>
      </w:pPr>
    </w:p>
    <w:p w14:paraId="0AE1D876">
      <w:pPr>
        <w:widowControl w:val="0"/>
        <w:numPr>
          <w:numId w:val="0"/>
        </w:numPr>
        <w:jc w:val="both"/>
        <w:rPr>
          <w:rFonts w:hint="default"/>
          <w:b/>
          <w:bCs/>
          <w:sz w:val="26"/>
          <w:szCs w:val="26"/>
          <w:u w:val="none"/>
          <w:lang w:val="en-US"/>
        </w:rPr>
      </w:pPr>
      <w:r>
        <w:rPr>
          <w:rFonts w:hint="default"/>
          <w:b/>
          <w:bCs/>
          <w:sz w:val="26"/>
          <w:szCs w:val="26"/>
          <w:u w:val="none"/>
          <w:lang w:val="en-US"/>
        </w:rPr>
        <w:t>11.3 Prompts Used</w:t>
      </w:r>
    </w:p>
    <w:p w14:paraId="4ACC0571">
      <w:pPr>
        <w:widowControl w:val="0"/>
        <w:numPr>
          <w:numId w:val="0"/>
        </w:numPr>
        <w:jc w:val="both"/>
        <w:rPr>
          <w:rFonts w:hint="default"/>
          <w:b/>
          <w:bCs/>
          <w:sz w:val="26"/>
          <w:szCs w:val="26"/>
          <w:u w:val="none"/>
          <w:lang w:val="en-US"/>
        </w:rPr>
      </w:pPr>
    </w:p>
    <w:p w14:paraId="1A701D91">
      <w:pPr>
        <w:widowControl w:val="0"/>
        <w:numPr>
          <w:numId w:val="0"/>
        </w:numPr>
        <w:jc w:val="both"/>
        <w:rPr>
          <w:rFonts w:hint="default"/>
          <w:b/>
          <w:bCs/>
          <w:sz w:val="26"/>
          <w:szCs w:val="26"/>
          <w:u w:val="none"/>
          <w:lang w:val="en-US"/>
        </w:rPr>
      </w:pPr>
      <w:r>
        <w:rPr>
          <w:rFonts w:hint="default"/>
          <w:b/>
          <w:bCs/>
          <w:sz w:val="26"/>
          <w:szCs w:val="26"/>
          <w:u w:val="none"/>
          <w:lang w:val="en-US"/>
        </w:rPr>
        <w:t>Prioritizing Assessment Challenges according to schedule</w:t>
      </w:r>
    </w:p>
    <w:p w14:paraId="14707FE5">
      <w:pPr>
        <w:widowControl w:val="0"/>
        <w:numPr>
          <w:numId w:val="0"/>
        </w:numPr>
        <w:jc w:val="both"/>
        <w:rPr>
          <w:rFonts w:hint="default"/>
          <w:b/>
          <w:bCs/>
          <w:sz w:val="26"/>
          <w:szCs w:val="26"/>
          <w:u w:val="none"/>
          <w:lang w:val="en-US"/>
        </w:rPr>
      </w:pPr>
    </w:p>
    <w:p w14:paraId="6124CBA7">
      <w:pPr>
        <w:widowControl w:val="0"/>
        <w:numPr>
          <w:numId w:val="0"/>
        </w:numPr>
        <w:jc w:val="both"/>
      </w:pPr>
      <w:r>
        <w:rPr>
          <w:bdr w:val="single" w:sz="4" w:space="0"/>
        </w:rPr>
        <w:drawing>
          <wp:inline distT="0" distB="0" distL="114300" distR="114300">
            <wp:extent cx="4937760" cy="2502535"/>
            <wp:effectExtent l="0" t="0" r="2540" b="1206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20"/>
                    <a:stretch>
                      <a:fillRect/>
                    </a:stretch>
                  </pic:blipFill>
                  <pic:spPr>
                    <a:xfrm>
                      <a:off x="0" y="0"/>
                      <a:ext cx="4937760" cy="2502535"/>
                    </a:xfrm>
                    <a:prstGeom prst="rect">
                      <a:avLst/>
                    </a:prstGeom>
                    <a:noFill/>
                    <a:ln>
                      <a:noFill/>
                    </a:ln>
                  </pic:spPr>
                </pic:pic>
              </a:graphicData>
            </a:graphic>
          </wp:inline>
        </w:drawing>
      </w:r>
    </w:p>
    <w:p w14:paraId="58CD4C47">
      <w:pPr>
        <w:widowControl w:val="0"/>
        <w:numPr>
          <w:numId w:val="0"/>
        </w:numPr>
        <w:jc w:val="both"/>
      </w:pPr>
    </w:p>
    <w:p w14:paraId="6BAE6DAA">
      <w:pPr>
        <w:widowControl w:val="0"/>
        <w:numPr>
          <w:numId w:val="0"/>
        </w:numPr>
        <w:jc w:val="both"/>
        <w:rPr>
          <w:rFonts w:hint="default"/>
          <w:lang w:val="en-US"/>
        </w:rPr>
      </w:pPr>
    </w:p>
    <w:p w14:paraId="57CC51F1">
      <w:pPr>
        <w:widowControl w:val="0"/>
        <w:numPr>
          <w:numId w:val="0"/>
        </w:numPr>
        <w:jc w:val="both"/>
        <w:rPr>
          <w:rFonts w:hint="default"/>
          <w:lang w:val="en-US"/>
        </w:rPr>
      </w:pPr>
    </w:p>
    <w:p w14:paraId="4972BB80">
      <w:pPr>
        <w:widowControl w:val="0"/>
        <w:numPr>
          <w:numId w:val="0"/>
        </w:numPr>
        <w:jc w:val="both"/>
        <w:rPr>
          <w:rFonts w:hint="default"/>
          <w:lang w:val="en-US"/>
        </w:rPr>
      </w:pPr>
    </w:p>
    <w:p w14:paraId="37146011">
      <w:pPr>
        <w:widowControl w:val="0"/>
        <w:numPr>
          <w:numId w:val="0"/>
        </w:numPr>
        <w:jc w:val="both"/>
        <w:rPr>
          <w:rFonts w:hint="default"/>
          <w:lang w:val="en-US"/>
        </w:rPr>
      </w:pPr>
    </w:p>
    <w:p w14:paraId="763B5F45">
      <w:pPr>
        <w:widowControl w:val="0"/>
        <w:numPr>
          <w:numId w:val="0"/>
        </w:numPr>
        <w:jc w:val="both"/>
        <w:rPr>
          <w:rFonts w:hint="default"/>
          <w:sz w:val="26"/>
          <w:szCs w:val="26"/>
          <w:lang w:val="en-US"/>
        </w:rPr>
      </w:pPr>
      <w:r>
        <w:rPr>
          <w:rFonts w:hint="default"/>
          <w:b/>
          <w:bCs/>
          <w:sz w:val="26"/>
          <w:szCs w:val="26"/>
          <w:lang w:val="en-US"/>
        </w:rPr>
        <w:t>Getting guidance on how to get started</w:t>
      </w:r>
    </w:p>
    <w:p w14:paraId="2A740588">
      <w:pPr>
        <w:widowControl w:val="0"/>
        <w:numPr>
          <w:numId w:val="0"/>
        </w:numPr>
        <w:jc w:val="both"/>
      </w:pPr>
      <w:r>
        <w:rPr>
          <w:bdr w:val="single" w:sz="4" w:space="0"/>
        </w:rPr>
        <w:drawing>
          <wp:inline distT="0" distB="0" distL="114300" distR="114300">
            <wp:extent cx="4864735" cy="1418590"/>
            <wp:effectExtent l="0" t="0" r="12065" b="381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1"/>
                    <a:stretch>
                      <a:fillRect/>
                    </a:stretch>
                  </pic:blipFill>
                  <pic:spPr>
                    <a:xfrm>
                      <a:off x="0" y="0"/>
                      <a:ext cx="4864735" cy="1418590"/>
                    </a:xfrm>
                    <a:prstGeom prst="rect">
                      <a:avLst/>
                    </a:prstGeom>
                    <a:noFill/>
                    <a:ln>
                      <a:noFill/>
                    </a:ln>
                  </pic:spPr>
                </pic:pic>
              </a:graphicData>
            </a:graphic>
          </wp:inline>
        </w:drawing>
      </w:r>
    </w:p>
    <w:p w14:paraId="1FF8B3E6">
      <w:pPr>
        <w:widowControl w:val="0"/>
        <w:numPr>
          <w:numId w:val="0"/>
        </w:numPr>
        <w:jc w:val="both"/>
        <w:rPr>
          <w:rFonts w:hint="default"/>
          <w:b/>
          <w:bCs/>
          <w:sz w:val="26"/>
          <w:szCs w:val="26"/>
          <w:lang w:val="en-US"/>
        </w:rPr>
      </w:pPr>
    </w:p>
    <w:p w14:paraId="2A810C42">
      <w:pPr>
        <w:widowControl w:val="0"/>
        <w:numPr>
          <w:numId w:val="0"/>
        </w:numPr>
        <w:jc w:val="both"/>
        <w:rPr>
          <w:rFonts w:hint="default"/>
          <w:b/>
          <w:bCs/>
          <w:sz w:val="26"/>
          <w:szCs w:val="26"/>
          <w:lang w:val="en-US"/>
        </w:rPr>
      </w:pPr>
      <w:r>
        <w:rPr>
          <w:rFonts w:hint="default"/>
          <w:b/>
          <w:bCs/>
          <w:sz w:val="26"/>
          <w:szCs w:val="26"/>
          <w:lang w:val="en-US"/>
        </w:rPr>
        <w:t>Reassuring if the DuckDB CLI is an ideal choice for a brief Data visualization</w:t>
      </w:r>
    </w:p>
    <w:p w14:paraId="508D917A">
      <w:pPr>
        <w:widowControl w:val="0"/>
        <w:numPr>
          <w:numId w:val="0"/>
        </w:numPr>
        <w:jc w:val="both"/>
        <w:rPr>
          <w:rFonts w:hint="default"/>
          <w:lang w:val="en-US"/>
        </w:rPr>
      </w:pPr>
      <w:r>
        <w:rPr>
          <w:bdr w:val="single" w:sz="4" w:space="0"/>
        </w:rPr>
        <w:drawing>
          <wp:inline distT="0" distB="0" distL="114300" distR="114300">
            <wp:extent cx="6536690" cy="1447165"/>
            <wp:effectExtent l="0" t="0" r="3810" b="635"/>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22"/>
                    <a:stretch>
                      <a:fillRect/>
                    </a:stretch>
                  </pic:blipFill>
                  <pic:spPr>
                    <a:xfrm>
                      <a:off x="0" y="0"/>
                      <a:ext cx="6536690" cy="1447165"/>
                    </a:xfrm>
                    <a:prstGeom prst="rect">
                      <a:avLst/>
                    </a:prstGeom>
                    <a:noFill/>
                    <a:ln>
                      <a:noFill/>
                    </a:ln>
                  </pic:spPr>
                </pic:pic>
              </a:graphicData>
            </a:graphic>
          </wp:inline>
        </w:drawing>
      </w:r>
    </w:p>
    <w:p w14:paraId="59D16A43">
      <w:pPr>
        <w:widowControl w:val="0"/>
        <w:numPr>
          <w:numId w:val="0"/>
        </w:numPr>
        <w:jc w:val="both"/>
        <w:rPr>
          <w:rFonts w:hint="default"/>
          <w:b w:val="0"/>
          <w:bCs w:val="0"/>
          <w:sz w:val="26"/>
          <w:szCs w:val="26"/>
          <w:u w:val="none"/>
          <w:lang w:val="en-US"/>
        </w:rPr>
      </w:pPr>
    </w:p>
    <w:p w14:paraId="0E75F22C">
      <w:pPr>
        <w:widowControl w:val="0"/>
        <w:numPr>
          <w:numId w:val="0"/>
        </w:numPr>
        <w:jc w:val="both"/>
        <w:rPr>
          <w:rFonts w:hint="default"/>
          <w:b/>
          <w:bCs/>
          <w:sz w:val="26"/>
          <w:szCs w:val="26"/>
          <w:u w:val="none"/>
          <w:lang w:val="en-US"/>
        </w:rPr>
      </w:pPr>
      <w:r>
        <w:rPr>
          <w:rFonts w:hint="default"/>
          <w:b/>
          <w:bCs/>
          <w:sz w:val="26"/>
          <w:szCs w:val="26"/>
          <w:u w:val="none"/>
          <w:lang w:val="en-US"/>
        </w:rPr>
        <w:t>Extracting details of the files for analysis</w:t>
      </w:r>
    </w:p>
    <w:p w14:paraId="55189985">
      <w:pPr>
        <w:widowControl w:val="0"/>
        <w:numPr>
          <w:numId w:val="0"/>
        </w:numPr>
        <w:jc w:val="both"/>
        <w:rPr>
          <w:rFonts w:hint="default"/>
          <w:b w:val="0"/>
          <w:bCs w:val="0"/>
          <w:sz w:val="26"/>
          <w:szCs w:val="26"/>
          <w:u w:val="none"/>
          <w:lang w:val="en-US"/>
        </w:rPr>
      </w:pPr>
      <w:r>
        <w:rPr>
          <w:bdr w:val="single" w:sz="4" w:space="0"/>
        </w:rPr>
        <w:drawing>
          <wp:inline distT="0" distB="0" distL="114300" distR="114300">
            <wp:extent cx="6539230" cy="1350645"/>
            <wp:effectExtent l="0" t="0" r="1270" b="8255"/>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23"/>
                    <a:stretch>
                      <a:fillRect/>
                    </a:stretch>
                  </pic:blipFill>
                  <pic:spPr>
                    <a:xfrm>
                      <a:off x="0" y="0"/>
                      <a:ext cx="6539230" cy="1350645"/>
                    </a:xfrm>
                    <a:prstGeom prst="rect">
                      <a:avLst/>
                    </a:prstGeom>
                    <a:noFill/>
                    <a:ln>
                      <a:noFill/>
                    </a:ln>
                  </pic:spPr>
                </pic:pic>
              </a:graphicData>
            </a:graphic>
          </wp:inline>
        </w:drawing>
      </w:r>
    </w:p>
    <w:p w14:paraId="12573ABC">
      <w:pPr>
        <w:widowControl w:val="0"/>
        <w:numPr>
          <w:numId w:val="0"/>
        </w:numPr>
        <w:jc w:val="both"/>
        <w:rPr>
          <w:rFonts w:hint="default"/>
          <w:b/>
          <w:bCs/>
          <w:sz w:val="26"/>
          <w:szCs w:val="26"/>
          <w:u w:val="none"/>
          <w:lang w:val="en-US"/>
        </w:rPr>
      </w:pPr>
    </w:p>
    <w:p w14:paraId="1A5DBF88">
      <w:pPr>
        <w:widowControl w:val="0"/>
        <w:numPr>
          <w:numId w:val="0"/>
        </w:numPr>
        <w:jc w:val="both"/>
        <w:rPr>
          <w:rFonts w:hint="default"/>
          <w:b/>
          <w:bCs/>
          <w:sz w:val="26"/>
          <w:szCs w:val="26"/>
          <w:u w:val="none"/>
          <w:lang w:val="en-US"/>
        </w:rPr>
      </w:pPr>
      <w:r>
        <w:rPr>
          <w:rFonts w:hint="default"/>
          <w:b/>
          <w:bCs/>
          <w:sz w:val="26"/>
          <w:szCs w:val="26"/>
          <w:u w:val="none"/>
          <w:lang w:val="en-US"/>
        </w:rPr>
        <w:t>Clarify why price fields are indicated as VARCHAR</w:t>
      </w:r>
    </w:p>
    <w:p w14:paraId="7E176F8E">
      <w:pPr>
        <w:widowControl w:val="0"/>
        <w:numPr>
          <w:numId w:val="0"/>
        </w:numPr>
        <w:jc w:val="both"/>
      </w:pPr>
      <w:r>
        <w:rPr>
          <w:bdr w:val="single" w:sz="4" w:space="0"/>
        </w:rPr>
        <w:drawing>
          <wp:inline distT="0" distB="0" distL="114300" distR="114300">
            <wp:extent cx="6534785" cy="1312545"/>
            <wp:effectExtent l="0" t="0" r="5715" b="8255"/>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24"/>
                    <a:stretch>
                      <a:fillRect/>
                    </a:stretch>
                  </pic:blipFill>
                  <pic:spPr>
                    <a:xfrm>
                      <a:off x="0" y="0"/>
                      <a:ext cx="6534785" cy="1312545"/>
                    </a:xfrm>
                    <a:prstGeom prst="rect">
                      <a:avLst/>
                    </a:prstGeom>
                    <a:noFill/>
                    <a:ln>
                      <a:noFill/>
                    </a:ln>
                  </pic:spPr>
                </pic:pic>
              </a:graphicData>
            </a:graphic>
          </wp:inline>
        </w:drawing>
      </w:r>
    </w:p>
    <w:p w14:paraId="5052817C">
      <w:pPr>
        <w:widowControl w:val="0"/>
        <w:numPr>
          <w:numId w:val="0"/>
        </w:numPr>
        <w:jc w:val="both"/>
        <w:rPr>
          <w:rFonts w:hint="default"/>
          <w:lang w:val="en-US"/>
        </w:rPr>
      </w:pPr>
    </w:p>
    <w:p w14:paraId="63763F92">
      <w:pPr>
        <w:widowControl w:val="0"/>
        <w:numPr>
          <w:numId w:val="0"/>
        </w:numPr>
        <w:jc w:val="both"/>
        <w:rPr>
          <w:rFonts w:hint="default"/>
          <w:lang w:val="en-US"/>
        </w:rPr>
      </w:pPr>
    </w:p>
    <w:p w14:paraId="1BB2C278">
      <w:pPr>
        <w:widowControl w:val="0"/>
        <w:numPr>
          <w:numId w:val="0"/>
        </w:numPr>
        <w:jc w:val="both"/>
        <w:rPr>
          <w:rFonts w:hint="default"/>
          <w:b/>
          <w:bCs/>
          <w:sz w:val="26"/>
          <w:szCs w:val="26"/>
          <w:lang w:val="en-US"/>
        </w:rPr>
      </w:pPr>
      <w:r>
        <w:rPr>
          <w:rFonts w:hint="default"/>
          <w:b/>
          <w:bCs/>
          <w:sz w:val="26"/>
          <w:szCs w:val="26"/>
          <w:lang w:val="en-US"/>
        </w:rPr>
        <w:t>Building Data Downloading pipeline</w:t>
      </w:r>
    </w:p>
    <w:p w14:paraId="494F0FE3">
      <w:pPr>
        <w:widowControl w:val="0"/>
        <w:numPr>
          <w:numId w:val="0"/>
        </w:numPr>
        <w:jc w:val="both"/>
      </w:pPr>
      <w:r>
        <w:rPr>
          <w:bdr w:val="single" w:sz="4" w:space="0"/>
        </w:rPr>
        <w:drawing>
          <wp:inline distT="0" distB="0" distL="114300" distR="114300">
            <wp:extent cx="6525260" cy="744855"/>
            <wp:effectExtent l="0" t="0" r="2540" b="4445"/>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pic:cNvPicPr>
                  </pic:nvPicPr>
                  <pic:blipFill>
                    <a:blip r:embed="rId25"/>
                    <a:stretch>
                      <a:fillRect/>
                    </a:stretch>
                  </pic:blipFill>
                  <pic:spPr>
                    <a:xfrm>
                      <a:off x="0" y="0"/>
                      <a:ext cx="6525260" cy="744855"/>
                    </a:xfrm>
                    <a:prstGeom prst="rect">
                      <a:avLst/>
                    </a:prstGeom>
                    <a:noFill/>
                    <a:ln>
                      <a:noFill/>
                    </a:ln>
                  </pic:spPr>
                </pic:pic>
              </a:graphicData>
            </a:graphic>
          </wp:inline>
        </w:drawing>
      </w:r>
    </w:p>
    <w:p w14:paraId="6AE38F84">
      <w:pPr>
        <w:widowControl w:val="0"/>
        <w:numPr>
          <w:numId w:val="0"/>
        </w:numPr>
        <w:jc w:val="both"/>
      </w:pPr>
    </w:p>
    <w:p w14:paraId="77604B22">
      <w:pPr>
        <w:widowControl w:val="0"/>
        <w:numPr>
          <w:numId w:val="0"/>
        </w:numPr>
        <w:jc w:val="both"/>
        <w:rPr>
          <w:rFonts w:hint="default"/>
          <w:sz w:val="26"/>
          <w:szCs w:val="26"/>
          <w:lang w:val="en-US"/>
        </w:rPr>
      </w:pPr>
    </w:p>
    <w:p w14:paraId="59EEA71D">
      <w:pPr>
        <w:widowControl w:val="0"/>
        <w:numPr>
          <w:numId w:val="0"/>
        </w:numPr>
        <w:jc w:val="both"/>
        <w:rPr>
          <w:rFonts w:hint="default"/>
          <w:b/>
          <w:bCs/>
          <w:sz w:val="26"/>
          <w:szCs w:val="26"/>
          <w:lang w:val="en-US"/>
        </w:rPr>
      </w:pPr>
      <w:r>
        <w:rPr>
          <w:rFonts w:hint="default"/>
          <w:b/>
          <w:bCs/>
          <w:sz w:val="26"/>
          <w:szCs w:val="26"/>
          <w:lang w:val="en-US"/>
        </w:rPr>
        <w:t>Clarifying which chart types are better for data visualisation</w:t>
      </w:r>
    </w:p>
    <w:p w14:paraId="20668AF4">
      <w:pPr>
        <w:widowControl w:val="0"/>
        <w:numPr>
          <w:numId w:val="0"/>
        </w:numPr>
        <w:jc w:val="both"/>
      </w:pPr>
      <w:r>
        <w:rPr>
          <w:bdr w:val="single" w:sz="4" w:space="0"/>
        </w:rPr>
        <w:drawing>
          <wp:inline distT="0" distB="0" distL="114300" distR="114300">
            <wp:extent cx="6535420" cy="1248410"/>
            <wp:effectExtent l="0" t="0" r="5080" b="889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pic:cNvPicPr>
                  </pic:nvPicPr>
                  <pic:blipFill>
                    <a:blip r:embed="rId26"/>
                    <a:stretch>
                      <a:fillRect/>
                    </a:stretch>
                  </pic:blipFill>
                  <pic:spPr>
                    <a:xfrm>
                      <a:off x="0" y="0"/>
                      <a:ext cx="6535420" cy="1248410"/>
                    </a:xfrm>
                    <a:prstGeom prst="rect">
                      <a:avLst/>
                    </a:prstGeom>
                    <a:noFill/>
                    <a:ln>
                      <a:noFill/>
                    </a:ln>
                  </pic:spPr>
                </pic:pic>
              </a:graphicData>
            </a:graphic>
          </wp:inline>
        </w:drawing>
      </w:r>
    </w:p>
    <w:p w14:paraId="280985EF">
      <w:pPr>
        <w:widowControl w:val="0"/>
        <w:numPr>
          <w:numId w:val="0"/>
        </w:numPr>
        <w:jc w:val="both"/>
      </w:pPr>
    </w:p>
    <w:p w14:paraId="24B45D57">
      <w:pPr>
        <w:widowControl w:val="0"/>
        <w:numPr>
          <w:numId w:val="0"/>
        </w:numPr>
        <w:jc w:val="both"/>
        <w:rPr>
          <w:rFonts w:hint="default"/>
          <w:b/>
          <w:bCs/>
          <w:sz w:val="26"/>
          <w:szCs w:val="26"/>
          <w:lang w:val="en-US"/>
        </w:rPr>
      </w:pPr>
      <w:r>
        <w:rPr>
          <w:rFonts w:hint="default"/>
          <w:b/>
          <w:bCs/>
          <w:sz w:val="26"/>
          <w:szCs w:val="26"/>
          <w:lang w:val="en-US"/>
        </w:rPr>
        <w:t>Requesting assistance on a plot</w:t>
      </w:r>
    </w:p>
    <w:p w14:paraId="1450960B">
      <w:pPr>
        <w:widowControl w:val="0"/>
        <w:numPr>
          <w:numId w:val="0"/>
        </w:numPr>
        <w:jc w:val="both"/>
      </w:pPr>
      <w:r>
        <w:rPr>
          <w:bdr w:val="single" w:sz="4" w:space="0"/>
        </w:rPr>
        <w:drawing>
          <wp:inline distT="0" distB="0" distL="114300" distR="114300">
            <wp:extent cx="6532245" cy="1351915"/>
            <wp:effectExtent l="0" t="0" r="8255" b="6985"/>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27"/>
                    <a:stretch>
                      <a:fillRect/>
                    </a:stretch>
                  </pic:blipFill>
                  <pic:spPr>
                    <a:xfrm>
                      <a:off x="0" y="0"/>
                      <a:ext cx="6532245" cy="1351915"/>
                    </a:xfrm>
                    <a:prstGeom prst="rect">
                      <a:avLst/>
                    </a:prstGeom>
                    <a:noFill/>
                    <a:ln>
                      <a:noFill/>
                    </a:ln>
                  </pic:spPr>
                </pic:pic>
              </a:graphicData>
            </a:graphic>
          </wp:inline>
        </w:drawing>
      </w:r>
    </w:p>
    <w:p w14:paraId="0B1F5A4F">
      <w:pPr>
        <w:widowControl w:val="0"/>
        <w:numPr>
          <w:numId w:val="0"/>
        </w:numPr>
        <w:jc w:val="both"/>
        <w:rPr>
          <w:sz w:val="26"/>
          <w:szCs w:val="26"/>
        </w:rPr>
      </w:pPr>
    </w:p>
    <w:p w14:paraId="4917D378">
      <w:pPr>
        <w:widowControl w:val="0"/>
        <w:numPr>
          <w:numId w:val="0"/>
        </w:numPr>
        <w:jc w:val="both"/>
        <w:rPr>
          <w:rFonts w:hint="default"/>
          <w:b/>
          <w:bCs/>
          <w:sz w:val="26"/>
          <w:szCs w:val="26"/>
          <w:lang w:val="en-US"/>
        </w:rPr>
      </w:pPr>
      <w:r>
        <w:rPr>
          <w:rFonts w:hint="default"/>
          <w:b/>
          <w:bCs/>
          <w:sz w:val="26"/>
          <w:szCs w:val="26"/>
          <w:lang w:val="en-US"/>
        </w:rPr>
        <w:t>Plotting prices against locations</w:t>
      </w:r>
    </w:p>
    <w:p w14:paraId="36A324D5">
      <w:pPr>
        <w:widowControl w:val="0"/>
        <w:numPr>
          <w:numId w:val="0"/>
        </w:numPr>
        <w:jc w:val="both"/>
      </w:pPr>
      <w:r>
        <w:rPr>
          <w:bdr w:val="single" w:sz="4" w:space="0"/>
        </w:rPr>
        <w:drawing>
          <wp:inline distT="0" distB="0" distL="114300" distR="114300">
            <wp:extent cx="6537325" cy="703580"/>
            <wp:effectExtent l="0" t="0" r="3175" b="762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pic:cNvPicPr>
                  </pic:nvPicPr>
                  <pic:blipFill>
                    <a:blip r:embed="rId28"/>
                    <a:stretch>
                      <a:fillRect/>
                    </a:stretch>
                  </pic:blipFill>
                  <pic:spPr>
                    <a:xfrm>
                      <a:off x="0" y="0"/>
                      <a:ext cx="6537325" cy="703580"/>
                    </a:xfrm>
                    <a:prstGeom prst="rect">
                      <a:avLst/>
                    </a:prstGeom>
                    <a:noFill/>
                    <a:ln>
                      <a:noFill/>
                    </a:ln>
                  </pic:spPr>
                </pic:pic>
              </a:graphicData>
            </a:graphic>
          </wp:inline>
        </w:drawing>
      </w:r>
    </w:p>
    <w:p w14:paraId="183B14D3">
      <w:pPr>
        <w:widowControl w:val="0"/>
        <w:numPr>
          <w:numId w:val="0"/>
        </w:numPr>
        <w:jc w:val="both"/>
        <w:rPr>
          <w:rFonts w:hint="default"/>
          <w:lang w:val="en-US"/>
        </w:rPr>
      </w:pPr>
    </w:p>
    <w:p w14:paraId="7B7A7BE9">
      <w:pPr>
        <w:widowControl w:val="0"/>
        <w:numPr>
          <w:numId w:val="0"/>
        </w:numPr>
        <w:jc w:val="both"/>
        <w:rPr>
          <w:rFonts w:hint="default"/>
          <w:lang w:val="en-US"/>
        </w:rPr>
      </w:pPr>
      <w:r>
        <w:rPr>
          <w:rFonts w:hint="default"/>
          <w:b/>
          <w:bCs/>
          <w:sz w:val="26"/>
          <w:szCs w:val="26"/>
          <w:lang w:val="en-US"/>
        </w:rPr>
        <w:t>Clarification on Star Schemas</w:t>
      </w:r>
    </w:p>
    <w:p w14:paraId="5E6404E9">
      <w:pPr>
        <w:widowControl w:val="0"/>
        <w:numPr>
          <w:numId w:val="0"/>
        </w:numPr>
        <w:jc w:val="both"/>
        <w:rPr>
          <w:sz w:val="26"/>
          <w:szCs w:val="26"/>
        </w:rPr>
      </w:pPr>
      <w:r>
        <w:rPr>
          <w:bdr w:val="single" w:sz="4" w:space="0"/>
        </w:rPr>
        <w:drawing>
          <wp:inline distT="0" distB="0" distL="114300" distR="114300">
            <wp:extent cx="6535420" cy="1312545"/>
            <wp:effectExtent l="0" t="0" r="5080" b="8255"/>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
                    <pic:cNvPicPr>
                      <a:picLocks noChangeAspect="1"/>
                    </pic:cNvPicPr>
                  </pic:nvPicPr>
                  <pic:blipFill>
                    <a:blip r:embed="rId29"/>
                    <a:stretch>
                      <a:fillRect/>
                    </a:stretch>
                  </pic:blipFill>
                  <pic:spPr>
                    <a:xfrm>
                      <a:off x="0" y="0"/>
                      <a:ext cx="6535420" cy="1312545"/>
                    </a:xfrm>
                    <a:prstGeom prst="rect">
                      <a:avLst/>
                    </a:prstGeom>
                    <a:noFill/>
                    <a:ln>
                      <a:noFill/>
                    </a:ln>
                  </pic:spPr>
                </pic:pic>
              </a:graphicData>
            </a:graphic>
          </wp:inline>
        </w:drawing>
      </w:r>
    </w:p>
    <w:p w14:paraId="63DFF859">
      <w:pPr>
        <w:widowControl w:val="0"/>
        <w:numPr>
          <w:numId w:val="0"/>
        </w:numPr>
        <w:jc w:val="both"/>
        <w:rPr>
          <w:sz w:val="26"/>
          <w:szCs w:val="26"/>
        </w:rPr>
      </w:pPr>
    </w:p>
    <w:p w14:paraId="317B5DF9">
      <w:pPr>
        <w:widowControl w:val="0"/>
        <w:numPr>
          <w:numId w:val="0"/>
        </w:numPr>
        <w:jc w:val="both"/>
        <w:rPr>
          <w:rFonts w:hint="default"/>
          <w:b/>
          <w:bCs/>
          <w:sz w:val="26"/>
          <w:szCs w:val="26"/>
          <w:lang w:val="en-US"/>
        </w:rPr>
      </w:pPr>
      <w:r>
        <w:rPr>
          <w:rFonts w:hint="default"/>
          <w:b/>
          <w:bCs/>
          <w:sz w:val="26"/>
          <w:szCs w:val="26"/>
          <w:lang w:val="en-US"/>
        </w:rPr>
        <w:t>Building data visualization script</w:t>
      </w:r>
    </w:p>
    <w:p w14:paraId="372870C2">
      <w:pPr>
        <w:widowControl w:val="0"/>
        <w:numPr>
          <w:numId w:val="0"/>
        </w:numPr>
        <w:jc w:val="both"/>
        <w:rPr>
          <w:bdr w:val="single" w:sz="4" w:space="0"/>
        </w:rPr>
      </w:pPr>
      <w:r>
        <w:rPr>
          <w:bdr w:val="single" w:sz="4" w:space="0"/>
        </w:rPr>
        <w:drawing>
          <wp:inline distT="0" distB="0" distL="114300" distR="114300">
            <wp:extent cx="6535420" cy="630555"/>
            <wp:effectExtent l="0" t="0" r="5080" b="4445"/>
            <wp:docPr id="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1"/>
                    <pic:cNvPicPr>
                      <a:picLocks noChangeAspect="1"/>
                    </pic:cNvPicPr>
                  </pic:nvPicPr>
                  <pic:blipFill>
                    <a:blip r:embed="rId30"/>
                    <a:stretch>
                      <a:fillRect/>
                    </a:stretch>
                  </pic:blipFill>
                  <pic:spPr>
                    <a:xfrm>
                      <a:off x="0" y="0"/>
                      <a:ext cx="6535420" cy="630555"/>
                    </a:xfrm>
                    <a:prstGeom prst="rect">
                      <a:avLst/>
                    </a:prstGeom>
                    <a:noFill/>
                    <a:ln>
                      <a:noFill/>
                    </a:ln>
                  </pic:spPr>
                </pic:pic>
              </a:graphicData>
            </a:graphic>
          </wp:inline>
        </w:drawing>
      </w:r>
    </w:p>
    <w:p w14:paraId="4D33B4FB">
      <w:pPr>
        <w:widowControl w:val="0"/>
        <w:numPr>
          <w:numId w:val="0"/>
        </w:numPr>
        <w:jc w:val="both"/>
        <w:rPr>
          <w:bdr w:val="single" w:sz="4" w:space="0"/>
        </w:rPr>
      </w:pPr>
    </w:p>
    <w:p w14:paraId="7A10E8C6">
      <w:pPr>
        <w:widowControl w:val="0"/>
        <w:numPr>
          <w:numId w:val="0"/>
        </w:numPr>
        <w:jc w:val="both"/>
        <w:rPr>
          <w:rFonts w:hint="default"/>
          <w:b/>
          <w:bCs/>
          <w:sz w:val="26"/>
          <w:szCs w:val="26"/>
          <w:lang w:val="en-US"/>
        </w:rPr>
      </w:pPr>
      <w:r>
        <w:rPr>
          <w:rFonts w:hint="default"/>
          <w:b/>
          <w:bCs/>
          <w:sz w:val="26"/>
          <w:szCs w:val="26"/>
          <w:lang w:val="en-US"/>
        </w:rPr>
        <w:t>Provide concise analytical insights on a plot</w:t>
      </w:r>
    </w:p>
    <w:p w14:paraId="5EBD8544">
      <w:pPr>
        <w:widowControl w:val="0"/>
        <w:numPr>
          <w:numId w:val="0"/>
        </w:numPr>
        <w:jc w:val="both"/>
        <w:rPr>
          <w:rFonts w:hint="default"/>
          <w:b/>
          <w:bCs/>
          <w:sz w:val="26"/>
          <w:szCs w:val="26"/>
          <w:lang w:val="en-US"/>
        </w:rPr>
      </w:pPr>
      <w:r>
        <w:rPr>
          <w:bdr w:val="single" w:sz="4" w:space="0"/>
        </w:rPr>
        <w:drawing>
          <wp:inline distT="0" distB="0" distL="114300" distR="114300">
            <wp:extent cx="6463030" cy="1241425"/>
            <wp:effectExtent l="0" t="0" r="1270" b="3175"/>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pic:cNvPicPr>
                      <a:picLocks noChangeAspect="1"/>
                    </pic:cNvPicPr>
                  </pic:nvPicPr>
                  <pic:blipFill>
                    <a:blip r:embed="rId31"/>
                    <a:stretch>
                      <a:fillRect/>
                    </a:stretch>
                  </pic:blipFill>
                  <pic:spPr>
                    <a:xfrm>
                      <a:off x="0" y="0"/>
                      <a:ext cx="6463030" cy="1241425"/>
                    </a:xfrm>
                    <a:prstGeom prst="rect">
                      <a:avLst/>
                    </a:prstGeom>
                    <a:noFill/>
                    <a:ln>
                      <a:noFill/>
                    </a:ln>
                  </pic:spPr>
                </pic:pic>
              </a:graphicData>
            </a:graphic>
          </wp:inline>
        </w:drawing>
      </w:r>
    </w:p>
    <w:p w14:paraId="0F4EF064">
      <w:pPr>
        <w:keepNext w:val="0"/>
        <w:keepLines w:val="0"/>
        <w:widowControl/>
        <w:suppressLineNumbers w:val="0"/>
        <w:jc w:val="left"/>
        <w:rPr>
          <w:rFonts w:ascii="Calibri" w:hAnsi="Calibri" w:eastAsia="SimSun" w:cs="Calibri"/>
          <w:b/>
          <w:bCs/>
          <w:color w:val="1E293B"/>
          <w:kern w:val="0"/>
          <w:sz w:val="26"/>
          <w:szCs w:val="26"/>
          <w:lang w:val="en-US" w:eastAsia="zh-CN" w:bidi="ar"/>
        </w:rPr>
      </w:pPr>
      <w:r>
        <w:rPr>
          <w:rFonts w:hint="default" w:ascii="Calibri" w:hAnsi="Calibri" w:eastAsia="SimSun" w:cs="Calibri"/>
          <w:b/>
          <w:bCs/>
          <w:color w:val="1E293B"/>
          <w:kern w:val="0"/>
          <w:sz w:val="26"/>
          <w:szCs w:val="26"/>
          <w:lang w:val="en-US" w:eastAsia="zh-CN" w:bidi="ar"/>
        </w:rPr>
        <w:t xml:space="preserve">11.4 </w:t>
      </w:r>
      <w:r>
        <w:rPr>
          <w:rFonts w:ascii="Calibri" w:hAnsi="Calibri" w:eastAsia="SimSun" w:cs="Calibri"/>
          <w:b/>
          <w:bCs/>
          <w:color w:val="1E293B"/>
          <w:kern w:val="0"/>
          <w:sz w:val="26"/>
          <w:szCs w:val="26"/>
          <w:lang w:val="en-US" w:eastAsia="zh-CN" w:bidi="ar"/>
        </w:rPr>
        <w:t>Output Valida</w:t>
      </w:r>
      <w:r>
        <w:rPr>
          <w:rFonts w:hint="default" w:ascii="Calibri" w:hAnsi="Calibri" w:eastAsia="SimSun" w:cs="Calibri"/>
          <w:b/>
          <w:bCs/>
          <w:color w:val="1E293B"/>
          <w:kern w:val="0"/>
          <w:sz w:val="26"/>
          <w:szCs w:val="26"/>
          <w:lang w:val="en-US" w:eastAsia="zh-CN" w:bidi="ar"/>
        </w:rPr>
        <w:t>ti</w:t>
      </w:r>
      <w:r>
        <w:rPr>
          <w:rFonts w:ascii="Calibri" w:hAnsi="Calibri" w:eastAsia="SimSun" w:cs="Calibri"/>
          <w:b/>
          <w:bCs/>
          <w:color w:val="1E293B"/>
          <w:kern w:val="0"/>
          <w:sz w:val="26"/>
          <w:szCs w:val="26"/>
          <w:lang w:val="en-US" w:eastAsia="zh-CN" w:bidi="ar"/>
        </w:rPr>
        <w:t>on</w:t>
      </w:r>
    </w:p>
    <w:p w14:paraId="5161E27E">
      <w:pPr>
        <w:keepNext w:val="0"/>
        <w:keepLines w:val="0"/>
        <w:widowControl/>
        <w:suppressLineNumbers w:val="0"/>
        <w:jc w:val="left"/>
        <w:rPr>
          <w:rFonts w:ascii="Calibri" w:hAnsi="Calibri" w:eastAsia="SimSun" w:cs="Calibri"/>
          <w:b/>
          <w:bCs/>
          <w:color w:val="1E293B"/>
          <w:kern w:val="0"/>
          <w:sz w:val="26"/>
          <w:szCs w:val="26"/>
          <w:lang w:val="en-US" w:eastAsia="zh-CN" w:bidi="ar"/>
        </w:rPr>
      </w:pPr>
    </w:p>
    <w:p w14:paraId="63A0DEEA">
      <w:pPr>
        <w:widowControl w:val="0"/>
        <w:numPr>
          <w:numId w:val="0"/>
        </w:numPr>
        <w:jc w:val="both"/>
        <w:rPr>
          <w:rFonts w:hint="default"/>
          <w:sz w:val="26"/>
          <w:szCs w:val="26"/>
          <w:lang w:val="en-US"/>
        </w:rPr>
      </w:pPr>
      <w:r>
        <w:rPr>
          <w:rFonts w:hint="default"/>
          <w:sz w:val="26"/>
          <w:szCs w:val="26"/>
          <w:lang w:val="en-US"/>
        </w:rPr>
        <w:t>The accuracy of the generated outputs was validated through manual verification. Random samples were selected from the output datasets and cross-checked against the source data to ensure consistency, correctness, and completeness. This verification process confirmed that the transformation and integration procedures produced reliable results.</w:t>
      </w:r>
    </w:p>
    <w:p w14:paraId="2CA7CB21">
      <w:pPr>
        <w:widowControl w:val="0"/>
        <w:numPr>
          <w:numId w:val="0"/>
        </w:numPr>
        <w:jc w:val="both"/>
        <w:rPr>
          <w:rFonts w:hint="default"/>
          <w:sz w:val="26"/>
          <w:szCs w:val="26"/>
          <w:lang w:val="en-US"/>
        </w:rPr>
      </w:pPr>
    </w:p>
    <w:p w14:paraId="13179CED">
      <w:pPr>
        <w:widowControl w:val="0"/>
        <w:numPr>
          <w:numId w:val="0"/>
        </w:numPr>
        <w:jc w:val="both"/>
        <w:rPr>
          <w:rFonts w:hint="default"/>
          <w:b/>
          <w:bCs/>
          <w:sz w:val="26"/>
          <w:szCs w:val="26"/>
          <w:lang w:val="en-US"/>
        </w:rPr>
      </w:pPr>
      <w:r>
        <w:rPr>
          <w:rFonts w:hint="default"/>
          <w:b/>
          <w:bCs/>
          <w:sz w:val="26"/>
          <w:szCs w:val="26"/>
          <w:lang w:val="en-US"/>
        </w:rPr>
        <w:t>11.5 Modifications made</w:t>
      </w:r>
    </w:p>
    <w:p w14:paraId="63245768">
      <w:pPr>
        <w:widowControl w:val="0"/>
        <w:numPr>
          <w:numId w:val="0"/>
        </w:numPr>
        <w:jc w:val="both"/>
        <w:rPr>
          <w:rFonts w:hint="default"/>
          <w:sz w:val="26"/>
          <w:szCs w:val="26"/>
          <w:lang w:val="en-US"/>
        </w:rPr>
      </w:pPr>
    </w:p>
    <w:p w14:paraId="2ED65857">
      <w:pPr>
        <w:widowControl w:val="0"/>
        <w:numPr>
          <w:numId w:val="0"/>
        </w:numPr>
        <w:jc w:val="both"/>
        <w:rPr>
          <w:rFonts w:hint="default"/>
          <w:sz w:val="26"/>
          <w:szCs w:val="26"/>
          <w:lang w:val="en-US"/>
        </w:rPr>
      </w:pPr>
      <w:r>
        <w:rPr>
          <w:rFonts w:hint="default"/>
          <w:sz w:val="26"/>
          <w:szCs w:val="26"/>
          <w:lang w:val="en-US"/>
        </w:rPr>
        <w:t>Following the initial generation of responses, prompt refinement techniques were applied to improve output quality. This involved iteratively modifying instructions, contextual information, constraints, and output requirements until the generated content met the desired standards of accuracy and completeness.</w:t>
      </w:r>
    </w:p>
    <w:p w14:paraId="58091F52">
      <w:pPr>
        <w:widowControl w:val="0"/>
        <w:numPr>
          <w:numId w:val="0"/>
        </w:numPr>
        <w:jc w:val="both"/>
        <w:rPr>
          <w:rFonts w:hint="default"/>
          <w:sz w:val="26"/>
          <w:szCs w:val="26"/>
          <w:lang w:val="en-US"/>
        </w:rPr>
      </w:pPr>
    </w:p>
    <w:p w14:paraId="00980155">
      <w:pPr>
        <w:keepNext w:val="0"/>
        <w:keepLines w:val="0"/>
        <w:widowControl/>
        <w:numPr>
          <w:ilvl w:val="0"/>
          <w:numId w:val="5"/>
        </w:numPr>
        <w:suppressLineNumbers w:val="0"/>
        <w:ind w:left="420" w:leftChars="0" w:hanging="420" w:firstLineChars="0"/>
        <w:rPr>
          <w:sz w:val="26"/>
          <w:szCs w:val="26"/>
        </w:rPr>
      </w:pPr>
      <w:r>
        <w:rPr>
          <w:sz w:val="26"/>
          <w:szCs w:val="26"/>
        </w:rPr>
        <w:t xml:space="preserve">AI-generated responses were reviewed and refined using iterative prompt engineering techniques. </w:t>
      </w:r>
    </w:p>
    <w:p w14:paraId="19C210E1">
      <w:pPr>
        <w:keepNext w:val="0"/>
        <w:keepLines w:val="0"/>
        <w:widowControl/>
        <w:numPr>
          <w:ilvl w:val="0"/>
          <w:numId w:val="5"/>
        </w:numPr>
        <w:suppressLineNumbers w:val="0"/>
        <w:ind w:left="420" w:leftChars="0" w:hanging="420" w:firstLineChars="0"/>
        <w:rPr>
          <w:sz w:val="26"/>
          <w:szCs w:val="26"/>
        </w:rPr>
      </w:pPr>
      <w:r>
        <w:rPr>
          <w:sz w:val="26"/>
          <w:szCs w:val="26"/>
        </w:rPr>
        <w:t xml:space="preserve">Prompts were adjusted to improve response accuracy, completeness, and contextual relevance. </w:t>
      </w:r>
    </w:p>
    <w:p w14:paraId="00ADDFB7">
      <w:pPr>
        <w:keepNext w:val="0"/>
        <w:keepLines w:val="0"/>
        <w:widowControl/>
        <w:numPr>
          <w:ilvl w:val="0"/>
          <w:numId w:val="5"/>
        </w:numPr>
        <w:suppressLineNumbers w:val="0"/>
        <w:ind w:left="420" w:leftChars="0" w:hanging="420" w:firstLineChars="0"/>
        <w:rPr>
          <w:sz w:val="26"/>
          <w:szCs w:val="26"/>
        </w:rPr>
      </w:pPr>
      <w:r>
        <w:rPr>
          <w:sz w:val="26"/>
          <w:szCs w:val="26"/>
        </w:rPr>
        <w:t xml:space="preserve">Additional constraints and instructions were incorporated to align outputs with project objectives. </w:t>
      </w:r>
    </w:p>
    <w:p w14:paraId="02052ABA">
      <w:pPr>
        <w:keepNext w:val="0"/>
        <w:keepLines w:val="0"/>
        <w:widowControl/>
        <w:numPr>
          <w:ilvl w:val="0"/>
          <w:numId w:val="5"/>
        </w:numPr>
        <w:suppressLineNumbers w:val="0"/>
        <w:ind w:left="420" w:leftChars="0" w:hanging="420" w:firstLineChars="0"/>
        <w:rPr>
          <w:sz w:val="26"/>
          <w:szCs w:val="26"/>
        </w:rPr>
      </w:pPr>
      <w:r>
        <w:rPr>
          <w:sz w:val="26"/>
          <w:szCs w:val="26"/>
        </w:rPr>
        <w:t xml:space="preserve">Multiple prompt iterations were performed to enhance the overall quality and consistency of generated content. </w:t>
      </w:r>
    </w:p>
    <w:p w14:paraId="2B09E446">
      <w:pPr>
        <w:keepNext w:val="0"/>
        <w:keepLines w:val="0"/>
        <w:widowControl/>
        <w:numPr>
          <w:numId w:val="0"/>
        </w:numPr>
        <w:suppressLineNumbers w:val="0"/>
        <w:jc w:val="both"/>
        <w:rPr>
          <w:sz w:val="26"/>
          <w:szCs w:val="26"/>
        </w:rPr>
      </w:pPr>
    </w:p>
    <w:p w14:paraId="002E495C">
      <w:pPr>
        <w:keepNext w:val="0"/>
        <w:keepLines w:val="0"/>
        <w:widowControl/>
        <w:numPr>
          <w:numId w:val="0"/>
        </w:numPr>
        <w:suppressLineNumbers w:val="0"/>
        <w:jc w:val="both"/>
        <w:rPr>
          <w:rFonts w:hint="default"/>
          <w:b/>
          <w:bCs/>
          <w:sz w:val="26"/>
          <w:szCs w:val="26"/>
          <w:lang w:val="en-US"/>
        </w:rPr>
      </w:pPr>
      <w:r>
        <w:rPr>
          <w:rFonts w:hint="default"/>
          <w:b/>
          <w:bCs/>
          <w:sz w:val="26"/>
          <w:szCs w:val="26"/>
          <w:lang w:val="en-US"/>
        </w:rPr>
        <w:t>11.6 Critical Assessment</w:t>
      </w:r>
    </w:p>
    <w:p w14:paraId="7F06F6CD">
      <w:pPr>
        <w:keepNext w:val="0"/>
        <w:keepLines w:val="0"/>
        <w:widowControl/>
        <w:numPr>
          <w:numId w:val="0"/>
        </w:numPr>
        <w:suppressLineNumbers w:val="0"/>
        <w:jc w:val="both"/>
        <w:rPr>
          <w:rFonts w:hint="default"/>
          <w:sz w:val="26"/>
          <w:szCs w:val="26"/>
          <w:lang w:val="en-US"/>
        </w:rPr>
      </w:pPr>
    </w:p>
    <w:p w14:paraId="36D0D8A9">
      <w:pPr>
        <w:keepNext w:val="0"/>
        <w:keepLines w:val="0"/>
        <w:widowControl/>
        <w:numPr>
          <w:numId w:val="0"/>
        </w:numPr>
        <w:suppressLineNumbers w:val="0"/>
        <w:jc w:val="both"/>
        <w:rPr>
          <w:rFonts w:hint="default"/>
          <w:b/>
          <w:bCs/>
          <w:sz w:val="26"/>
          <w:szCs w:val="26"/>
          <w:lang w:val="en-US"/>
        </w:rPr>
      </w:pPr>
      <w:r>
        <w:rPr>
          <w:rFonts w:hint="default"/>
          <w:b/>
          <w:bCs/>
          <w:sz w:val="26"/>
          <w:szCs w:val="26"/>
          <w:lang w:val="en-US"/>
        </w:rPr>
        <w:t>Report Content Generation</w:t>
      </w:r>
    </w:p>
    <w:p w14:paraId="11FCFE96">
      <w:pPr>
        <w:keepNext w:val="0"/>
        <w:keepLines w:val="0"/>
        <w:widowControl/>
        <w:numPr>
          <w:numId w:val="0"/>
        </w:numPr>
        <w:suppressLineNumbers w:val="0"/>
        <w:jc w:val="both"/>
        <w:rPr>
          <w:rFonts w:hint="default"/>
          <w:b/>
          <w:bCs/>
          <w:sz w:val="26"/>
          <w:szCs w:val="26"/>
          <w:lang w:val="en-US"/>
        </w:rPr>
      </w:pPr>
    </w:p>
    <w:p w14:paraId="233F6391">
      <w:pPr>
        <w:widowControl w:val="0"/>
        <w:numPr>
          <w:numId w:val="0"/>
        </w:numPr>
        <w:jc w:val="both"/>
        <w:rPr>
          <w:rFonts w:hint="default"/>
          <w:sz w:val="26"/>
          <w:szCs w:val="26"/>
          <w:lang w:val="en-US"/>
        </w:rPr>
      </w:pPr>
      <w:r>
        <w:rPr>
          <w:rFonts w:hint="default"/>
          <w:sz w:val="26"/>
          <w:szCs w:val="26"/>
          <w:lang w:val="en-US"/>
        </w:rPr>
        <w:t>Some AI-generated responses initially contained inaccuracies and inconsistencies that were readily identifiable during manual review. These issues were mitigated through iterative prompt engineering techniques, where prompts were refined and optimized to improve response quality. Additionally, outputs from different AI models were evaluated and compared to validate information and improve overall accuracy, resulting in more reliable and contextually relevant report content.</w:t>
      </w:r>
    </w:p>
    <w:p w14:paraId="2A00CFD5">
      <w:pPr>
        <w:widowControl w:val="0"/>
        <w:numPr>
          <w:numId w:val="0"/>
        </w:numPr>
        <w:jc w:val="both"/>
        <w:rPr>
          <w:rFonts w:hint="default"/>
          <w:sz w:val="26"/>
          <w:szCs w:val="26"/>
          <w:lang w:val="en-US"/>
        </w:rPr>
      </w:pPr>
    </w:p>
    <w:p w14:paraId="2AF5338D">
      <w:pPr>
        <w:widowControl w:val="0"/>
        <w:numPr>
          <w:numId w:val="0"/>
        </w:numPr>
        <w:jc w:val="both"/>
        <w:rPr>
          <w:rFonts w:hint="default"/>
          <w:b/>
          <w:bCs/>
          <w:sz w:val="26"/>
          <w:szCs w:val="26"/>
          <w:lang w:val="en-US"/>
        </w:rPr>
      </w:pPr>
      <w:r>
        <w:rPr>
          <w:rFonts w:hint="default"/>
          <w:b/>
          <w:bCs/>
          <w:sz w:val="26"/>
          <w:szCs w:val="26"/>
          <w:lang w:val="en-US"/>
        </w:rPr>
        <w:t>SQL Query Generation</w:t>
      </w:r>
    </w:p>
    <w:p w14:paraId="7E3B340D">
      <w:pPr>
        <w:widowControl w:val="0"/>
        <w:numPr>
          <w:numId w:val="0"/>
        </w:numPr>
        <w:jc w:val="both"/>
        <w:rPr>
          <w:rFonts w:hint="default"/>
          <w:sz w:val="26"/>
          <w:szCs w:val="26"/>
          <w:lang w:val="en-US"/>
        </w:rPr>
      </w:pPr>
    </w:p>
    <w:p w14:paraId="4495F490">
      <w:pPr>
        <w:widowControl w:val="0"/>
        <w:numPr>
          <w:numId w:val="0"/>
        </w:numPr>
        <w:jc w:val="both"/>
        <w:rPr>
          <w:rFonts w:hint="default"/>
          <w:sz w:val="26"/>
          <w:szCs w:val="26"/>
          <w:lang w:val="en-US"/>
        </w:rPr>
      </w:pPr>
      <w:r>
        <w:rPr>
          <w:rFonts w:hint="default"/>
          <w:sz w:val="26"/>
          <w:szCs w:val="26"/>
          <w:lang w:val="en-US"/>
        </w:rPr>
        <w:t>Initial AI-generated SQL queries occasionally exhibited schema hallucinations, where columns or attributes not present in the Analytics_Warehouse database were referenced. This challenge was mitigated by incorporating detailed schema information into prompts and validating generated queries against the database structure prior to execution.</w:t>
      </w:r>
    </w:p>
    <w:p w14:paraId="7F772623">
      <w:pPr>
        <w:widowControl w:val="0"/>
        <w:numPr>
          <w:numId w:val="0"/>
        </w:numPr>
        <w:jc w:val="both"/>
        <w:rPr>
          <w:rFonts w:hint="default"/>
          <w:sz w:val="26"/>
          <w:szCs w:val="26"/>
          <w:lang w:val="en-US"/>
        </w:rPr>
      </w:pPr>
    </w:p>
    <w:p w14:paraId="061562A5">
      <w:pPr>
        <w:widowControl w:val="0"/>
        <w:numPr>
          <w:numId w:val="0"/>
        </w:numPr>
        <w:jc w:val="both"/>
        <w:rPr>
          <w:rFonts w:hint="default"/>
          <w:sz w:val="26"/>
          <w:szCs w:val="26"/>
          <w:lang w:val="en-US"/>
        </w:rPr>
      </w:pPr>
    </w:p>
    <w:p w14:paraId="40483745">
      <w:pPr>
        <w:widowControl w:val="0"/>
        <w:numPr>
          <w:numId w:val="0"/>
        </w:numPr>
        <w:jc w:val="both"/>
        <w:rPr>
          <w:rFonts w:hint="default"/>
          <w:sz w:val="26"/>
          <w:szCs w:val="26"/>
          <w:lang w:val="en-US"/>
        </w:rPr>
      </w:pPr>
    </w:p>
    <w:sectPr>
      <w:pgSz w:w="11906" w:h="16838"/>
      <w:pgMar w:top="1440" w:right="846" w:bottom="1440" w:left="76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Nunito Sans ExtraBold">
    <w:altName w:val="Segoe Print"/>
    <w:panose1 w:val="00000000000000000000"/>
    <w:charset w:val="00"/>
    <w:family w:val="auto"/>
    <w:pitch w:val="default"/>
    <w:sig w:usb0="00000000" w:usb1="00000000" w:usb2="00000000" w:usb3="00000000" w:csb0="00000197" w:csb1="00000000"/>
  </w:font>
  <w:font w:name="Microsoft YaHei">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幼圆">
    <w:altName w:val="SimSun"/>
    <w:panose1 w:val="02010509060101010101"/>
    <w:charset w:val="86"/>
    <w:family w:val="modern"/>
    <w:pitch w:val="default"/>
    <w:sig w:usb0="00000000" w:usb1="00000000" w:usb2="00000010" w:usb3="00000000" w:csb0="00040000" w:csb1="00000000"/>
  </w:font>
  <w:font w:name="Inter">
    <w:altName w:val="Calibri"/>
    <w:panose1 w:val="00000000000000000000"/>
    <w:charset w:val="00"/>
    <w:family w:val="auto"/>
    <w:pitch w:val="default"/>
    <w:sig w:usb0="00000000" w:usb1="00000000" w:usb2="00000001" w:usb3="00000000" w:csb0="0000019F" w:csb1="00000000"/>
  </w:font>
  <w:font w:name="汉仪粗黑简">
    <w:altName w:val="SimSun"/>
    <w:panose1 w:val="00000000000000000000"/>
    <w:charset w:val="86"/>
    <w:family w:val="auto"/>
    <w:pitch w:val="default"/>
    <w:sig w:usb0="00000000" w:usb1="00000000" w:usb2="00000002" w:usb3="00000000" w:csb0="00040000" w:csb1="00000000"/>
  </w:font>
  <w:font w:name="Microsoft YaHei Light">
    <w:panose1 w:val="020B0502040204020203"/>
    <w:charset w:val="86"/>
    <w:family w:val="swiss"/>
    <w:pitch w:val="default"/>
    <w:sig w:usb0="80000287" w:usb1="2ACF001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9D05C">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F40A27">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7SxYXMAgAAI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A7SxYXMAgAA&#10;IwYAAA4AAAAAAAAAAQAgAAAAHwEAAGRycy9lMm9Eb2MueG1sUEsFBgAAAAAGAAYAWQEAAF0GAAAA&#10;AA==&#10;">
              <v:fill on="f" focussize="0,0"/>
              <v:stroke on="f" weight="0.5pt"/>
              <v:imagedata o:title=""/>
              <o:lock v:ext="edit" aspectratio="f"/>
              <v:textbox inset="0mm,0mm,0mm,0mm" style="mso-fit-shape-to-text:t;">
                <w:txbxContent>
                  <w:p w14:paraId="48F40A27">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345413"/>
    <w:multiLevelType w:val="singleLevel"/>
    <w:tmpl w:val="94345413"/>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
    <w:nsid w:val="5588EE36"/>
    <w:multiLevelType w:val="singleLevel"/>
    <w:tmpl w:val="5588EE36"/>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2">
    <w:nsid w:val="67EF8DE1"/>
    <w:multiLevelType w:val="singleLevel"/>
    <w:tmpl w:val="67EF8DE1"/>
    <w:lvl w:ilvl="0" w:tentative="0">
      <w:start w:val="1"/>
      <w:numFmt w:val="decimal"/>
      <w:suff w:val="space"/>
      <w:lvlText w:val="%1."/>
      <w:lvlJc w:val="left"/>
    </w:lvl>
  </w:abstractNum>
  <w:abstractNum w:abstractNumId="3">
    <w:nsid w:val="6A13D4A5"/>
    <w:multiLevelType w:val="singleLevel"/>
    <w:tmpl w:val="6A13D4A5"/>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4">
    <w:nsid w:val="6CEA5F24"/>
    <w:multiLevelType w:val="multilevel"/>
    <w:tmpl w:val="6CEA5F2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85278"/>
    <w:rsid w:val="02D92EC4"/>
    <w:rsid w:val="03440393"/>
    <w:rsid w:val="03BD4294"/>
    <w:rsid w:val="04153D40"/>
    <w:rsid w:val="04796ADA"/>
    <w:rsid w:val="04F049A8"/>
    <w:rsid w:val="07063089"/>
    <w:rsid w:val="07071B14"/>
    <w:rsid w:val="09BE1758"/>
    <w:rsid w:val="09F241FD"/>
    <w:rsid w:val="0C897FA2"/>
    <w:rsid w:val="0D356565"/>
    <w:rsid w:val="0D586A81"/>
    <w:rsid w:val="0F5E04F5"/>
    <w:rsid w:val="10453240"/>
    <w:rsid w:val="10D027DA"/>
    <w:rsid w:val="137F1194"/>
    <w:rsid w:val="14BD2115"/>
    <w:rsid w:val="16D57CE5"/>
    <w:rsid w:val="16DB2490"/>
    <w:rsid w:val="1A435DAC"/>
    <w:rsid w:val="1ADC1001"/>
    <w:rsid w:val="1C550CBB"/>
    <w:rsid w:val="1C9726EA"/>
    <w:rsid w:val="1E0C2C5F"/>
    <w:rsid w:val="1E512F4B"/>
    <w:rsid w:val="21D6028F"/>
    <w:rsid w:val="229D4C42"/>
    <w:rsid w:val="229D5AD9"/>
    <w:rsid w:val="241D144D"/>
    <w:rsid w:val="253E1BDC"/>
    <w:rsid w:val="25530950"/>
    <w:rsid w:val="25585952"/>
    <w:rsid w:val="27C0561D"/>
    <w:rsid w:val="28405372"/>
    <w:rsid w:val="29CC09FE"/>
    <w:rsid w:val="2AF05C3C"/>
    <w:rsid w:val="2B401585"/>
    <w:rsid w:val="2BAD08B5"/>
    <w:rsid w:val="2F59133A"/>
    <w:rsid w:val="308F13B7"/>
    <w:rsid w:val="31DD2837"/>
    <w:rsid w:val="34A43DEB"/>
    <w:rsid w:val="359E4EC6"/>
    <w:rsid w:val="362F1373"/>
    <w:rsid w:val="37DD7DB5"/>
    <w:rsid w:val="382F1BF9"/>
    <w:rsid w:val="383A5B60"/>
    <w:rsid w:val="38E55CBB"/>
    <w:rsid w:val="39861B93"/>
    <w:rsid w:val="3BDD1CA6"/>
    <w:rsid w:val="3BE51DAE"/>
    <w:rsid w:val="3C3022CE"/>
    <w:rsid w:val="3D2C126C"/>
    <w:rsid w:val="3E8D412D"/>
    <w:rsid w:val="404B47FE"/>
    <w:rsid w:val="41A10269"/>
    <w:rsid w:val="42660959"/>
    <w:rsid w:val="43061408"/>
    <w:rsid w:val="44996E9A"/>
    <w:rsid w:val="47AC0A26"/>
    <w:rsid w:val="484E27AE"/>
    <w:rsid w:val="48E561A4"/>
    <w:rsid w:val="4A4D3D1A"/>
    <w:rsid w:val="4E4C5940"/>
    <w:rsid w:val="4ECE17A4"/>
    <w:rsid w:val="503B1CF6"/>
    <w:rsid w:val="50935EC0"/>
    <w:rsid w:val="51C00E6C"/>
    <w:rsid w:val="51F33474"/>
    <w:rsid w:val="52582329"/>
    <w:rsid w:val="53A62363"/>
    <w:rsid w:val="55AB01CC"/>
    <w:rsid w:val="56291CEA"/>
    <w:rsid w:val="57672B39"/>
    <w:rsid w:val="57DB4F33"/>
    <w:rsid w:val="5941447A"/>
    <w:rsid w:val="594D08B6"/>
    <w:rsid w:val="5B114113"/>
    <w:rsid w:val="5B9C1D7B"/>
    <w:rsid w:val="5BE144C3"/>
    <w:rsid w:val="5C7774C0"/>
    <w:rsid w:val="5D440A15"/>
    <w:rsid w:val="5EAA24B1"/>
    <w:rsid w:val="5F482CD8"/>
    <w:rsid w:val="5F4B3AE6"/>
    <w:rsid w:val="60A3539C"/>
    <w:rsid w:val="61E245D4"/>
    <w:rsid w:val="6264757B"/>
    <w:rsid w:val="647D5271"/>
    <w:rsid w:val="65171FE8"/>
    <w:rsid w:val="66AD26EE"/>
    <w:rsid w:val="678714EA"/>
    <w:rsid w:val="68315CCC"/>
    <w:rsid w:val="68A55A3C"/>
    <w:rsid w:val="68C078EA"/>
    <w:rsid w:val="6AFD2718"/>
    <w:rsid w:val="6B023E01"/>
    <w:rsid w:val="6C313A0F"/>
    <w:rsid w:val="6C4E3B06"/>
    <w:rsid w:val="6DE6435A"/>
    <w:rsid w:val="6E512D78"/>
    <w:rsid w:val="6EDF4C0E"/>
    <w:rsid w:val="6EE75201"/>
    <w:rsid w:val="6F5C2C41"/>
    <w:rsid w:val="71F03A37"/>
    <w:rsid w:val="77430539"/>
    <w:rsid w:val="77880FB0"/>
    <w:rsid w:val="78A43FAC"/>
    <w:rsid w:val="78AA3303"/>
    <w:rsid w:val="7A591C22"/>
    <w:rsid w:val="7B9C6B79"/>
    <w:rsid w:val="7BDD53C4"/>
    <w:rsid w:val="7D8A317D"/>
    <w:rsid w:val="7F4E7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汉仪粗黑简" w:asciiTheme="minorHAnsi" w:hAnsiTheme="minorHAnsi"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nhideWhenUsed/>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uiPriority w:val="0"/>
    <w:rPr>
      <w:color w:val="800080"/>
      <w:u w:val="single"/>
    </w:rPr>
  </w:style>
  <w:style w:type="paragraph" w:styleId="9">
    <w:name w:val="footer"/>
    <w:basedOn w:val="1"/>
    <w:link w:val="17"/>
    <w:qFormat/>
    <w:uiPriority w:val="0"/>
    <w:pPr>
      <w:tabs>
        <w:tab w:val="center" w:pos="4153"/>
        <w:tab w:val="right" w:pos="8306"/>
      </w:tabs>
      <w:snapToGrid w:val="0"/>
      <w:jc w:val="left"/>
    </w:pPr>
    <w:rPr>
      <w:sz w:val="18"/>
      <w:szCs w:val="18"/>
    </w:rPr>
  </w:style>
  <w:style w:type="paragraph" w:styleId="10">
    <w:name w:val="header"/>
    <w:basedOn w:val="1"/>
    <w:link w:val="16"/>
    <w:qFormat/>
    <w:uiPriority w:val="0"/>
    <w:pPr>
      <w:tabs>
        <w:tab w:val="center" w:pos="4153"/>
        <w:tab w:val="right" w:pos="8306"/>
      </w:tabs>
      <w:snapToGrid w:val="0"/>
      <w:jc w:val="center"/>
    </w:pPr>
    <w:rPr>
      <w:sz w:val="18"/>
      <w:szCs w:val="18"/>
    </w:rPr>
  </w:style>
  <w:style w:type="character" w:styleId="11">
    <w:name w:val="HTML Code"/>
    <w:basedOn w:val="5"/>
    <w:uiPriority w:val="0"/>
    <w:rPr>
      <w:rFonts w:ascii="Courier New" w:hAnsi="Courier New" w:cs="Courier New"/>
      <w:sz w:val="20"/>
      <w:szCs w:val="20"/>
    </w:rPr>
  </w:style>
  <w:style w:type="character" w:styleId="12">
    <w:name w:val="Hyperlink"/>
    <w:basedOn w:val="5"/>
    <w:uiPriority w:val="0"/>
    <w:rPr>
      <w:color w:val="0000FF"/>
      <w:u w:val="single"/>
    </w:rPr>
  </w:style>
  <w:style w:type="paragraph" w:styleId="13">
    <w:name w:val="Normal (Web)"/>
    <w:basedOn w:val="1"/>
    <w:qFormat/>
    <w:uiPriority w:val="0"/>
    <w:rPr>
      <w:sz w:val="24"/>
    </w:rPr>
  </w:style>
  <w:style w:type="character" w:styleId="14">
    <w:name w:val="Strong"/>
    <w:basedOn w:val="5"/>
    <w:qFormat/>
    <w:uiPriority w:val="0"/>
    <w:rPr>
      <w:b/>
      <w:bCs/>
    </w:rPr>
  </w:style>
  <w:style w:type="table" w:styleId="15">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页眉 字符"/>
    <w:basedOn w:val="5"/>
    <w:link w:val="10"/>
    <w:qFormat/>
    <w:uiPriority w:val="0"/>
    <w:rPr>
      <w:rFonts w:ascii="Times New Roman" w:hAnsi="Times New Roman" w:eastAsia="SimSun" w:cs="Times New Roman"/>
      <w:sz w:val="18"/>
      <w:szCs w:val="18"/>
      <w:lang w:val="en-US" w:eastAsia="zh-CN" w:bidi="ar-SA"/>
    </w:rPr>
  </w:style>
  <w:style w:type="character" w:customStyle="1" w:styleId="17">
    <w:name w:val="页脚 字符"/>
    <w:basedOn w:val="5"/>
    <w:link w:val="9"/>
    <w:qFormat/>
    <w:uiPriority w:val="0"/>
    <w:rPr>
      <w:rFonts w:ascii="Times New Roman" w:hAnsi="Times New Roman" w:eastAsia="SimSun" w:cs="Times New Roman"/>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蓝色商务合同封面"/>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15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2026-06-21T12:13:17Z</dcterms:created>
  <dc:creator>Admin</dc:creator>
  <cp:lastModifiedBy>Shehan</cp:lastModifiedBy>
  <dcterms:modified xsi:type="dcterms:W3CDTF">2026-06-21T17:16:01Z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eyJoZGlkIjoiZDJhZWRjODhlNWNmNGNkYzE5YmMwMzA0ZTNkYTExYzEiLCJ1c2VySWQiOiI1MjQwNTMwMjE1NzcxIn0=</vt:lpwstr>
  </property>
  <property fmtid="{D5CDD505-2E9C-101B-9397-08002B2CF9AE}" pid="4" name="ICV">
    <vt:lpwstr>4B63276BB3E04C8F90958F8A8867F58D_12</vt:lpwstr>
  </property>
</Properties>
</file>