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r>
        <w:rPr>
          <w:b/>
          <w:color w:val="0284C7"/>
          <w:sz w:val="24"/>
        </w:rPr>
        <w:t>COMP60010: ENTERPRISE CLOUD AND DISTRIBUTED WEB APPLICATIONS</w:t>
      </w:r>
    </w:p>
    <w:p>
      <w:pPr>
        <w:spacing w:before="240" w:after="240"/>
      </w:pPr>
      <w:r>
        <w:rPr>
          <w:b/>
          <w:color w:val="0F172A"/>
          <w:sz w:val="48"/>
        </w:rPr>
        <w:t>Enterprise Cloud Architecture &amp; Migration Strategy:</w:t>
        <w:br/>
        <w:t>Modernising CloudFusion Healthcare Analytics Ltd (CHA)</w:t>
      </w:r>
    </w:p>
    <w:p>
      <w:pPr>
        <w:spacing w:after="960"/>
      </w:pPr>
      <w:r>
        <w:rPr>
          <w:i/>
          <w:color w:val="475569"/>
          <w:sz w:val="26"/>
        </w:rPr>
        <w:t>A Technical Consultancy Report and Engineering Blueprint for Cloud Transformation, Five-Nines Availability, and Continuous IoT Healthcare Monitoring on Amazon Web Services (AWS)</w:t>
      </w:r>
    </w:p>
    <w:tbl>
      <w:tblPr>
        <w:tblW w:type="auto" w:w="0"/>
        <w:jc w:val="center"/>
        <w:tblLook w:firstColumn="1" w:firstRow="1" w:lastColumn="0" w:lastRow="0" w:noHBand="0" w:noVBand="1" w:val="04A0"/>
      </w:tblPr>
      <w:tblGrid>
        <w:gridCol w:w="4514"/>
        <w:gridCol w:w="4514"/>
      </w:tblGrid>
      <w:tr>
        <w:tc>
          <w:tcPr>
            <w:tcW w:type="dxa" w:w="3168"/>
            <w:shd w:fill="F8FAFC"/>
            <w:tcMar>
              <w:top w:w="80" w:type="dxa"/>
              <w:bottom w:w="80" w:type="dxa"/>
              <w:left w:w="100" w:type="dxa"/>
              <w:right w:w="100" w:type="dxa"/>
            </w:tcMar>
          </w:tcPr>
          <w:p>
            <w:r>
              <w:rPr>
                <w:b/>
                <w:color w:val="0F172A"/>
              </w:rPr>
              <w:t>Assessment Type:</w:t>
            </w:r>
          </w:p>
        </w:tc>
        <w:tc>
          <w:tcPr>
            <w:tcW w:type="dxa" w:w="5760"/>
            <w:shd w:fill="F8FAFC"/>
            <w:tcMar>
              <w:top w:w="80" w:type="dxa"/>
              <w:bottom w:w="80" w:type="dxa"/>
              <w:left w:w="100" w:type="dxa"/>
              <w:right w:w="100" w:type="dxa"/>
            </w:tcMar>
          </w:tcPr>
          <w:p>
            <w:r>
              <w:rPr>
                <w:color w:val="334155"/>
              </w:rPr>
              <w:t>Individual Technical Consultancy Report &amp; Presentation (50% Module Mark)</w:t>
            </w:r>
          </w:p>
        </w:tc>
      </w:tr>
      <w:tr>
        <w:tc>
          <w:tcPr>
            <w:tcW w:type="dxa" w:w="3168"/>
            <w:shd w:fill="F8FAFC"/>
            <w:tcMar>
              <w:top w:w="80" w:type="dxa"/>
              <w:bottom w:w="80" w:type="dxa"/>
              <w:left w:w="100" w:type="dxa"/>
              <w:right w:w="100" w:type="dxa"/>
            </w:tcMar>
          </w:tcPr>
          <w:p>
            <w:r>
              <w:rPr>
                <w:b/>
                <w:color w:val="0F172A"/>
              </w:rPr>
              <w:t>Scenario Client:</w:t>
            </w:r>
          </w:p>
        </w:tc>
        <w:tc>
          <w:tcPr>
            <w:tcW w:type="dxa" w:w="5760"/>
            <w:shd w:fill="F8FAFC"/>
            <w:tcMar>
              <w:top w:w="80" w:type="dxa"/>
              <w:bottom w:w="80" w:type="dxa"/>
              <w:left w:w="100" w:type="dxa"/>
              <w:right w:w="100" w:type="dxa"/>
            </w:tcMar>
          </w:tcPr>
          <w:p>
            <w:r>
              <w:rPr>
                <w:color w:val="334155"/>
              </w:rPr>
              <w:t>CloudFusion Healthcare Analytics Ltd (CHA)</w:t>
            </w:r>
          </w:p>
        </w:tc>
      </w:tr>
      <w:tr>
        <w:tc>
          <w:tcPr>
            <w:tcW w:type="dxa" w:w="3168"/>
            <w:shd w:fill="F8FAFC"/>
            <w:tcMar>
              <w:top w:w="80" w:type="dxa"/>
              <w:bottom w:w="80" w:type="dxa"/>
              <w:left w:w="100" w:type="dxa"/>
              <w:right w:w="100" w:type="dxa"/>
            </w:tcMar>
          </w:tcPr>
          <w:p>
            <w:r>
              <w:rPr>
                <w:b/>
                <w:color w:val="0F172A"/>
              </w:rPr>
              <w:t>Target Platform:</w:t>
            </w:r>
          </w:p>
        </w:tc>
        <w:tc>
          <w:tcPr>
            <w:tcW w:type="dxa" w:w="5760"/>
            <w:shd w:fill="F8FAFC"/>
            <w:tcMar>
              <w:top w:w="80" w:type="dxa"/>
              <w:bottom w:w="80" w:type="dxa"/>
              <w:left w:w="100" w:type="dxa"/>
              <w:right w:w="100" w:type="dxa"/>
            </w:tcMar>
          </w:tcPr>
          <w:p>
            <w:r>
              <w:rPr>
                <w:color w:val="334155"/>
              </w:rPr>
              <w:t>Amazon Web Services (AWS) - ap-southeast-1 (Singapore)</w:t>
            </w:r>
          </w:p>
        </w:tc>
      </w:tr>
      <w:tr>
        <w:tc>
          <w:tcPr>
            <w:tcW w:type="dxa" w:w="3168"/>
            <w:shd w:fill="F8FAFC"/>
            <w:tcMar>
              <w:top w:w="80" w:type="dxa"/>
              <w:bottom w:w="80" w:type="dxa"/>
              <w:left w:w="100" w:type="dxa"/>
              <w:right w:w="100" w:type="dxa"/>
            </w:tcMar>
          </w:tcPr>
          <w:p>
            <w:r>
              <w:rPr>
                <w:b/>
                <w:color w:val="0F172A"/>
              </w:rPr>
              <w:t>Academic Period:</w:t>
            </w:r>
          </w:p>
        </w:tc>
        <w:tc>
          <w:tcPr>
            <w:tcW w:type="dxa" w:w="5760"/>
            <w:shd w:fill="F8FAFC"/>
            <w:tcMar>
              <w:top w:w="80" w:type="dxa"/>
              <w:bottom w:w="80" w:type="dxa"/>
              <w:left w:w="100" w:type="dxa"/>
              <w:right w:w="100" w:type="dxa"/>
            </w:tcMar>
          </w:tcPr>
          <w:p>
            <w:r>
              <w:rPr>
                <w:color w:val="334155"/>
              </w:rPr>
              <w:t>Final Year - B.Sc. (Hons) in Computing / Software Engineering</w:t>
            </w:r>
          </w:p>
        </w:tc>
      </w:tr>
      <w:tr>
        <w:tc>
          <w:tcPr>
            <w:tcW w:type="dxa" w:w="3168"/>
            <w:shd w:fill="F8FAFC"/>
            <w:tcMar>
              <w:top w:w="80" w:type="dxa"/>
              <w:bottom w:w="80" w:type="dxa"/>
              <w:left w:w="100" w:type="dxa"/>
              <w:right w:w="100" w:type="dxa"/>
            </w:tcMar>
          </w:tcPr>
          <w:p>
            <w:r>
              <w:rPr>
                <w:b/>
                <w:color w:val="0F172A"/>
              </w:rPr>
              <w:t>Submission Date:</w:t>
            </w:r>
          </w:p>
        </w:tc>
        <w:tc>
          <w:tcPr>
            <w:tcW w:type="dxa" w:w="5760"/>
            <w:shd w:fill="F8FAFC"/>
            <w:tcMar>
              <w:top w:w="80" w:type="dxa"/>
              <w:bottom w:w="80" w:type="dxa"/>
              <w:left w:w="100" w:type="dxa"/>
              <w:right w:w="100" w:type="dxa"/>
            </w:tcMar>
          </w:tcPr>
          <w:p>
            <w:r>
              <w:rPr>
                <w:color w:val="334155"/>
              </w:rPr>
              <w:t>October 2026</w:t>
            </w:r>
          </w:p>
        </w:tc>
      </w:tr>
    </w:tbl>
    <w:p>
      <w:r>
        <w:br w:type="page"/>
      </w:r>
    </w:p>
    <w:p>
      <w:pPr>
        <w:pStyle w:val="Heading1"/>
        <w:spacing w:before="360" w:after="120"/>
      </w:pPr>
      <w:r>
        <w:rPr>
          <w:rFonts w:ascii="Calibri" w:hAnsi="Calibri"/>
          <w:b/>
          <w:color w:val="0369A1"/>
          <w:sz w:val="32"/>
        </w:rPr>
        <w:t>Executive Summary</w:t>
      </w:r>
    </w:p>
    <w:p>
      <w:pPr>
        <w:spacing w:after="120"/>
      </w:pPr>
      <w:r>
        <w:t>CloudFusion Healthcare Analytics Ltd (CHA) is a premier healthcare technology organization operating across South Asia and the Middle East, delivering mission-critical patient monitoring platforms, distributed telemedicine portals, and clinical analytics services. CHA currently operates on an aging on-premises infrastructure comprising 220 virtual machines hosted on VMware ESXi across a single physical data center. This legacy topology suffers from severe scalability bottlenecks, high operational overhead, single-point-of-failure vulnerabilities, and an inability to support real-time Internet of Things (IoT) medical telemetry and artificial intelligence (AI) predictive diagnostics.</w:t>
      </w:r>
    </w:p>
    <w:p>
      <w:pPr>
        <w:spacing w:after="120"/>
      </w:pPr>
      <w:r>
        <w:t>This technical consultancy report formulates an enterprise-grade cloud modernization strategy migrating CHA to Amazon Web Services (AWS). Sized to support over **100,000 concurrent active users**, this architecture achieves **99.99% contractual availability** with a target of **99.999% (five nines)** for critical life-support telemetry, achieves an **82.3% total cost of ownership (TCO) reduction** (and a **48.3% cloud-native FinOps operational reduction**, well exceeding the 40% business mandate), enforces strict compliance with **GDPR, HIPAA, and ISO 27001**, and incorporates an **AWS IoT Greengrass edge computing tier** for continuous vital signs monitoring. The design is accompanied by fully modularized **Terraform Infrastructure as Code (IaC)**, zero-trust **Identity and Access Management (IAM)** policies, automated **AWS Database Migration Service (DMS)** change data capture pipelines, and an **AWS Glue PySpark** data integrity verification engine.</w:t>
      </w:r>
    </w:p>
    <w:p>
      <w:pPr>
        <w:spacing w:after="120"/>
      </w:pPr>
      <w:r>
        <w:t>---</w:t>
      </w:r>
    </w:p>
    <w:p>
      <w:pPr>
        <w:pStyle w:val="Heading1"/>
        <w:spacing w:before="360" w:after="120"/>
      </w:pPr>
      <w:r>
        <w:rPr>
          <w:rFonts w:ascii="Calibri" w:hAnsi="Calibri"/>
          <w:b/>
          <w:color w:val="0369A1"/>
          <w:sz w:val="32"/>
        </w:rPr>
        <w:t>Table of Contents</w:t>
      </w:r>
    </w:p>
    <w:p>
      <w:pPr>
        <w:spacing w:after="120"/>
      </w:pPr>
      <w:r>
        <w:t>1. [Introduction &amp; Business Context](#1-introduction--business-context)</w:t>
      </w:r>
    </w:p>
    <w:p>
      <w:pPr>
        <w:spacing w:after="120"/>
      </w:pPr>
      <w:r>
        <w:t xml:space="preserve">   1.1 [Organizational Overview](#11-organizational-overview)</w:t>
      </w:r>
    </w:p>
    <w:p>
      <w:pPr>
        <w:spacing w:after="120"/>
      </w:pPr>
      <w:r>
        <w:t xml:space="preserve">   1.2 [Business Drivers &amp; Critical Constraints](#12-business-drivers--critical-constraints)</w:t>
      </w:r>
    </w:p>
    <w:p>
      <w:pPr>
        <w:spacing w:after="120"/>
      </w:pPr>
      <w:r>
        <w:t xml:space="preserve">   1.3 [The Clinical Paradigm Shift: Discrete Polling vs Continuous IoT Telemetry](#13-the-clinical-paradigm-shift-discrete-polling-vs-continuous-iot-telemetry)</w:t>
      </w:r>
    </w:p>
    <w:p>
      <w:pPr>
        <w:spacing w:after="120"/>
      </w:pPr>
      <w:r>
        <w:t xml:space="preserve">   1.4 [Consultancy Objectives &amp; Scope](#14-consultancy-objectives--scope)</w:t>
      </w:r>
    </w:p>
    <w:p>
      <w:pPr>
        <w:spacing w:after="120"/>
      </w:pPr>
      <w:r>
        <w:t>2. [Task 1: Current Infrastructure Analysis &amp; Cloud Adoption Justification](#2-task-1-current-infrastructure-analysis--cloud-adoption-justification)</w:t>
      </w:r>
    </w:p>
    <w:p>
      <w:pPr>
        <w:spacing w:after="120"/>
      </w:pPr>
      <w:r>
        <w:t xml:space="preserve">   2.1 [Critical Deconstruction of the On-Premises Architecture](#21-critical-deconstruction-of-the-on-premises-architecture)</w:t>
      </w:r>
    </w:p>
    <w:p>
      <w:pPr>
        <w:spacing w:after="120"/>
      </w:pPr>
      <w:r>
        <w:t xml:space="preserve">   2.2 [The SDLC Dimension: Monoliths vs Agile Microservices](#22-the-sdlc-dimension-monoliths-vs-agile-microservices)</w:t>
      </w:r>
    </w:p>
    <w:p>
      <w:pPr>
        <w:spacing w:after="120"/>
      </w:pPr>
      <w:r>
        <w:t xml:space="preserve">   2.3 [Lift-and-Shift Mapping to AWS Cloud Services](#23-lift-and-shift-mapping-to-aws-cloud-services)</w:t>
      </w:r>
    </w:p>
    <w:p>
      <w:pPr>
        <w:spacing w:after="120"/>
      </w:pPr>
      <w:r>
        <w:t>3. [Task 2: Cloud Migration Strategy](#3-task-2-cloud-migration-strategy)</w:t>
      </w:r>
    </w:p>
    <w:p>
      <w:pPr>
        <w:spacing w:after="120"/>
      </w:pPr>
      <w:r>
        <w:t xml:space="preserve">   3.1 [Alignment with the AWS Well-Architected Framework](#31-alignment-with-the-aws-well-architected-framework)</w:t>
      </w:r>
    </w:p>
    <w:p>
      <w:pPr>
        <w:spacing w:after="120"/>
      </w:pPr>
      <w:r>
        <w:t xml:space="preserve">   3.2 [Application Portfolio Assessment: The 7 R's of Migration](#32-application-portfolio-assessment-the-7-rs-of-migration)</w:t>
      </w:r>
    </w:p>
    <w:p>
      <w:pPr>
        <w:spacing w:after="120"/>
      </w:pPr>
      <w:r>
        <w:t xml:space="preserve">   3.3 [Automated Database Migration Architecture (AWS DMS)](#33-automated-database-migration-architecture-aws-dms)</w:t>
      </w:r>
    </w:p>
    <w:p>
      <w:pPr>
        <w:spacing w:after="120"/>
      </w:pPr>
      <w:r>
        <w:t xml:space="preserve">   3.4 [Infrastructure as Code Justification: Terraform vs AWS CloudFormation](#34-infrastructure-as-code-justification-terraform-vs-aws-cloudformation)</w:t>
      </w:r>
    </w:p>
    <w:p>
      <w:pPr>
        <w:spacing w:after="120"/>
      </w:pPr>
      <w:r>
        <w:t xml:space="preserve">   3.5 [Pilot Migration, Cutover Execution, and Risk Management](#35-pilot-migration-cutover-execution-and-risk-management)</w:t>
      </w:r>
    </w:p>
    <w:p>
      <w:pPr>
        <w:spacing w:after="120"/>
      </w:pPr>
      <w:r>
        <w:t>4. [Task 3: Target AWS Architecture Design](#4-task-3-target-aws-architecture-design)</w:t>
      </w:r>
    </w:p>
    <w:p>
      <w:pPr>
        <w:spacing w:after="120"/>
      </w:pPr>
      <w:r>
        <w:t xml:space="preserve">   4.1 [Multi-Tier Multi-AZ VPC Network Topology](#41-multi-tier-multi-az-vpc-network-topology)</w:t>
      </w:r>
    </w:p>
    <w:p>
      <w:pPr>
        <w:spacing w:after="120"/>
      </w:pPr>
      <w:r>
        <w:t xml:space="preserve">   4.2 [Patient Monitoring Platform (PMP): Real-Time IoT Telemetry Stream](#42-patient-monitoring-platform-pmp-real-time-iot-telemetry-stream)</w:t>
      </w:r>
    </w:p>
    <w:p>
      <w:pPr>
        <w:spacing w:after="120"/>
      </w:pPr>
      <w:r>
        <w:t xml:space="preserve">   4.3 [Telemedicine and Patient Portal (TPP): Distributed Web Architecture](#43-telemedicine-and-patient-portal-tpp-distributed-web-architecture)</w:t>
      </w:r>
    </w:p>
    <w:p>
      <w:pPr>
        <w:spacing w:after="120"/>
      </w:pPr>
      <w:r>
        <w:t xml:space="preserve">   4.4 [Compute &amp; Persistence Tier Evaluation](#44-compute--persistence-tier-evaluation)</w:t>
      </w:r>
    </w:p>
    <w:p>
      <w:pPr>
        <w:spacing w:after="120"/>
      </w:pPr>
      <w:r>
        <w:t xml:space="preserve">   4.5 [Distributed Observability &amp; Telemetry](#45-distributed-observability--telemetry)</w:t>
      </w:r>
    </w:p>
    <w:p>
      <w:pPr>
        <w:spacing w:after="120"/>
      </w:pPr>
      <w:r>
        <w:t>5. [Task 4: Security, Governance, and Healthcare Compliance](#5-task-4-security-governance-and-healthcare-compliance)</w:t>
      </w:r>
    </w:p>
    <w:p>
      <w:pPr>
        <w:spacing w:after="120"/>
      </w:pPr>
      <w:r>
        <w:t xml:space="preserve">   4.1 [Multi-Layered Defense-in-Depth Model](#51-multi-layered-defense-in-depth-model)</w:t>
      </w:r>
    </w:p>
    <w:p>
      <w:pPr>
        <w:spacing w:after="120"/>
      </w:pPr>
      <w:r>
        <w:t xml:space="preserve">   4.2 [Zero-Trust Identity &amp; Attribute-Based Access Control (ABAC)](#52-zero-trust-identity--attribute-based-access-control-abac)</w:t>
      </w:r>
    </w:p>
    <w:p>
      <w:pPr>
        <w:spacing w:after="120"/>
      </w:pPr>
      <w:r>
        <w:t xml:space="preserve">   4.3 [Cryptographic Architecture (AWS KMS)](#53-cryptographic-architecture-aws-kms)</w:t>
      </w:r>
    </w:p>
    <w:p>
      <w:pPr>
        <w:spacing w:after="120"/>
      </w:pPr>
      <w:r>
        <w:t xml:space="preserve">   4.4 [Regulatory Governance (GDPR, HIPAA &amp; ISO 27001)](#54-regulatory-governance-gdpr-hipaa--iso-27001)</w:t>
      </w:r>
    </w:p>
    <w:p>
      <w:pPr>
        <w:spacing w:after="120"/>
      </w:pPr>
      <w:r>
        <w:t>6. [Task 5: Cost Optimisation &amp; Support Strategy](#6-task-5-cost-optimisation--support-strategy)</w:t>
      </w:r>
    </w:p>
    <w:p>
      <w:pPr>
        <w:spacing w:after="120"/>
      </w:pPr>
      <w:r>
        <w:t xml:space="preserve">   6.1 [Total Cost of Ownership (TCO) Baseline vs AWS Model](#61-total-cost-of-ownership-tco-baseline-vs-aws-model)</w:t>
      </w:r>
    </w:p>
    <w:p>
      <w:pPr>
        <w:spacing w:after="120"/>
      </w:pPr>
      <w:r>
        <w:t xml:space="preserve">   6.2 [Itemized AWS Pricing Calculator Bill of Materials](#62-itemized-aws-pricing-calculator-bill-of-materials)</w:t>
      </w:r>
    </w:p>
    <w:p>
      <w:pPr>
        <w:spacing w:after="120"/>
      </w:pPr>
      <w:r>
        <w:t xml:space="preserve">   6.3 [FinOps Cost Reduction Mechanisms](#63-finops-cost-reduction-mechanisms)</w:t>
      </w:r>
    </w:p>
    <w:p>
      <w:pPr>
        <w:spacing w:after="120"/>
      </w:pPr>
      <w:r>
        <w:t xml:space="preserve">   6.4 [Mathematical Verification of the 40%+ Cost Reduction Mandate](#64-mathematical-verification-of-the-40-cost-reduction-mandate)</w:t>
      </w:r>
    </w:p>
    <w:p>
      <w:pPr>
        <w:spacing w:after="120"/>
      </w:pPr>
      <w:r>
        <w:t xml:space="preserve">   6.5 [Educational / Proof-of-Concept Credit Management Strategy](#65-educational--proof-of-concept-credit-management-strategy)</w:t>
      </w:r>
    </w:p>
    <w:p>
      <w:pPr>
        <w:spacing w:after="120"/>
      </w:pPr>
      <w:r>
        <w:t>7. [Task 6: Data Migration and Business Continuity](#7-task-6-data-migration-and-business-continuity)</w:t>
      </w:r>
    </w:p>
    <w:p>
      <w:pPr>
        <w:spacing w:after="120"/>
      </w:pPr>
      <w:r>
        <w:t xml:space="preserve">   7.1 [Low-Downtime Database Migration Pipeline](#71-low-downtime-database-migration-pipeline)</w:t>
      </w:r>
    </w:p>
    <w:p>
      <w:pPr>
        <w:spacing w:after="120"/>
      </w:pPr>
      <w:r>
        <w:t xml:space="preserve">   7.2 [Historical Data Lake Archival via AWS Glue (PySpark)](#72-historical-data-lake-archival-via-aws-glue-pyspark)</w:t>
      </w:r>
    </w:p>
    <w:p>
      <w:pPr>
        <w:spacing w:after="120"/>
      </w:pPr>
      <w:r>
        <w:t xml:space="preserve">   7.3 [Cryptographic Data Integrity &amp; Reconciliation Checksums](#73-cryptographic-data-integrity--reconciliation-checksums)</w:t>
      </w:r>
    </w:p>
    <w:p>
      <w:pPr>
        <w:spacing w:after="120"/>
      </w:pPr>
      <w:r>
        <w:t xml:space="preserve">   7.4 [Disaster Recovery Architecture (RTO/RPO SLA Framework)](#74-disaster-recovery-architecture-rtorpo-sla-framework)</w:t>
      </w:r>
    </w:p>
    <w:p>
      <w:pPr>
        <w:spacing w:after="120"/>
      </w:pPr>
      <w:r>
        <w:t>8. [Task 7: Hybrid Connectivity and Edge Integration](#8-task-7-hybrid-connectivity-and-edge-integration)</w:t>
      </w:r>
    </w:p>
    <w:p>
      <w:pPr>
        <w:spacing w:after="120"/>
      </w:pPr>
      <w:r>
        <w:t xml:space="preserve">   8.1 [Dedicated Hybrid Interconnect (Direct Connect &amp; IPsec VPN Failover)](#81-dedicated-hybrid-interconnect-direct-connect--ipsec-vpn-failover)</w:t>
      </w:r>
    </w:p>
    <w:p>
      <w:pPr>
        <w:spacing w:after="120"/>
      </w:pPr>
      <w:r>
        <w:t xml:space="preserve">   8.2 [Hub-and-Spoke Interconnect via AWS Transit Gateway](#82-hub-and-spoke-interconnect-via-aws-transit-gateway)</w:t>
      </w:r>
    </w:p>
    <w:p>
      <w:pPr>
        <w:spacing w:after="120"/>
      </w:pPr>
      <w:r>
        <w:t xml:space="preserve">   8.3 [Hybrid DNS Architecture (Amazon Route 53 Resolver)](#83-hybrid-dns-architecture-amazon-route-53-resolver)</w:t>
      </w:r>
    </w:p>
    <w:p>
      <w:pPr>
        <w:spacing w:after="120"/>
      </w:pPr>
      <w:r>
        <w:t xml:space="preserve">   8.4 [Edge Computing in Hospital Wards via AWS IoT Greengrass v2](#84-edge-computing-in-hospital-wards-via-aws-iot-greengrass-v2)</w:t>
      </w:r>
    </w:p>
    <w:p>
      <w:pPr>
        <w:spacing w:after="120"/>
      </w:pPr>
      <w:r>
        <w:t>9. [Conclusion &amp; Strategic Recommendations](#9-conclusion--strategic-recommendations)</w:t>
      </w:r>
    </w:p>
    <w:p>
      <w:pPr>
        <w:spacing w:after="120"/>
      </w:pPr>
      <w:r>
        <w:t>10. [References](#10-references)</w:t>
      </w:r>
    </w:p>
    <w:p>
      <w:pPr>
        <w:spacing w:after="120"/>
      </w:pPr>
      <w:r>
        <w:t>11. [Appendices](#11-appendices)</w:t>
      </w:r>
    </w:p>
    <w:p>
      <w:pPr>
        <w:spacing w:after="120"/>
      </w:pPr>
      <w:r>
        <w:t>---</w:t>
      </w:r>
    </w:p>
    <w:p>
      <w:pPr>
        <w:pStyle w:val="Heading1"/>
        <w:spacing w:before="360" w:after="120"/>
      </w:pPr>
      <w:r>
        <w:rPr>
          <w:rFonts w:ascii="Calibri" w:hAnsi="Calibri"/>
          <w:b/>
          <w:color w:val="0369A1"/>
          <w:sz w:val="32"/>
        </w:rPr>
        <w:t>1. Introduction &amp; Business Context</w:t>
      </w:r>
    </w:p>
    <w:p>
      <w:pPr>
        <w:pStyle w:val="Heading2"/>
        <w:spacing w:before="280" w:after="80"/>
      </w:pPr>
      <w:r>
        <w:rPr>
          <w:rFonts w:ascii="Calibri" w:hAnsi="Calibri"/>
          <w:b/>
          <w:color w:val="0F172A"/>
          <w:sz w:val="26"/>
        </w:rPr>
        <w:t>1.1 Organizational Overview</w:t>
      </w:r>
    </w:p>
    <w:p>
      <w:pPr>
        <w:spacing w:after="120"/>
      </w:pPr>
      <w:r>
        <w:t>CloudFusion Healthcare Analytics Ltd (CHA) is an innovative healthcare software provider serving regional hospitals, outpatient clinics, and medical research laboratories throughout South Asia and the Middle East. CHA's product suite centers around two flagship distributed solutions:</w:t>
      </w:r>
    </w:p>
    <w:p>
      <w:pPr>
        <w:spacing w:after="120"/>
      </w:pPr>
      <w:r>
        <w:t>1. **Patient Monitoring Platform (PMP)**: A real-time clinical platform capturing physiological telemetry from bedside medical devices and wearable sensors.</w:t>
      </w:r>
    </w:p>
    <w:p>
      <w:pPr>
        <w:spacing w:after="120"/>
      </w:pPr>
      <w:r>
        <w:t>2. **Telemedicine and Patient Portal (TPP)**: A patient-facing web application delivering encrypted WebRTC video consultations, electronic health record (EHR) retrieval, clinical appointment scheduling, and laboratory report dissemination.</w:t>
      </w:r>
    </w:p>
    <w:p>
      <w:pPr>
        <w:pStyle w:val="Heading2"/>
        <w:spacing w:before="280" w:after="80"/>
      </w:pPr>
      <w:r>
        <w:rPr>
          <w:rFonts w:ascii="Calibri" w:hAnsi="Calibri"/>
          <w:b/>
          <w:color w:val="0F172A"/>
          <w:sz w:val="26"/>
        </w:rPr>
        <w:t>1.2 Business Drivers &amp; Critical Constraints</w:t>
      </w:r>
    </w:p>
    <w:p>
      <w:pPr>
        <w:spacing w:after="120"/>
      </w:pPr>
      <w:r>
        <w:t>CHA’s current infrastructure can no longer sustain its commercial trajectory. The executive board has outlined strict business drivers:</w:t>
      </w:r>
    </w:p>
    <w:p>
      <w:pPr>
        <w:pStyle w:val="ListBullet"/>
        <w:spacing w:after="60"/>
      </w:pPr>
      <w:r>
        <w:t>**High Availability &amp; Five Nines Target**: While the baseline contractual SLA demands **99.99% availability** (maximum permissible downtime of 52.56 minutes annually), modern enterprise healthcare environments operate under life-safety imperatives comparable to telecommunications providers. Telecommunications networks standardly mandate **99.999% ("five nines") availability**, permitting merely 5.26 minutes of downtime per year (Kuhraz &amp; Al-Qutaimi, 2021). For clinical monitoring where undetected cardiac arrests can lead to patient mortality, the architecture must eliminate all single points of failure to approach continuous availability.</w:t>
      </w:r>
    </w:p>
    <w:p>
      <w:pPr>
        <w:pStyle w:val="ListBullet"/>
        <w:spacing w:after="60"/>
      </w:pPr>
      <w:r>
        <w:t>**Concurrent Scalability**: The platform must dynamically accommodate **over 100,000 concurrent active users** during daytime clinical hours without performance degradation.</w:t>
      </w:r>
    </w:p>
    <w:p>
      <w:pPr>
        <w:pStyle w:val="ListBullet"/>
        <w:spacing w:after="60"/>
      </w:pPr>
      <w:r>
        <w:t>**Aggressive Cost Reduction**: Infrastructure operational expenses must decrease by **at least 40%** relative to the on-premises run-rate.</w:t>
      </w:r>
    </w:p>
    <w:p>
      <w:pPr>
        <w:pStyle w:val="ListBullet"/>
        <w:spacing w:after="60"/>
      </w:pPr>
      <w:r>
        <w:t>**Regulatory Compliance**: Systems must comply with the General Data Protection Regulation (**GDPR**), the Health Insurance Portability and Accountability Act (**HIPAA**), and **ISO 27001**.</w:t>
      </w:r>
    </w:p>
    <w:p>
      <w:pPr>
        <w:pStyle w:val="ListBullet"/>
        <w:spacing w:after="60"/>
      </w:pPr>
      <w:r>
        <w:t>**Edge Resilience &amp; IoT Integration**: Inpatient hospital wards must maintain continuous vital signs processing even during wider wide-area network (WAN) outages.</w:t>
      </w:r>
    </w:p>
    <w:p>
      <w:pPr>
        <w:pStyle w:val="Heading2"/>
        <w:spacing w:before="280" w:after="80"/>
      </w:pPr>
      <w:r>
        <w:rPr>
          <w:rFonts w:ascii="Calibri" w:hAnsi="Calibri"/>
          <w:b/>
          <w:color w:val="0F172A"/>
          <w:sz w:val="26"/>
        </w:rPr>
        <w:t>1.3 The Clinical Paradigm Shift: Discrete Polling vs Continuous IoT Telemetry</w:t>
      </w:r>
    </w:p>
    <w:p>
      <w:pPr>
        <w:spacing w:after="120"/>
      </w:pPr>
      <w:r>
        <w:t>To understand the technical necessity of cloud modernization, one must examine the clinical realities of acute care monitoring. In traditional hospital wards, vital signs are collected via **discrete polling**: a nurse visits a patient periodically (e.g., every four to six hours), manually measures blood pressure, pulse, and oxygen saturation, and transcribes these discrete values onto paper charts or static desktop databases.</w:t>
      </w:r>
    </w:p>
    <w:p>
      <w:pPr>
        <w:spacing w:after="120"/>
      </w:pPr>
      <w:r>
        <w:t>This model introduces catastrophic diagnostic blind spots. If a cardiac patient experiences acute myocardial ischemia or malignant arrhythmias between nursing rounds, medical personnel remain completely blind to the deterioration until the patient enters full hemodynamic collapse. Medical staff are forced to react retrospectively, attempting to reconstruct the precipitating factors after the damage has occurred (Subramanian et al., 2022).</w:t>
      </w:r>
    </w:p>
    <w:p>
      <w:pPr>
        <w:spacing w:after="120"/>
      </w:pPr>
      <w:r>
        <w:t>Modern clinical medicine demands **continuous telemetry streaming**. Wireless medical sensors and smart patches attached to the patient stream physiological signals (SpO2, continuous ECG waveforms, respiratory rate) every minute to an intelligent cloud ingestion pipeline. A real-time clinical dashboard visualizes physiological drift continuously. Furthermore, cloud-hosted machine learning models evaluate multivariate time-series trends, predicting critical patient deterioration (such as impending septic shock or respiratory decompensation) 24 to 48 hours in advance (Rajkomar et al., 2018). This enables proactive medical interventions, fundamentally transforming healthcare delivery from reactive treatment to predictive prevention.</w:t>
      </w:r>
    </w:p>
    <w:p>
      <w:pPr>
        <w:pStyle w:val="Heading2"/>
        <w:spacing w:before="280" w:after="80"/>
      </w:pPr>
      <w:r>
        <w:rPr>
          <w:rFonts w:ascii="Calibri" w:hAnsi="Calibri"/>
          <w:b/>
          <w:color w:val="0F172A"/>
          <w:sz w:val="26"/>
        </w:rPr>
        <w:t>1.4 Consultancy Objectives &amp; Scope</w:t>
      </w:r>
    </w:p>
    <w:p>
      <w:pPr>
        <w:spacing w:after="120"/>
      </w:pPr>
      <w:r>
        <w:t>This report delivers an architectural blueprint guiding CHA through a comprehensive modernization lifecycle. The scope encompasses:</w:t>
      </w:r>
    </w:p>
    <w:p>
      <w:pPr>
        <w:pStyle w:val="ListBullet"/>
        <w:spacing w:after="60"/>
      </w:pPr>
      <w:r>
        <w:t>Architectural deconstruction of on-premises vulnerabilities.</w:t>
      </w:r>
    </w:p>
    <w:p>
      <w:pPr>
        <w:pStyle w:val="ListBullet"/>
        <w:spacing w:after="60"/>
      </w:pPr>
      <w:r>
        <w:t>Formulation of a phased migration framework aligned with the AWS Well-Architected Framework.</w:t>
      </w:r>
    </w:p>
    <w:p>
      <w:pPr>
        <w:pStyle w:val="ListBullet"/>
        <w:spacing w:after="60"/>
      </w:pPr>
      <w:r>
        <w:t>Architectural design for PMP and TPP spanning compute, persistence, edge, and security layers.</w:t>
      </w:r>
    </w:p>
    <w:p>
      <w:pPr>
        <w:pStyle w:val="ListBullet"/>
        <w:spacing w:after="60"/>
      </w:pPr>
      <w:r>
        <w:t>Comprehensive FinOps financial modeling establishing an 82.3% TCO reduction.</w:t>
      </w:r>
    </w:p>
    <w:p>
      <w:pPr>
        <w:pStyle w:val="ListBullet"/>
        <w:spacing w:after="60"/>
      </w:pPr>
      <w:r>
        <w:t>Concrete Infrastructure as Code (Terraform), DMS configurations, Glue ETL scripts, and IoT Greengrass deployments.</w:t>
      </w:r>
    </w:p>
    <w:p>
      <w:pPr>
        <w:spacing w:after="120"/>
      </w:pPr>
      <w:r>
        <w:t>---</w:t>
      </w:r>
    </w:p>
    <w:p>
      <w:pPr>
        <w:pStyle w:val="Heading1"/>
        <w:spacing w:before="360" w:after="120"/>
      </w:pPr>
      <w:r>
        <w:rPr>
          <w:rFonts w:ascii="Calibri" w:hAnsi="Calibri"/>
          <w:b/>
          <w:color w:val="0369A1"/>
          <w:sz w:val="32"/>
        </w:rPr>
        <w:t>2. Task 1: Current Infrastructure Analysis &amp; Cloud Adoption Justification</w:t>
      </w:r>
    </w:p>
    <w:p/>
    <w:p>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clinical_vitals_telemetry_contrast.png"/>
                    <pic:cNvPicPr/>
                  </pic:nvPicPr>
                  <pic:blipFill>
                    <a:blip r:embed="rId9"/>
                    <a:stretch>
                      <a:fillRect/>
                    </a:stretch>
                  </pic:blipFill>
                  <pic:spPr>
                    <a:xfrm>
                      <a:off x="0" y="0"/>
                      <a:ext cx="5669280" cy="3779520"/>
                    </a:xfrm>
                    <a:prstGeom prst="rect"/>
                  </pic:spPr>
                </pic:pic>
              </a:graphicData>
            </a:graphic>
          </wp:inline>
        </w:drawing>
      </w:r>
    </w:p>
    <w:p>
      <w:pPr>
        <w:jc w:val="center"/>
      </w:pPr>
      <w:r>
        <w:rPr>
          <w:i/>
          <w:sz w:val="18"/>
        </w:rPr>
        <w:t>Figure 1: Continuous AWS IoT Telemetry vs Traditional Discrete Polling (Clinical Evidence)</w:t>
      </w:r>
    </w:p>
    <w:p>
      <w:pPr>
        <w:pStyle w:val="Heading2"/>
        <w:spacing w:before="280" w:after="80"/>
      </w:pPr>
      <w:r>
        <w:rPr>
          <w:rFonts w:ascii="Calibri" w:hAnsi="Calibri"/>
          <w:b/>
          <w:color w:val="0F172A"/>
          <w:sz w:val="26"/>
        </w:rPr>
        <w:t>2.1 Critical Deconstruction of the On-Premises Architecture</w:t>
      </w:r>
    </w:p>
    <w:p>
      <w:pPr>
        <w:spacing w:after="120"/>
      </w:pPr>
      <w:r>
        <w:t>CHA’s current infrastructure is hosted in a single on-premises data center, supporting approximately 220 virtual machines managed via VMware ESXi hypervisors. The core applications run as a massive monolithic software stack backed by standalone Microsoft SQL Server and MySQL databases.</w:t>
      </w:r>
    </w:p>
    <w:p>
      <w:pPr>
        <w:spacing w:before="80" w:after="120"/>
        <w:ind w:left="288"/>
      </w:pPr>
      <w:r>
        <w:rPr>
          <w:rFonts w:ascii="Consolas" w:hAnsi="Consolas"/>
          <w:color w:val="0F172A"/>
          <w:sz w:val="17"/>
        </w:rPr>
        <w:t>+---------------------------------------------------------------------------------------------------+</w:t>
        <w:br/>
        <w:t>|                        CHA Legacy On-Premises Architecture Bottlenecks                            |</w:t>
        <w:br/>
        <w:t>+------------------------------------+--------------------------------------------------------------+</w:t>
        <w:br/>
        <w:t>| Architectural Domain               | Observed Vulnerability &amp; Failure Modes                       |</w:t>
        <w:br/>
        <w:t>+------------------------------------+--------------------------------------------------------------+</w:t>
        <w:br/>
        <w:t>| Scalability &amp; Elasticity           | Rigid physical hardware boundary; provisioning new hypervisor|</w:t>
        <w:br/>
        <w:t>|                                    | capacity requires 8-12 weeks procurement lead time.          |</w:t>
        <w:br/>
        <w:t>+------------------------------------+--------------------------------------------------------------+</w:t>
        <w:br/>
        <w:t>| Availability &amp; Reliability         | Single site deployment; zero geographical redundancy; data   |</w:t>
        <w:br/>
        <w:t>|                                    | center power or cooling failure results in total blackout.   |</w:t>
        <w:br/>
        <w:t>+------------------------------------+--------------------------------------------------------------+</w:t>
        <w:br/>
        <w:t>| Application Architecture           | Monolithic codebase; tight coupling between UI, billing, and |</w:t>
        <w:br/>
        <w:t>|                                    | clinical records; a single memory leak crashes all services. |</w:t>
        <w:br/>
        <w:t>+------------------------------------+--------------------------------------------------------------+</w:t>
        <w:br/>
        <w:t>| Database Operations                | Standalone SQL Server with manual point-in-time backups;     |</w:t>
        <w:br/>
        <w:t>|                                    | read-heavy reporting locks write transactions for clinics.   |</w:t>
        <w:br/>
        <w:t>+------------------------------------+--------------------------------------------------------------+</w:t>
        <w:br/>
        <w:t>| Deployment &amp; Operational Lifecycle | Manual deployments via RDP/SSH; undocumented configuration   |</w:t>
        <w:br/>
        <w:t>|                                    | drift; zero automated testing; high change-failure rate.     |</w:t>
        <w:br/>
        <w:t>+------------------------------------+--------------------------------------------------------------+</w:t>
        <w:br/>
        <w:t>| Monitoring &amp; Observability         | Siloed Windows event logs and basic SNMP polling; no unified |</w:t>
        <w:br/>
        <w:t>|                                    | distributed tracing; triage takes hours after clinical crash.|</w:t>
        <w:br/>
        <w:t>+------------------------------------+--------------------------------------------------------------+</w:t>
        <w:br/>
        <w:t>| Network &amp; Interconnect             | Fragile IPsec VPN tunnels over commodity internet linking 22 |</w:t>
        <w:br/>
        <w:t>|                                    | branch hospitals; packet loss severely degrades telehealth.  |</w:t>
        <w:br/>
        <w:t>+------------------------------------+--------------------------------------------------------------+</w:t>
      </w:r>
    </w:p>
    <w:p>
      <w:pPr>
        <w:pStyle w:val="Heading2"/>
        <w:spacing w:before="280" w:after="80"/>
      </w:pPr>
      <w:r>
        <w:rPr>
          <w:rFonts w:ascii="Calibri" w:hAnsi="Calibri"/>
          <w:b/>
          <w:color w:val="0F172A"/>
          <w:sz w:val="26"/>
        </w:rPr>
        <w:t>2.2 The SDLC Dimension: Monoliths vs Agile Microservices</w:t>
      </w:r>
    </w:p>
    <w:p>
      <w:pPr>
        <w:spacing w:after="120"/>
      </w:pPr>
      <w:r>
        <w:t>The operational crisis at CHA is fundamentally rooted in the evolution of the Software Development Life Cycle (SDLC). Historically, monolithic applications were developed using the **Waterfall methodology**. Waterfall enforces rigid, sequential phases: extensive requirements gathering, architectural specification, monolithic implementation, and protracted manual quality assurance cycles spanning 6 to 12 months (Sommerville, 2020).</w:t>
      </w:r>
    </w:p>
    <w:p>
      <w:pPr>
        <w:spacing w:after="120"/>
      </w:pPr>
      <w:r>
        <w:t>In a monolithic architecture, all functional domains (patient authentication, billing, scheduling, EHR, and telemetry processing) reside within a single codebase executing within a shared memory space. Consequently:</w:t>
      </w:r>
    </w:p>
    <w:p>
      <w:pPr>
        <w:pStyle w:val="ListBullet"/>
        <w:spacing w:after="60"/>
      </w:pPr>
      <w:r>
        <w:t>**Blast Radius Amplification**: A minor software bug in the billing calculation module can exhaust the application server thread pool, triggering a catastrophic crash that disables real-time intensive care monitoring across all hospitals.</w:t>
      </w:r>
    </w:p>
    <w:p>
      <w:pPr>
        <w:pStyle w:val="ListBullet"/>
        <w:spacing w:after="60"/>
      </w:pPr>
      <w:r>
        <w:t>**Deployment Paralysis**: Because all components are tightly coupled, deploying a minor bug fix necessitates recompiling, retesting, and redeploying the entire multi-gigabyte monolith, forcing engineering teams to schedule high-risk midnight maintenance windows.</w:t>
      </w:r>
    </w:p>
    <w:p>
      <w:pPr>
        <w:pStyle w:val="ListBullet"/>
        <w:spacing w:after="60"/>
      </w:pPr>
      <w:r>
        <w:t>**Scaling Inefficiency**: When user demand surges for video consultations during peak morning clinic hours, the entire monolith must be scaled horizontally. This consumes immense memory and CPU resources replicating unneeded billing and analytics engines across expensive virtual machines.</w:t>
      </w:r>
    </w:p>
    <w:p>
      <w:pPr>
        <w:spacing w:after="120"/>
      </w:pPr>
      <w:r>
        <w:t>Modern cloud engineering relies on **Agile and DevOps methodologies** powered by **containerized microservices**. By decomposing CHA's monolith into decoupled domain services (e.g., `Patient-Service`, `Appointment-Service`, `Telehealth-Service`, and `Telemetry-Ingest-Service`) orchestrated via **Amazon Elastic Container Service (ECS) on AWS Fargate**, each microservice is developed, tested, and continuously deployed via automated CI/CD pipelines. Workloads scale independently in seconds based on specific resource metrics, and failure within one microservice is completely isolated by circuit-breaker design patterns.</w:t>
      </w:r>
    </w:p>
    <w:p>
      <w:pPr>
        <w:pStyle w:val="Heading2"/>
        <w:spacing w:before="280" w:after="80"/>
      </w:pPr>
      <w:r>
        <w:rPr>
          <w:rFonts w:ascii="Calibri" w:hAnsi="Calibri"/>
          <w:b/>
          <w:color w:val="0F172A"/>
          <w:sz w:val="26"/>
        </w:rPr>
        <w:t>2.3 Lift-and-Shift Mapping to AWS Cloud Services</w:t>
      </w:r>
    </w:p>
    <w:p>
      <w:pPr>
        <w:spacing w:after="120"/>
      </w:pPr>
      <w:r>
        <w:t>To systematically resolve CHA’s organizational bottlenecks, the legacy infrastructure components are mapped directly to managed AWS services in Table 1.</w:t>
      </w:r>
    </w:p>
    <w:p>
      <w:pPr>
        <w:spacing w:before="80" w:after="120"/>
        <w:ind w:left="288"/>
      </w:pPr>
      <w:r>
        <w:rPr>
          <w:rFonts w:ascii="Consolas" w:hAnsi="Consolas"/>
          <w:color w:val="0F172A"/>
          <w:sz w:val="17"/>
        </w:rPr>
        <w:t>Table 1: Strategic Mapping of On-Premises Bottlenecks to AWS Managed Cloud Services</w:t>
        <w:br/>
        <w:t>+--------------------------+-----------------------+------------------------+---------------------------------------+</w:t>
        <w:br/>
        <w:t>| On-Premises Component    | Identified Limitation | Target AWS Service     | Architectural Justification           |</w:t>
        <w:br/>
        <w:t>+--------------------------+-----------------------+------------------------+---------------------------------------+</w:t>
        <w:br/>
        <w:t>| 220 VMware Virtual       | Static sizing; manual | Amazon ECS on          | Serverless container compute; auto-   |</w:t>
        <w:br/>
        <w:t>| Machines                 | OS patching; no scale | AWS Fargate            | scales from 6 to 60 tasks in seconds; |</w:t>
        <w:br/>
        <w:t>|                          |                       |                        | eliminates OS maintenance overhead.   |</w:t>
        <w:br/>
        <w:t>+--------------------------+-----------------------+------------------------+---------------------------------------+</w:t>
        <w:br/>
        <w:t>| Monolithic Application   | Cascading failures;   | AWS Lambda &amp;           | Decoupled microservices architecture; |</w:t>
        <w:br/>
        <w:t>| Server Stack             | long release cycles   | Amazon API Gateway     | sub-millisecond execution for alerts; |</w:t>
        <w:br/>
        <w:t>|                          |                       |                        | isolated blast radius per service.    |</w:t>
        <w:br/>
        <w:t>+--------------------------+-----------------------+------------------------+---------------------------------------+</w:t>
        <w:br/>
        <w:t>| Standalone Microsoft     | Single point failure; | Amazon Aurora          | Multi-AZ storage replicated 6-way     |</w:t>
        <w:br/>
        <w:t>| SQL Server &amp; MySQL       | locking contention;   | PostgreSQL             | across 3 AZs; automated failover &lt;30s;|</w:t>
        <w:br/>
        <w:t>|                          | manual replication    | Serverless v2          | read replicas offload clinical reports|</w:t>
        <w:br/>
        <w:t>+--------------------------+-----------------------+------------------------+---------------------------------------+</w:t>
        <w:br/>
        <w:t>| On-Premises SAN Storage  | Finite capacity; high | Amazon S3 &amp; S3         | 11 9s durability; automated lifecycle |</w:t>
        <w:br/>
        <w:t>| Arrays &amp; LTO Tapes       | capital expenditure;  | Glacier Deep Archive   | tiering; encryption at rest via KMS;  |</w:t>
        <w:br/>
        <w:t>|                          | complex tape courier  |                        | immutable compliance object locking.  |</w:t>
        <w:br/>
        <w:t>+--------------------------+-----------------------+------------------------+---------------------------------------+</w:t>
        <w:br/>
        <w:t>| Hardware Load Balancers  | Static throughput; no | Application Load       | Dynamic scaling; path-based routing;  |</w:t>
        <w:br/>
        <w:t>| &amp; Apache Reverse Proxies | auto-scaling; single DC| Balancer (ALB) &amp;       | integration with AWS WAF for Layer 7  |</w:t>
        <w:br/>
        <w:t>|                          | bottleneck            | Amazon CloudFront      | DDoS and OWASP Top 10 mitigation.     |</w:t>
        <w:br/>
        <w:t>+--------------------------+-----------------------+------------------------+---------------------------------------+</w:t>
        <w:br/>
        <w:t>| Local BIND DNS &amp; Static  | No health failover;   | Amazon Route 53        | Global latency-based routing; health  |</w:t>
        <w:br/>
        <w:t>| Windows Server DNS       | single DNS server     | (Public &amp; Resolver)    | checks; automated failover; hybrid DNS|</w:t>
        <w:br/>
        <w:t>|                          | failure causes outage |                        | integration with branch clinics.      |</w:t>
        <w:br/>
        <w:t>+--------------------------+-----------------------+------------------------+---------------------------------------+</w:t>
        <w:br/>
        <w:t>| Local Active Directory   | Perimeter firewall-   | AWS IAM Identity       | Granular least-privilege Attribute-   |</w:t>
        <w:br/>
        <w:t>| &amp; Static Server Accounts | based; shared service | Center &amp; AWS KMS       | Based Access Control (ABAC); enforced |</w:t>
        <w:br/>
        <w:t>|                          | credentials; no MFA   |                        | MFA; Customer Managed Key encryption. |</w:t>
        <w:br/>
        <w:t>+--------------------------+-----------------------+------------------------+---------------------------------------+</w:t>
      </w:r>
    </w:p>
    <w:p>
      <w:pPr>
        <w:spacing w:after="120"/>
      </w:pPr>
      <w:r>
        <w:t>---</w:t>
      </w:r>
    </w:p>
    <w:p>
      <w:pPr>
        <w:pStyle w:val="Heading1"/>
        <w:spacing w:before="360" w:after="120"/>
      </w:pPr>
      <w:r>
        <w:rPr>
          <w:rFonts w:ascii="Calibri" w:hAnsi="Calibri"/>
          <w:b/>
          <w:color w:val="0369A1"/>
          <w:sz w:val="32"/>
        </w:rPr>
        <w:t>3. Task 2: Cloud Migration Strategy</w:t>
      </w:r>
    </w:p>
    <w:p>
      <w:pPr>
        <w:pStyle w:val="Heading2"/>
        <w:spacing w:before="280" w:after="80"/>
      </w:pPr>
      <w:r>
        <w:rPr>
          <w:rFonts w:ascii="Calibri" w:hAnsi="Calibri"/>
          <w:b/>
          <w:color w:val="0F172A"/>
          <w:sz w:val="26"/>
        </w:rPr>
        <w:t>3.1 Alignment with the AWS Well-Architected Framework</w:t>
      </w:r>
    </w:p>
    <w:p>
      <w:pPr>
        <w:spacing w:after="120"/>
      </w:pPr>
      <w:r>
        <w:t>The modernization roadmap is governed by the six pillars of the AWS Well-Architected Framework (AWS, 2024a):</w:t>
      </w:r>
    </w:p>
    <w:p>
      <w:pPr>
        <w:spacing w:after="120"/>
      </w:pPr>
      <w:r>
        <w:t>1. **Operational Excellence**: Transitioning all infrastructure configuration into version-controlled Infrastructure as Code (Terraform), implementing centralized telemetry through Amazon CloudWatch Container Insights, and executing automated blue/green canary deployments.</w:t>
      </w:r>
    </w:p>
    <w:p>
      <w:pPr>
        <w:spacing w:after="120"/>
      </w:pPr>
      <w:r>
        <w:t>2. **Security**: Enforcing zero-trust network boundaries through private subnets, Security Group chaining, mandatory envelope encryption using AWS KMS Customer Managed Keys (CMK), and continuous compliance audit tracking via AWS CloudTrail and AWS Config.</w:t>
      </w:r>
    </w:p>
    <w:p>
      <w:pPr>
        <w:spacing w:after="120"/>
      </w:pPr>
      <w:r>
        <w:t>3. **Reliability**: Architecting across three physical Availability Zones, provisioning automated database failover with Amazon Aurora, and deploying AWS IoT Greengrass edge nodes to ensure continuous local telemetry processing during network isolations.</w:t>
      </w:r>
    </w:p>
    <w:p>
      <w:pPr>
        <w:spacing w:after="120"/>
      </w:pPr>
      <w:r>
        <w:t>4. **Performance Efficiency**: Leveraging serverless compute (AWS Fargate and Lambda) to dynamically match 100,000 concurrent user spikes, deploying Amazon ElastiCache for Redis caching, and accelerating static SPA content delivery via Amazon CloudFront.</w:t>
      </w:r>
    </w:p>
    <w:p>
      <w:pPr>
        <w:spacing w:after="120"/>
      </w:pPr>
      <w:r>
        <w:t>5. **Cost Optimization**: Eliminating idle over-provisioning through Fargate Spot blending, utilizing 3-Year Compute Savings Plans, configuring S3 Intelligent-Tiering, and utilizing S3/DynamoDB VPC Gateway Endpoints.</w:t>
      </w:r>
    </w:p>
    <w:p>
      <w:pPr>
        <w:spacing w:after="120"/>
      </w:pPr>
      <w:r>
        <w:t>6. **Sustainability**: Migrating from inefficient, partially loaded on-premises servers to multi-tenant AWS Graviton-backed managed serverless architectures, drastically reducing carbon intensity per medical transaction.</w:t>
      </w:r>
    </w:p>
    <w:p>
      <w:pPr>
        <w:pStyle w:val="Heading2"/>
        <w:spacing w:before="280" w:after="80"/>
      </w:pPr>
      <w:r>
        <w:rPr>
          <w:rFonts w:ascii="Calibri" w:hAnsi="Calibri"/>
          <w:b/>
          <w:color w:val="0F172A"/>
          <w:sz w:val="26"/>
        </w:rPr>
        <w:t>3.2 Application Portfolio Assessment: The 7 R's of Migration</w:t>
      </w:r>
    </w:p>
    <w:p>
      <w:pPr>
        <w:spacing w:after="120"/>
      </w:pPr>
      <w:r>
        <w:t>Industry best practice identifies the "7 R's" of cloud migration: *Rehost, Replatform, Refactor, Repurchase, Retain, Retire, and Relocate* (Gartner, 2023). However, as emphasized in enterprise consultancy, an organization must judiciously select the migration strategies that align with its technical maturity and business constraints, rather than attempting to apply all seven indiscriminately. For CHA, a tri-phased hybridization of **Rehost, Replatform, and Refactor** has been established:</w:t>
      </w:r>
    </w:p>
    <w:p>
      <w:pPr>
        <w:spacing w:before="80" w:after="120"/>
        <w:ind w:left="288"/>
      </w:pPr>
      <w:r>
        <w:rPr>
          <w:rFonts w:ascii="Consolas" w:hAnsi="Consolas"/>
          <w:color w:val="0F172A"/>
          <w:sz w:val="17"/>
        </w:rPr>
        <w:t xml:space="preserve">                                  [CHA Application Portfolio]</w:t>
        <w:br/>
        <w:t xml:space="preserve">                                                │</w:t>
        <w:br/>
        <w:t xml:space="preserve">         ┌──────────────────────────────────────┼──────────────────────────────────────┐</w:t>
        <w:br/>
        <w:t xml:space="preserve">         ▼                                      ▼                                      ▼</w:t>
        <w:br/>
        <w:t xml:space="preserve">     [Rehost]                              [Replatform]                           [Refactor]</w:t>
        <w:br/>
        <w:t xml:space="preserve"> (Lift-and-Shift)                       (Database Modernisation)             (Cloud-Native Decomposition)</w:t>
        <w:br/>
        <w:t xml:space="preserve"> ─────────────────                      ────────────────────────             ────────────────────────────</w:t>
        <w:br/>
        <w:t xml:space="preserve"> • Ancillary Windows utilities          • MS SQL Server &amp; MySQL to           • Monolithic web app broken</w:t>
        <w:br/>
        <w:t xml:space="preserve"> • Legacy billing batch tools           • Amazon Aurora PostgreSQL           • Containerised on ECS Fargate</w:t>
        <w:br/>
        <w:t xml:space="preserve"> • Migrated via AWS Application         • Uses AWS Schema Conversion Tool    • Real-time IoT vitals pipeline</w:t>
        <w:br/>
        <w:t xml:space="preserve">   Migration Service (MGN)                (SCT) &amp; AWS DMS for zero downtime    rewritten to AWS IoT Core + Kinesis</w:t>
      </w:r>
    </w:p>
    <w:p>
      <w:pPr>
        <w:spacing w:after="120"/>
      </w:pPr>
      <w:r>
        <w:t>1. **Replatform (Database Modernization)**: Applied to Microsoft SQL Server and MySQL. Replatforming eliminates proprietary license fees by migrating to **Amazon Aurora PostgreSQL Serverless v2** via AWS SCT and AWS DMS without rewriting application data models.</w:t>
      </w:r>
    </w:p>
    <w:p>
      <w:pPr>
        <w:spacing w:after="120"/>
      </w:pPr>
      <w:r>
        <w:t>2. **Refactor (Cloud-Native Modernization)**: Applied to core clinical applications. The monolithic core is decoupled into containerized microservices hosted on **Amazon ECS on AWS Fargate** for TPP, while the high-velocity ingestion engine of PMP is refactored into a serverless pipeline utilizing **AWS IoT Core**, **Amazon Kinesis Data Streams**, and **Amazon DynamoDB**.</w:t>
      </w:r>
    </w:p>
    <w:p>
      <w:pPr>
        <w:spacing w:after="120"/>
      </w:pPr>
      <w:r>
        <w:t>3. **Rehost (Lift-and-Shift)**: Applied selectively as a temporary stabilization measure for legacy ancillary Windows services and specialized reporting batch processors using **AWS Application Migration Service (AWS MGN)**.</w:t>
      </w:r>
    </w:p>
    <w:p>
      <w:pPr>
        <w:pStyle w:val="Heading2"/>
        <w:spacing w:before="280" w:after="80"/>
      </w:pPr>
      <w:r>
        <w:rPr>
          <w:rFonts w:ascii="Calibri" w:hAnsi="Calibri"/>
          <w:b/>
          <w:color w:val="0F172A"/>
          <w:sz w:val="26"/>
        </w:rPr>
        <w:t>3.3 Automated Database Migration Architecture (AWS DMS)</w:t>
      </w:r>
    </w:p>
    <w:p>
      <w:pPr>
        <w:spacing w:after="120"/>
      </w:pPr>
      <w:r>
        <w:t>Database migration carries the highest operational risk. To achieve minimal downtime (&lt;15 minutes maintenance window) for CHA’s multi-terabyte clinical databases, **AWS Database Migration Service (AWS DMS)** is deployed in a Multi-AZ replication configuration:</w:t>
      </w:r>
    </w:p>
    <w:p>
      <w:pPr>
        <w:spacing w:after="120"/>
      </w:pPr>
      <w:r>
        <w:t>1. **Schema Conversion**: The AWS Schema Conversion Tool (SCT) analyzes on-premises SQL Server T-SQL stored procedures, triggers, and relational schemas, converting them into ANSI-compliant PostgreSQL definitions applied to target Amazon Aurora instances.</w:t>
      </w:r>
    </w:p>
    <w:p>
      <w:pPr>
        <w:spacing w:after="120"/>
      </w:pPr>
      <w:r>
        <w:t>2. **Full Load Replication**: DMS extracts historical table records in parallel streams across 8 sub-tasks, loading baseline datasets into Aurora while maintaining source transactional integrity.</w:t>
      </w:r>
    </w:p>
    <w:p>
      <w:pPr>
        <w:spacing w:after="120"/>
      </w:pPr>
      <w:r>
        <w:t>3. **Continuous Change Data Capture (CDC)**: While the full load executes, DMS reads source Microsoft SQL Server active transaction logs and MySQL binary logs. Transactions committed during the baseline transfer are buffered on the `dms.r5.xlarge` replication instance and continuously applied to Aurora with sub-two-second latency.</w:t>
      </w:r>
    </w:p>
    <w:p>
      <w:pPr>
        <w:spacing w:after="120"/>
      </w:pPr>
      <w:r>
        <w:t>4. **Final Cutover**: The application cutover window is initiated: source write traffic is paused, DMS applies the remaining queue within seconds, data integrity validation hashes are verified, and Route 53 updates DNS records to route clinical traffic to the new Aurora cluster.</w:t>
      </w:r>
    </w:p>
    <w:p>
      <w:pPr>
        <w:pStyle w:val="Heading2"/>
        <w:spacing w:before="280" w:after="80"/>
      </w:pPr>
      <w:r>
        <w:rPr>
          <w:rFonts w:ascii="Calibri" w:hAnsi="Calibri"/>
          <w:b/>
          <w:color w:val="0F172A"/>
          <w:sz w:val="26"/>
        </w:rPr>
        <w:t>3.4 Infrastructure as Code Justification: Terraform vs AWS CloudFormation</w:t>
      </w:r>
    </w:p>
    <w:p>
      <w:pPr>
        <w:spacing w:after="120"/>
      </w:pPr>
      <w:r>
        <w:t>A critical design decision in enterprise cloud architecture is selecting an Infrastructure as Code (IaC) provisioning engine. While **AWS CloudFormation** provides tight, native integration with newly released AWS services, **HashiCorp Terraform** was deliberately chosen as the enterprise IaC engine for CHA based on decisive strategic advantages:</w:t>
      </w:r>
    </w:p>
    <w:p>
      <w:pPr>
        <w:pStyle w:val="ListBullet"/>
        <w:spacing w:after="60"/>
      </w:pPr>
      <w:r>
        <w:t>**Multi-Cloud &amp; Hybrid Interoperability**: CloudFormation is strictly proprietary and locked to the AWS ecosystem. CHA's operational model encompasses 22 on-premises branch hospitals operating VMware hypervisors, edge appliances, and potential secondary cloud providers. Terraform provides a unified orchestration language (`HCL`) that manages AWS cloud resources, on-premises VMware vSphere infrastructure, and third-party monitoring platforms (e.g., Datadog, Cloudflare) through a single workflow (Brikman, 2022).</w:t>
      </w:r>
    </w:p>
    <w:p>
      <w:pPr>
        <w:pStyle w:val="ListBullet"/>
        <w:spacing w:after="60"/>
      </w:pPr>
      <w:r>
        <w:t>**State Management &amp; Plan Inspection**: Terraform decouples execution planning (`terraform plan`) from actual state modification (`terraform apply`). This enables strict compliance auditing: SecOps teams can inspect and approve proposed infrastructure modifications and verify least-privilege IAM changes before any cloud modification executes.</w:t>
      </w:r>
    </w:p>
    <w:p>
      <w:pPr>
        <w:pStyle w:val="ListBullet"/>
        <w:spacing w:after="60"/>
      </w:pPr>
      <w:r>
        <w:t>**Modular Reusability**: The project has been engineered into reusable modules (`modules/vpc`, `modules/security`, `modules/ecs_fargate`, `modules/database`), allowing CHA to stamp out identical, isolated staging, testing, and production environments across different AWS regions.</w:t>
      </w:r>
    </w:p>
    <w:p>
      <w:pPr>
        <w:pStyle w:val="Heading2"/>
        <w:spacing w:before="280" w:after="80"/>
      </w:pPr>
      <w:r>
        <w:rPr>
          <w:rFonts w:ascii="Calibri" w:hAnsi="Calibri"/>
          <w:b/>
          <w:color w:val="0F172A"/>
          <w:sz w:val="26"/>
        </w:rPr>
        <w:t>3.5 Pilot Migration, Cutover Execution, and Risk Management</w:t>
      </w:r>
    </w:p>
    <w:p>
      <w:pPr>
        <w:spacing w:after="120"/>
      </w:pPr>
      <w:r>
        <w:t>Prior to production cutover, a non-clinical pilot migration is executed on the `Appointment-Booking` and `Laboratory-Reporting` services. The pilot validates:</w:t>
      </w:r>
    </w:p>
    <w:p>
      <w:pPr>
        <w:pStyle w:val="ListBullet"/>
        <w:spacing w:after="60"/>
      </w:pPr>
      <w:r>
        <w:t>Real-world network throughput over the AWS Direct Connect fiber link.</w:t>
      </w:r>
    </w:p>
    <w:p>
      <w:pPr>
        <w:pStyle w:val="ListBullet"/>
        <w:spacing w:after="60"/>
      </w:pPr>
      <w:r>
        <w:t>DMS CDC synchronization lag under synthetic clinical load.</w:t>
      </w:r>
    </w:p>
    <w:p>
      <w:pPr>
        <w:pStyle w:val="ListBullet"/>
        <w:spacing w:after="60"/>
      </w:pPr>
      <w:r>
        <w:t>Fargate Auto Scaling target tracking latency under simulated 100,000-user surges using distributed Locust load-testing frameworks.</w:t>
      </w:r>
    </w:p>
    <w:p>
      <w:pPr>
        <w:spacing w:before="80" w:after="120"/>
        <w:ind w:left="288"/>
      </w:pPr>
      <w:r>
        <w:rPr>
          <w:rFonts w:ascii="Consolas" w:hAnsi="Consolas"/>
          <w:color w:val="0F172A"/>
          <w:sz w:val="17"/>
        </w:rPr>
        <w:t>Table 2: Migration Risk Assessment and Mitigation Matrix</w:t>
        <w:br/>
        <w:t>+-----------------------+----------+--------+---------------------------------------------------------------+</w:t>
        <w:br/>
        <w:t>| Risk Description      | Severity | Impact | Comprehensive Mitigation Strategy                             |</w:t>
        <w:br/>
        <w:t>+-----------------------+----------+--------+---------------------------------------------------------------+</w:t>
        <w:br/>
        <w:t>| DMS CDC Replication   | High     | High   | Pre-size DMS replication instance to memory-optimized         |</w:t>
        <w:br/>
        <w:t>| Bottleneck / Lag      |          |        | dms.r5.xlarge; enable multi-threaded LOB handling; allocate   |</w:t>
        <w:br/>
        <w:t>|                       |          |        | dedicated 1 Gbps Direct Connect transit bandwidth.            |</w:t>
        <w:br/>
        <w:t>+-----------------------+----------+--------+---------------------------------------------------------------+</w:t>
        <w:br/>
        <w:t>| Extended Application  | High     | High   | Enforce dual-write proxy architecture; maintain active CDC;   |</w:t>
        <w:br/>
        <w:t>| Cutover Downtime      |          |        | establish hard 15-minute cutover window; automate Route 53    |</w:t>
        <w:br/>
        <w:t>|                       |          |        | weighted DNS TTL reduction to 60 seconds 48 hours prior.      |</w:t>
        <w:br/>
        <w:t>+-----------------------+----------+--------+---------------------------------------------------------------+</w:t>
        <w:br/>
        <w:t>| Clinical Data Loss /  | Critical | Fatal  | Implement automated row-count and SHA-256 cryptographic hash  |</w:t>
        <w:br/>
        <w:t>| Record Inconsistency  |          |        | validation scripts (AWS Glue); maintain on-prem data in read- |</w:t>
        <w:br/>
        <w:t>|                       |          |        | only state for 30 days post-cutover before decommissioning.   |</w:t>
        <w:br/>
        <w:t>+-----------------------+----------+--------+---------------------------------------------------------------+</w:t>
        <w:br/>
        <w:t>| Rollback Inability    | High     | High   | Configure reverse DMS replication task: Aurora PostgreSQL CDC |</w:t>
        <w:br/>
        <w:t>| Upon Failure          |          |        | streams changes back to on-prem SQL Server standby; allows    |</w:t>
        <w:br/>
        <w:t>|                       |          |        | instantaneous DNS rollback with zero clinical data loss.      |</w:t>
        <w:br/>
        <w:t>+-----------------------+----------+--------+---------------------------------------------------------------+</w:t>
      </w:r>
    </w:p>
    <w:p>
      <w:pPr>
        <w:spacing w:after="120"/>
      </w:pPr>
      <w:r>
        <w:t>---</w:t>
      </w:r>
    </w:p>
    <w:p>
      <w:pPr>
        <w:pStyle w:val="Heading1"/>
        <w:spacing w:before="360" w:after="120"/>
      </w:pPr>
      <w:r>
        <w:rPr>
          <w:rFonts w:ascii="Calibri" w:hAnsi="Calibri"/>
          <w:b/>
          <w:color w:val="0369A1"/>
          <w:sz w:val="32"/>
        </w:rPr>
        <w:t>4. Task 3: Target AWS Architecture Design</w:t>
      </w:r>
    </w:p>
    <w:p/>
    <w:p>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aws_architecture_diagram.jpg"/>
                    <pic:cNvPicPr/>
                  </pic:nvPicPr>
                  <pic:blipFill>
                    <a:blip r:embed="rId10"/>
                    <a:stretch>
                      <a:fillRect/>
                    </a:stretch>
                  </pic:blipFill>
                  <pic:spPr>
                    <a:xfrm>
                      <a:off x="0" y="0"/>
                      <a:ext cx="5669280" cy="3164249"/>
                    </a:xfrm>
                    <a:prstGeom prst="rect"/>
                  </pic:spPr>
                </pic:pic>
              </a:graphicData>
            </a:graphic>
          </wp:inline>
        </w:drawing>
      </w:r>
    </w:p>
    <w:p>
      <w:pPr>
        <w:jc w:val="center"/>
      </w:pPr>
      <w:r>
        <w:rPr>
          <w:i/>
          <w:sz w:val="18"/>
        </w:rPr>
        <w:t>Figure 2: Comprehensive Target AWS Cloud Architecture Diagram for CloudFusion Healthcare Analytics Ltd</w:t>
      </w:r>
    </w:p>
    <w:p>
      <w:pPr>
        <w:pStyle w:val="Heading2"/>
        <w:spacing w:before="280" w:after="80"/>
      </w:pPr>
      <w:r>
        <w:rPr>
          <w:rFonts w:ascii="Calibri" w:hAnsi="Calibri"/>
          <w:b/>
          <w:color w:val="0F172A"/>
          <w:sz w:val="26"/>
        </w:rPr>
        <w:t>4.1 Multi-Tier Multi-AZ VPC Network Topology</w:t>
      </w:r>
    </w:p>
    <w:p>
      <w:pPr>
        <w:spacing w:after="120"/>
      </w:pPr>
      <w:r>
        <w:t>The target network infrastructure is deployed in the AWS Asia Pacific (Singapore) region (`ap-southeast-1`), spanning three physical Availability Zones (`ap-southeast-1a`, `ap-southeast-1b`, `ap-southeast-1c`).</w:t>
      </w:r>
    </w:p>
    <w:p>
      <w:pPr>
        <w:spacing w:before="80" w:after="120"/>
        <w:ind w:left="288"/>
      </w:pPr>
      <w:r>
        <w:rPr>
          <w:rFonts w:ascii="Consolas" w:hAnsi="Consolas"/>
          <w:color w:val="0F172A"/>
          <w:sz w:val="17"/>
        </w:rPr>
        <w:t xml:space="preserve">                                      AWS CLOUD (ap-southeast-1)</w:t>
        <w:br/>
        <w:t xml:space="preserve">                     ┌────────────────────────────────────────────────────────┐</w:t>
        <w:br/>
        <w:t xml:space="preserve">                     │          VPC CIDR: 10.50.0.0/16 (CHA Production)       │</w:t>
        <w:br/>
        <w:t xml:space="preserve">                     │                                                        │</w:t>
        <w:br/>
        <w:t xml:space="preserve">                     │   AZ-a (1a)              AZ-b (1b)          AZ-c (1c)  │</w:t>
        <w:br/>
        <w:t xml:space="preserve">                     │  ┌──────────────┐     ┌──────────────┐   ┌───────────┐ │</w:t>
        <w:br/>
        <w:t xml:space="preserve">  Internet Gateway ──┼─►│Public: .1.0  │     │Public: .2.0  │   │Pub: .3.0  │ │</w:t>
        <w:br/>
        <w:t xml:space="preserve">                     │  │• NAT GW-A    │     │• NAT GW-B    │   │• NAT GW-C │ │</w:t>
        <w:br/>
        <w:t xml:space="preserve">                     │  │• ALB-A       │     │• ALB-B       │   │• ALB-C    │ │</w:t>
        <w:br/>
        <w:t xml:space="preserve">                     │  └──────┬───────┘     └──────┬───────┘   └─────┬─────┘ │</w:t>
        <w:br/>
        <w:t xml:space="preserve">                     │         │                    │                 │       │</w:t>
        <w:br/>
        <w:t xml:space="preserve">                     │         ▼                    ▼                 ▼       │</w:t>
        <w:br/>
        <w:t xml:space="preserve">                     │  ┌──────────────┐     ┌──────────────┐   ┌───────────┐ │</w:t>
        <w:br/>
        <w:t xml:space="preserve">                     │  │App: .10.0    │     │App: .20.0    │   │App: .30.0 │ │</w:t>
        <w:br/>
        <w:t xml:space="preserve">                     │  │• ECS Fargate │     │• ECS Fargate │   │• ECS Farg │ │</w:t>
        <w:br/>
        <w:t xml:space="preserve">                     │  │• Lambda Task │     │• Lambda Task │   │• Lambda   │ │</w:t>
        <w:br/>
        <w:t xml:space="preserve">                     │  └──────┬───────┘     └──────┬───────┘   └─────┬─────┘ │</w:t>
        <w:br/>
        <w:t xml:space="preserve">                     │         │                    │                 │       │</w:t>
        <w:br/>
        <w:t xml:space="preserve">                     │         ▼                    ▼                 ▼       │</w:t>
        <w:br/>
        <w:t xml:space="preserve">                     │  ┌──────────────┐     ┌──────────────┐   ┌───────────┐ │</w:t>
        <w:br/>
        <w:t xml:space="preserve">                     │  │DB: .100.0    │     │DB: .110.0    │   │DB: .120.0 │ │</w:t>
        <w:br/>
        <w:t xml:space="preserve">                     │  │• Aurora HostA│◄───►│• Aurora HostB│   │• Storage  │ │</w:t>
        <w:br/>
        <w:t xml:space="preserve">                     │  │• Redis Node A│     │• Redis Node B│   │  Witness  │ │</w:t>
        <w:br/>
        <w:t xml:space="preserve">                     │  └──────────────┘     └──────────────┘   └───────────┘ │</w:t>
        <w:br/>
        <w:t xml:space="preserve">                     └────────────────────────────────────────────────────────┘</w:t>
      </w:r>
    </w:p>
    <w:p>
      <w:pPr>
        <w:spacing w:after="120"/>
      </w:pPr>
      <w:r>
        <w:t>The IP addressing architecture enforces strict micro-segmentation across nine subnets:</w:t>
      </w:r>
    </w:p>
    <w:p>
      <w:pPr>
        <w:pStyle w:val="ListBullet"/>
        <w:spacing w:after="60"/>
      </w:pPr>
      <w:r>
        <w:t>**Public Subnets (`10.50.1.0/24`, `10.50.2.0/24`, `10.50.3.0/24`)**: House external-facing Application Load Balancers and high-availability NAT Gateways. Direct inbound traffic from the Internet is restricted exclusively to HTTPS (port 443) terminated at the ALB.</w:t>
      </w:r>
    </w:p>
    <w:p>
      <w:pPr>
        <w:pStyle w:val="ListBullet"/>
        <w:spacing w:after="60"/>
      </w:pPr>
      <w:r>
        <w:t>**Private Application Subnets (`10.50.10.0/24`, `10.50.20.0/24`, `10.50.30.0/24`)**: House the containerized ECS Fargate tasks, internal microservices, and Lambda compute environments. No public IP addresses are allocated; outbound traffic routes via NAT Gateways.</w:t>
      </w:r>
    </w:p>
    <w:p>
      <w:pPr>
        <w:pStyle w:val="ListBullet"/>
        <w:spacing w:after="60"/>
      </w:pPr>
      <w:r>
        <w:t>**Private Database Subnets (`10.50.100.0/24`, `10.50.110.0/24`, `10.50.120.0/24`)**: Completely isolated from the internet and NAT gateways. Hosts Amazon Aurora PostgreSQL and ElastiCache clusters, accepting ingress solely on authorized database ports (5432 and 6379) from the application security group.</w:t>
      </w:r>
    </w:p>
    <w:p>
      <w:pPr>
        <w:pStyle w:val="ListBullet"/>
        <w:spacing w:after="60"/>
      </w:pPr>
      <w:r>
        <w:t>**VPC Gateway Endpoints**: Free AWS PrivateLink Gateway Endpoints are established for **Amazon S3** and **Amazon DynamoDB**, bypassing the NAT Gateways entirely and keeping multi-terabyte data transfers on the internal AWS private backbone.</w:t>
      </w:r>
    </w:p>
    <w:p>
      <w:pPr>
        <w:pStyle w:val="Heading2"/>
        <w:spacing w:before="280" w:after="80"/>
      </w:pPr>
      <w:r>
        <w:rPr>
          <w:rFonts w:ascii="Calibri" w:hAnsi="Calibri"/>
          <w:b/>
          <w:color w:val="0F172A"/>
          <w:sz w:val="26"/>
        </w:rPr>
        <w:t>4.2 Patient Monitoring Platform (PMP): Real-Time IoT Telemetry Stream</w:t>
      </w:r>
    </w:p>
    <w:p>
      <w:pPr>
        <w:spacing w:after="120"/>
      </w:pPr>
      <w:r>
        <w:t>The PMP system is architected to handle sub-second telemetry ingestion from tens of thousands of wearable medical devices (smart pulse oximeters, wearable ECG monitors, continuous glucose meters):</w:t>
      </w:r>
    </w:p>
    <w:p>
      <w:pPr>
        <w:spacing w:after="120"/>
      </w:pPr>
      <w:r>
        <w:t>1. **Secure Ingestion via AWS IoT Core**: Wearable sensors connect to AWS IoT Core endpoints utilizing **MQTT over TLS 1.3 (Port 8883)**. Mutual authentication (mTLS) is enforced: each device presents a distinct, cryptographically signed X.509 client certificate registered with AWS IoT Device Management.</w:t>
      </w:r>
    </w:p>
    <w:p>
      <w:pPr>
        <w:spacing w:after="120"/>
      </w:pPr>
      <w:r>
        <w:t>2. **IoT Rules Engine &amp; Triage Pathway**: As telemetry arrives on topic `healthcare/patients/{patient_id}/vitals`, the SQL Rules Engine evaluates physiological thresholds in real time:</w:t>
      </w:r>
    </w:p>
    <w:p>
      <w:pPr>
        <w:spacing w:after="120"/>
      </w:pPr>
      <w:r>
        <w:t xml:space="preserve">   * **Critical Anomaly Path (&lt;500ms SLA)**: When acute hypoxia (`SpO2 &lt; 90%`) or extreme arrhythmia (`HR &gt; 140 BPM` or `&lt; 40 BPM`) is detected, the rule immediately routes the payload to an **Amazon SNS** emergency topic linked to an **Amazon SQS Dead Letter Queue (DLQ)**. A specialized **AWS Lambda** triage microservice pushes instantaneous high-priority alerts to on-duty physicians' mobile devices and bedside ICU alarm screens.</w:t>
      </w:r>
    </w:p>
    <w:p>
      <w:pPr>
        <w:spacing w:after="120"/>
      </w:pPr>
      <w:r>
        <w:t xml:space="preserve">   * **Continuous Streaming Path**: All valid vital signs payloads stream into **Amazon Kinesis Data Streams** provisioned with four shards, buffering up to 100,000 concurrent payloads per minute with a 24-hour retention buffer.</w:t>
      </w:r>
    </w:p>
    <w:p>
      <w:pPr>
        <w:spacing w:after="120"/>
      </w:pPr>
      <w:r>
        <w:t>3. **Tiered Persistence Architecture**:</w:t>
      </w:r>
    </w:p>
    <w:p>
      <w:pPr>
        <w:spacing w:after="120"/>
      </w:pPr>
      <w:r>
        <w:t xml:space="preserve">   * **Hot Telemetry Store**: ECS Fargate consumer tasks ingest from Kinesis and write active patient telemetry to **Amazon DynamoDB** (configured with On-Demand capacity and 30-day Time-To-Live). Queries for clinical charts execute with single-digit millisecond latency.</w:t>
      </w:r>
    </w:p>
    <w:p>
      <w:pPr>
        <w:spacing w:after="120"/>
      </w:pPr>
      <w:r>
        <w:t xml:space="preserve">   * **Time-Series Waveforms**: High-frequency ECG telemetry is written to **Amazon Timestream** for real-time trend analytics.</w:t>
      </w:r>
    </w:p>
    <w:p>
      <w:pPr>
        <w:spacing w:after="120"/>
      </w:pPr>
      <w:r>
        <w:t xml:space="preserve">   * **Cold Analytics Lake**: **Amazon Kinesis Data Firehose** aggregates streaming records into 128 MB batches, converts the schema to columnar Apache Parquet with Snappy compression, and delivers the data to the **Amazon S3 Medical Data Lake**.</w:t>
      </w:r>
    </w:p>
    <w:p>
      <w:pPr>
        <w:pStyle w:val="Heading2"/>
        <w:spacing w:before="280" w:after="80"/>
      </w:pPr>
      <w:r>
        <w:rPr>
          <w:rFonts w:ascii="Calibri" w:hAnsi="Calibri"/>
          <w:b/>
          <w:color w:val="0F172A"/>
          <w:sz w:val="26"/>
        </w:rPr>
        <w:t>4.3 Telemedicine and Patient Portal (TPP): Distributed Web Architecture</w:t>
      </w:r>
    </w:p>
    <w:p>
      <w:pPr>
        <w:spacing w:after="120"/>
      </w:pPr>
      <w:r>
        <w:t>The TPP distributed web application handles patient authentication, EHR access, digital appointment booking, and encrypted telehealth video consultations:</w:t>
      </w:r>
    </w:p>
    <w:p>
      <w:pPr>
        <w:spacing w:after="120"/>
      </w:pPr>
      <w:r>
        <w:t>1. **Edge Distribution &amp; Web Security**: Users resolve the portal domain via **Amazon Route 53** with latency-based routing. **Amazon CloudFront** caches static single-page application (SPA) assets globally at edge locations, terminating TLS 1.3 connections. CloudFront is protected by **AWS WAF** configured with AWS Managed Rules (Core Rule Set, SQL Injection, Known Bad Inputs) and rate limiting (preventing credential stuffing).</w:t>
      </w:r>
    </w:p>
    <w:p>
      <w:pPr>
        <w:spacing w:after="120"/>
      </w:pPr>
      <w:r>
        <w:t>2. **Application Load Balancing**: Dynamic REST and GraphQL API traffic is forwarded from CloudFront to an internal Multi-AZ **Application Load Balancer (ALB)** enforcing HTTPS with AWS Certificate Manager (ACM) certificates.</w:t>
      </w:r>
    </w:p>
    <w:p>
      <w:pPr>
        <w:spacing w:after="120"/>
      </w:pPr>
      <w:r>
        <w:t>3. **Containerized Microservices on ECS Fargate**: The ALB routes traffic based on URL path patterns to independent microservice target groups:</w:t>
      </w:r>
    </w:p>
    <w:p>
      <w:pPr>
        <w:spacing w:after="120"/>
      </w:pPr>
      <w:r>
        <w:t xml:space="preserve">   * `/api/v1/ehr/*` $\rightarrow$ `ehr-service` (EHR record query and clinical documentation).</w:t>
      </w:r>
    </w:p>
    <w:p>
      <w:pPr>
        <w:spacing w:after="120"/>
      </w:pPr>
      <w:r>
        <w:t xml:space="preserve">   * `/api/v1/appointments/*` $\rightarrow$ `appointment-service` (Scheduling and calendar management).</w:t>
      </w:r>
    </w:p>
    <w:p>
      <w:pPr>
        <w:spacing w:after="120"/>
      </w:pPr>
      <w:r>
        <w:t xml:space="preserve">   * `/api/v1/telehealth/*` $\rightarrow$ `telehealth-service` (Video room signaling and authentication).</w:t>
      </w:r>
    </w:p>
    <w:p>
      <w:pPr>
        <w:spacing w:after="120"/>
      </w:pPr>
      <w:r>
        <w:t>4. **Real-Time Video Consultations (Amazon Chime SDK)**: Instead of burdening application servers with media routing, the `telehealth-service` uses the **Amazon Chime SDK** to dynamically generate encrypted WebRTC media pipelines. Video and audio streams flow peer-to-peer or through AWS media relays with end-to-end SRTP encryption, guaranteeing zero exposure of patient video feeds on backend compute servers.</w:t>
      </w:r>
    </w:p>
    <w:p>
      <w:pPr>
        <w:pStyle w:val="Heading2"/>
        <w:spacing w:before="280" w:after="80"/>
      </w:pPr>
      <w:r>
        <w:rPr>
          <w:rFonts w:ascii="Calibri" w:hAnsi="Calibri"/>
          <w:b/>
          <w:color w:val="0F172A"/>
          <w:sz w:val="26"/>
        </w:rPr>
        <w:t>4.4 Compute &amp; Persistence Tier Evaluation</w:t>
      </w:r>
    </w:p>
    <w:p>
      <w:pPr>
        <w:pStyle w:val="ListBullet"/>
        <w:spacing w:after="60"/>
      </w:pPr>
      <w:r>
        <w:t>**Compute (ECS Fargate vs EKS vs EC2)**: Amazon ECS with AWS Fargate was selected over Amazon EKS (Kubernetes) and traditional EC2. Fargate abstracts the underlying virtual machine and hypervisor layer entirely, eliminating OS patching, container node provisioning, and Kubernetes control-plane upgrade risks. This aligns with CHA's objective to eliminate sysadmin operational overhead.</w:t>
      </w:r>
    </w:p>
    <w:p>
      <w:pPr>
        <w:pStyle w:val="ListBullet"/>
        <w:spacing w:after="60"/>
      </w:pPr>
      <w:r>
        <w:t>**Relational Database (Amazon Aurora PostgreSQL Serverless v2)**: Replaces on-premises SQL Server. Aurora's distributed storage architecture replicates data 6-way across three AZs, surviving the complete loss of an AZ plus an additional storage node without data loss. Serverless v2 scales compute capacity dynamically in increments of 0.5 ACU, scaling up instantly during morning clinic appointment spikes and scaling down at night to eliminate idle expenditure.</w:t>
      </w:r>
    </w:p>
    <w:p>
      <w:pPr>
        <w:pStyle w:val="ListBullet"/>
        <w:spacing w:after="60"/>
      </w:pPr>
      <w:r>
        <w:t>**In-Memory Caching (Amazon ElastiCache Redis)**: Deployed as a Multi-AZ cluster in private database subnets to cache active JWT sessions, doctor availability calendars, and clinic directories, offloading 85% of read queries from the primary relational database.</w:t>
      </w:r>
    </w:p>
    <w:p>
      <w:pPr>
        <w:pStyle w:val="Heading2"/>
        <w:spacing w:before="280" w:after="80"/>
      </w:pPr>
      <w:r>
        <w:rPr>
          <w:rFonts w:ascii="Calibri" w:hAnsi="Calibri"/>
          <w:b/>
          <w:color w:val="0F172A"/>
          <w:sz w:val="26"/>
        </w:rPr>
        <w:t>4.5 Distributed Observability &amp; Telemetry</w:t>
      </w:r>
    </w:p>
    <w:p>
      <w:pPr>
        <w:spacing w:after="120"/>
      </w:pPr>
      <w:r>
        <w:t>To avoid the diagnostic blind spots of the legacy infrastructure, comprehensive cloud observability is implemented:</w:t>
      </w:r>
    </w:p>
    <w:p>
      <w:pPr>
        <w:pStyle w:val="ListBullet"/>
        <w:spacing w:after="60"/>
      </w:pPr>
      <w:r>
        <w:t>**Amazon CloudWatch Container Insights**: Captures CPU, memory, network, and disk metrics per ECS task and cluster, triggering automated scaling policies.</w:t>
      </w:r>
    </w:p>
    <w:p>
      <w:pPr>
        <w:pStyle w:val="ListBullet"/>
        <w:spacing w:after="60"/>
      </w:pPr>
      <w:r>
        <w:t>**Centralized Encrypted Logging**: All application containers pipe structured JSON logs to CloudWatch Logs encrypted with a Customer Managed KMS key.</w:t>
      </w:r>
    </w:p>
    <w:p>
      <w:pPr>
        <w:pStyle w:val="ListBullet"/>
        <w:spacing w:after="60"/>
      </w:pPr>
      <w:r>
        <w:t>**AWS X-Ray Distributed Tracing**: Trace headers propagate through API Gateway, ALB, ECS Fargate services, Lambda functions, and database calls, providing a visual service map that identifies microservice bottlenecks and latency anomalies.</w:t>
      </w:r>
    </w:p>
    <w:p>
      <w:pPr>
        <w:spacing w:after="120"/>
      </w:pPr>
      <w:r>
        <w:t>---</w:t>
      </w:r>
    </w:p>
    <w:p>
      <w:pPr>
        <w:pStyle w:val="Heading1"/>
        <w:spacing w:before="360" w:after="120"/>
      </w:pPr>
      <w:r>
        <w:rPr>
          <w:rFonts w:ascii="Calibri" w:hAnsi="Calibri"/>
          <w:b/>
          <w:color w:val="0369A1"/>
          <w:sz w:val="32"/>
        </w:rPr>
        <w:t>5. Task 4: Security, Governance, and Healthcare Compliance</w:t>
      </w:r>
    </w:p>
    <w:p>
      <w:pPr>
        <w:pStyle w:val="Heading2"/>
        <w:spacing w:before="280" w:after="80"/>
      </w:pPr>
      <w:r>
        <w:rPr>
          <w:rFonts w:ascii="Calibri" w:hAnsi="Calibri"/>
          <w:b/>
          <w:color w:val="0F172A"/>
          <w:sz w:val="26"/>
        </w:rPr>
        <w:t>5.1 Multi-Layered Defense-in-Depth Model</w:t>
      </w:r>
    </w:p>
    <w:p>
      <w:pPr>
        <w:spacing w:after="120"/>
      </w:pPr>
      <w:r>
        <w:t>Healthcare architectures demand uncompromising multi-layered security. CHA’s cloud security model implements a zero-trust defense-in-depth posture:</w:t>
      </w:r>
    </w:p>
    <w:p>
      <w:pPr>
        <w:spacing w:before="80" w:after="120"/>
        <w:ind w:left="288"/>
      </w:pPr>
      <w:r>
        <w:rPr>
          <w:rFonts w:ascii="Consolas" w:hAnsi="Consolas"/>
          <w:color w:val="0F172A"/>
          <w:sz w:val="17"/>
        </w:rPr>
        <w:t>[Layer 1: Edge &amp; DDoS]      AWS Shield Advanced + AWS WAF (OWASP Top 10, IP Throttling)</w:t>
        <w:br/>
        <w:t xml:space="preserve">         │</w:t>
        <w:br/>
        <w:t>[Layer 2: Network Perimeter] Multi-AZ VPC + Private Subnets + Strict SG Chaining (No 0.0.0.0/0 on DB)</w:t>
        <w:br/>
        <w:t xml:space="preserve">         │</w:t>
        <w:br/>
        <w:t>[Layer 3: Identity &amp; Access] IAM Identity Center + Least Privilege ABAC + Enforced Hardware MFA</w:t>
        <w:br/>
        <w:t xml:space="preserve">         │</w:t>
        <w:br/>
        <w:t>[Layer 4: Data Protection]   AWS KMS Envelope Encryption (CMK) at Rest + Mandatory TLS 1.3 in Transit</w:t>
        <w:br/>
        <w:t xml:space="preserve">         │</w:t>
        <w:br/>
        <w:t>[Layer 5: Governance/Audit]  AWS CloudTrail (WORM Object Lock) + AWS Config + Security Hub + GuardDuty</w:t>
      </w:r>
    </w:p>
    <w:p>
      <w:pPr>
        <w:pStyle w:val="Heading2"/>
        <w:spacing w:before="280" w:after="80"/>
      </w:pPr>
      <w:r>
        <w:rPr>
          <w:rFonts w:ascii="Calibri" w:hAnsi="Calibri"/>
          <w:b/>
          <w:color w:val="0F172A"/>
          <w:sz w:val="26"/>
        </w:rPr>
        <w:t>5.2 Zero-Trust Identity &amp; Attribute-Based Access Control (ABAC)</w:t>
      </w:r>
    </w:p>
    <w:p>
      <w:pPr>
        <w:spacing w:after="120"/>
      </w:pPr>
      <w:r>
        <w:t>Static access rules are replaced by dynamic **Attribute-Based Access Control (ABAC)**. Users and resources are tagged with metadata tags (`Role`, `Department`, `ClearanceLevel`).</w:t>
      </w:r>
    </w:p>
    <w:p>
      <w:pPr>
        <w:pStyle w:val="ListBullet"/>
        <w:spacing w:after="60"/>
      </w:pPr>
      <w:r>
        <w:t>Administrative access requires hardware-token Multi-Factor Authentication (MFA).</w:t>
      </w:r>
    </w:p>
    <w:p>
      <w:pPr>
        <w:pStyle w:val="ListBullet"/>
        <w:spacing w:after="60"/>
      </w:pPr>
      <w:r>
        <w:t>Clinical records access is governed by IAM policies enforcing contextual tag matching: a physician tagged with `Department: Oncology` can only decrypt and view patient records matching `Department: Oncology`.</w:t>
      </w:r>
    </w:p>
    <w:p>
      <w:pPr>
        <w:pStyle w:val="ListBullet"/>
        <w:spacing w:after="60"/>
      </w:pPr>
      <w:r>
        <w:t>The production IAM policy implemented in `/src/iam/patient_data_access_policy.json` strictly enforces `aws:SecureTransport: true` (denying unencrypted HTTP) and `aws:MultiFactorAuthPresent: true` for all DynamoDB and S3 patient record access.</w:t>
      </w:r>
    </w:p>
    <w:p>
      <w:pPr>
        <w:pStyle w:val="Heading2"/>
        <w:spacing w:before="280" w:after="80"/>
      </w:pPr>
      <w:r>
        <w:rPr>
          <w:rFonts w:ascii="Calibri" w:hAnsi="Calibri"/>
          <w:b/>
          <w:color w:val="0F172A"/>
          <w:sz w:val="26"/>
        </w:rPr>
        <w:t>5.3 Cryptographic Architecture (AWS KMS)</w:t>
      </w:r>
    </w:p>
    <w:p>
      <w:pPr>
        <w:spacing w:after="120"/>
      </w:pPr>
      <w:r>
        <w:t>All clinical data is encrypted in transit and at rest using **AWS Key Management Service (AWS KMS)**:</w:t>
      </w:r>
    </w:p>
    <w:p>
      <w:pPr>
        <w:pStyle w:val="ListBullet"/>
        <w:spacing w:after="60"/>
      </w:pPr>
      <w:r>
        <w:t>**Envelope Encryption**: Dedicated Customer Managed Keys (CMKs) are generated for database volumes, S3 buckets, and Kinesis telemetry streams. The primary key never leaves the FIPS 140-2 Level 3 validated hardware security modules (HSMs).</w:t>
      </w:r>
    </w:p>
    <w:p>
      <w:pPr>
        <w:pStyle w:val="ListBullet"/>
        <w:spacing w:after="60"/>
      </w:pPr>
      <w:r>
        <w:t>**Automated Key Rotation**: Annual cryptographic key rotation is enabled via Terraform, ensuring older ciphertexts are protected against long-term cryptographic analysis.</w:t>
      </w:r>
    </w:p>
    <w:p>
      <w:pPr>
        <w:pStyle w:val="ListBullet"/>
        <w:spacing w:after="60"/>
      </w:pPr>
      <w:r>
        <w:t>**Strict Separation of Duties**: As codified in `/src/iam/kms_healthcare_key_policy.json`, security administrators (who manage key permissions) are explicitly denied cryptographic access (`kms:Decrypt`), while application execution roles can decrypt data but cannot modify key policies.</w:t>
      </w:r>
    </w:p>
    <w:p>
      <w:pPr>
        <w:pStyle w:val="Heading2"/>
        <w:spacing w:before="280" w:after="80"/>
      </w:pPr>
      <w:r>
        <w:rPr>
          <w:rFonts w:ascii="Calibri" w:hAnsi="Calibri"/>
          <w:b/>
          <w:color w:val="0F172A"/>
          <w:sz w:val="26"/>
        </w:rPr>
        <w:t>5.4 Regulatory Governance (GDPR, HIPAA &amp; ISO 27001)</w:t>
      </w:r>
    </w:p>
    <w:p>
      <w:pPr>
        <w:pStyle w:val="ListBullet"/>
        <w:spacing w:after="60"/>
      </w:pPr>
      <w:r>
        <w:t>**GDPR Compliance (Article 17 - Right to Erasure)**: Direct patient identifiers (National ID, full name) are pseudonymized at the ingestion boundary using HMAC-SHA256 salted hashes. To support patient erasure without breaking relational analytics integrity, CHA implements cryptographic erasure: deleting the patient's individual cryptographic salt key renders their historical records permanently unreadable.</w:t>
      </w:r>
    </w:p>
    <w:p>
      <w:pPr>
        <w:pStyle w:val="ListBullet"/>
        <w:spacing w:after="60"/>
      </w:pPr>
      <w:r>
        <w:t>**HIPAA Audit Controls (45 CFR § 164.312(b))**: **AWS CloudTrail** captures every API interaction across all AWS accounts. Trail logs are delivered to an isolated Security Account S3 bucket protected with **S3 Object Lock in Compliance Mode** (WORM - Write Once, Read Many), preventing log tampering or deletion even by root administrators for seven years.</w:t>
      </w:r>
    </w:p>
    <w:p>
      <w:pPr>
        <w:pStyle w:val="ListBullet"/>
        <w:spacing w:after="60"/>
      </w:pPr>
      <w:r>
        <w:t>**Continuous Compliance Auditing**: **AWS Config** conformance packs for HIPAA and GDPR continuously evaluate cloud resources, immediately alerting through **AWS Security Hub** if an unencrypted S3 bucket or non-compliant security group is provisioned.</w:t>
      </w:r>
    </w:p>
    <w:p>
      <w:pPr>
        <w:spacing w:after="120"/>
      </w:pPr>
      <w:r>
        <w:t>---</w:t>
      </w:r>
    </w:p>
    <w:p>
      <w:pPr>
        <w:pStyle w:val="Heading1"/>
        <w:spacing w:before="360" w:after="120"/>
      </w:pPr>
      <w:r>
        <w:rPr>
          <w:rFonts w:ascii="Calibri" w:hAnsi="Calibri"/>
          <w:b/>
          <w:color w:val="0369A1"/>
          <w:sz w:val="32"/>
        </w:rPr>
        <w:t>6. Task 5: Cost Optimisation &amp; Support Strategy</w:t>
      </w:r>
    </w:p>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cost_comparison_tco.png"/>
                    <pic:cNvPicPr/>
                  </pic:nvPicPr>
                  <pic:blipFill>
                    <a:blip r:embed="rId11"/>
                    <a:stretch>
                      <a:fillRect/>
                    </a:stretch>
                  </pic:blipFill>
                  <pic:spPr>
                    <a:xfrm>
                      <a:off x="0" y="0"/>
                      <a:ext cx="5486400" cy="3291840"/>
                    </a:xfrm>
                    <a:prstGeom prst="rect"/>
                  </pic:spPr>
                </pic:pic>
              </a:graphicData>
            </a:graphic>
          </wp:inline>
        </w:drawing>
      </w:r>
    </w:p>
    <w:p>
      <w:pPr>
        <w:jc w:val="center"/>
      </w:pPr>
      <w:r>
        <w:rPr>
          <w:i/>
          <w:sz w:val="18"/>
        </w:rPr>
        <w:t>Figure 3: Total Cost of Ownership (TCO) Comparison: On-Premises Baseline vs Cloud FinOps</w:t>
      </w:r>
    </w:p>
    <w:p/>
    <w:p>
      <w:r>
        <w:drawing>
          <wp:inline xmlns:a="http://schemas.openxmlformats.org/drawingml/2006/main" xmlns:pic="http://schemas.openxmlformats.org/drawingml/2006/picture">
            <wp:extent cx="5029200" cy="3592286"/>
            <wp:docPr id="4" name="Picture 4"/>
            <wp:cNvGraphicFramePr>
              <a:graphicFrameLocks noChangeAspect="1"/>
            </wp:cNvGraphicFramePr>
            <a:graphic>
              <a:graphicData uri="http://schemas.openxmlformats.org/drawingml/2006/picture">
                <pic:pic>
                  <pic:nvPicPr>
                    <pic:cNvPr id="0" name="aws_monthly_cost_breakdown.png"/>
                    <pic:cNvPicPr/>
                  </pic:nvPicPr>
                  <pic:blipFill>
                    <a:blip r:embed="rId12"/>
                    <a:stretch>
                      <a:fillRect/>
                    </a:stretch>
                  </pic:blipFill>
                  <pic:spPr>
                    <a:xfrm>
                      <a:off x="0" y="0"/>
                      <a:ext cx="5029200" cy="3592286"/>
                    </a:xfrm>
                    <a:prstGeom prst="rect"/>
                  </pic:spPr>
                </pic:pic>
              </a:graphicData>
            </a:graphic>
          </wp:inline>
        </w:drawing>
      </w:r>
    </w:p>
    <w:p>
      <w:pPr>
        <w:jc w:val="center"/>
      </w:pPr>
      <w:r>
        <w:rPr>
          <w:i/>
          <w:sz w:val="18"/>
        </w:rPr>
        <w:t>Figure 4: Target AWS Architecture Monthly Cost Distribution ($25,176 / month)</w:t>
      </w:r>
    </w:p>
    <w:p>
      <w:pPr>
        <w:pStyle w:val="Heading2"/>
        <w:spacing w:before="280" w:after="80"/>
      </w:pPr>
      <w:r>
        <w:rPr>
          <w:rFonts w:ascii="Calibri" w:hAnsi="Calibri"/>
          <w:b/>
          <w:color w:val="0F172A"/>
          <w:sz w:val="26"/>
        </w:rPr>
        <w:t>6.1 Total Cost of Ownership (TCO) Baseline vs AWS Model</w:t>
      </w:r>
    </w:p>
    <w:p>
      <w:pPr>
        <w:spacing w:after="120"/>
      </w:pPr>
      <w:r>
        <w:t>To satisfy the board's mandate to reduce infrastructure operational expenditure by at least 40%, an exhaustive Total Cost of Ownership (TCO) model was established.</w:t>
      </w:r>
    </w:p>
    <w:p>
      <w:pPr>
        <w:spacing w:before="80" w:after="120"/>
        <w:ind w:left="288"/>
      </w:pPr>
      <w:r>
        <w:rPr>
          <w:rFonts w:ascii="Consolas" w:hAnsi="Consolas"/>
          <w:color w:val="0F172A"/>
          <w:sz w:val="17"/>
        </w:rPr>
        <w:t>Table 3: Financial Comparison - On-Premises Baseline vs Unoptimized Cloud vs FinOps Optimized Target</w:t>
        <w:br/>
        <w:t>+---------------------------------------+--------------------+--------------------+--------------------+</w:t>
        <w:br/>
        <w:t>| Budgetary Component                   | On-Premises ($/mo) | AWS On-Demand($/mo)| AWS Optimized($/mo)|</w:t>
        <w:br/>
        <w:t>+---------------------------------------+--------------------+--------------------+--------------------+</w:t>
        <w:br/>
        <w:t>| Compute Infrastructure                | $28,500 (Servers)  | $19,400 (Fargate)  | $6,693 (Spot/Plan) |</w:t>
        <w:br/>
        <w:t>| Storage &amp; Backup Infrastructure       | $20,600 (SAN/Tape) | $1,700 (S3 Std)    | $665 (Lifecycle)   |</w:t>
        <w:br/>
        <w:t>| Database Licensing &amp; Maintenance      | $22,600 (SQL Core) | $12,800 (Aurora)   | $7,680 (Serverless)|</w:t>
        <w:br/>
        <w:t>| Data Center Space, Power &amp; Cooling    | $19,200            | $0 (Managed)       | $0 (Managed)       |</w:t>
        <w:br/>
        <w:t>| Virtualization &amp; OS Software Licenses | $17,900 (VMware/MS)| $0 (Included/Linux)| $0 (Included/Linux)|</w:t>
        <w:br/>
        <w:t>| Network Leased Lines &amp; Connectivity   | $8,400 (Old WAN)   | $6,830 (DX/TGW)    | $4,366 (VPCE Opt)  |</w:t>
        <w:br/>
        <w:t>| Systems Administration &amp; Ops Overhead | $18,000            | $6,000 (Partial)   | $4,000 (FinOps IaC)|</w:t>
        <w:br/>
        <w:t>| Security, Monitoring &amp; Governance     | $7,200 (Siloed)    | $1,932             | $1,772             |</w:t>
        <w:br/>
        <w:t>+---------------------------------------+--------------------+--------------------+--------------------+</w:t>
        <w:br/>
        <w:t>| TOTAL MONTHLY OPERATIONAL RUN-RATE    | $142,400 / month   | $48,662 / month    | $25,176 / month    |</w:t>
        <w:br/>
        <w:t>+---------------------------------------+--------------------+--------------------+--------------------+</w:t>
      </w:r>
    </w:p>
    <w:p>
      <w:pPr>
        <w:pStyle w:val="Heading2"/>
        <w:spacing w:before="280" w:after="80"/>
      </w:pPr>
      <w:r>
        <w:rPr>
          <w:rFonts w:ascii="Calibri" w:hAnsi="Calibri"/>
          <w:b/>
          <w:color w:val="0F172A"/>
          <w:sz w:val="26"/>
        </w:rPr>
        <w:t>6.2 Itemized AWS Pricing Calculator Bill of Materials</w:t>
      </w:r>
    </w:p>
    <w:p>
      <w:pPr>
        <w:spacing w:after="120"/>
      </w:pPr>
      <w:r>
        <w:t>Sized using the official AWS Pricing Calculator for `ap-southeast-1` supporting 100,000 concurrent users:</w:t>
      </w:r>
    </w:p>
    <w:p>
      <w:pPr>
        <w:pStyle w:val="ListBullet"/>
        <w:spacing w:after="60"/>
      </w:pPr>
      <w:r>
        <w:t>**Compute (ECS Fargate)**: 24 average tasks (2 vCPU, 4 GB RAM) across 3 AZs. Baseline 25% capacity under 3-Year Compute Savings Plan ($2,328/mo); 75% elastic capacity under Fargate Spot ($4,365/mo). Dual ALBs ($210/mo). Total Compute: **$6,903/mo**.</w:t>
      </w:r>
    </w:p>
    <w:p>
      <w:pPr>
        <w:pStyle w:val="ListBullet"/>
        <w:spacing w:after="60"/>
      </w:pPr>
      <w:r>
        <w:t>**Database (Amazon Aurora PostgreSQL Serverless v2)**: Scaling dynamically between 0.5 ACU off-peak and 16 ACU peak. Total: **$7,680/mo**.</w:t>
      </w:r>
    </w:p>
    <w:p>
      <w:pPr>
        <w:pStyle w:val="ListBullet"/>
        <w:spacing w:after="60"/>
      </w:pPr>
      <w:r>
        <w:t>**NoSQL Persistence (Amazon DynamoDB)**: On-Demand capacity for 10,000 connected wearable devices emitting 432 million telemetry records monthly with TTL trimming. Total: **$2,100/mo**.</w:t>
      </w:r>
    </w:p>
    <w:p>
      <w:pPr>
        <w:pStyle w:val="ListBullet"/>
        <w:spacing w:after="60"/>
      </w:pPr>
      <w:r>
        <w:t>**Storage (Amazon S3 Medical Lake)**: 60 TB initial data with automated lifecycle transitions to Glacier Deep Archive. Total: **$665/mo**.</w:t>
      </w:r>
    </w:p>
    <w:p>
      <w:pPr>
        <w:pStyle w:val="ListBullet"/>
        <w:spacing w:after="60"/>
      </w:pPr>
      <w:r>
        <w:t>**Networking &amp; Interconnect**: AWS Direct Connect 10 Gbps dedicated port ($1,600/mo), AWS Transit Gateway attachments ($1,420/mo), CloudFront CDN 15 TB transfer ($896/mo), and NAT Gateway with VPC Endpoint bypass ($450/mo). Total: **$4,366/mo**.</w:t>
      </w:r>
    </w:p>
    <w:p>
      <w:pPr>
        <w:pStyle w:val="ListBullet"/>
        <w:spacing w:after="60"/>
      </w:pPr>
      <w:r>
        <w:t>**Security &amp; Observability**: CloudWatch Logs &amp; Container Insights ($1,250/mo), AWS WAF ($140/mo), KMS ($220/mo), Security Hub and GuardDuty ($980/mo). Total: **$2,590/mo**.</w:t>
      </w:r>
    </w:p>
    <w:p>
      <w:pPr>
        <w:pStyle w:val="Heading2"/>
        <w:spacing w:before="280" w:after="80"/>
      </w:pPr>
      <w:r>
        <w:rPr>
          <w:rFonts w:ascii="Calibri" w:hAnsi="Calibri"/>
          <w:b/>
          <w:color w:val="0F172A"/>
          <w:sz w:val="26"/>
        </w:rPr>
        <w:t>6.3 FinOps Cost Reduction Mechanisms</w:t>
      </w:r>
    </w:p>
    <w:p>
      <w:pPr>
        <w:spacing w:after="120"/>
      </w:pPr>
      <w:r>
        <w:t>Five FinOps strategies drive the transformation:</w:t>
      </w:r>
    </w:p>
    <w:p>
      <w:pPr>
        <w:spacing w:after="120"/>
      </w:pPr>
      <w:r>
        <w:t>1. **Fargate Spot Blending (70% Savings)**: Stateless microservices and ingestion workers utilize Fargate Spot capacity providers. Because tasks are distributed across 3 AZs with ALB connection draining, Spot terminations carry zero customer disruption while reducing container compute costs by 70%.</w:t>
      </w:r>
    </w:p>
    <w:p>
      <w:pPr>
        <w:spacing w:after="120"/>
      </w:pPr>
      <w:r>
        <w:t>2. **3-Year Compute Savings Plans (52% Savings)**: Applied to the baseline 25% non-interruptible Fargate tasks, delivering a 52% discount over on-demand pricing.</w:t>
      </w:r>
    </w:p>
    <w:p>
      <w:pPr>
        <w:spacing w:after="120"/>
      </w:pPr>
      <w:r>
        <w:t>3. **Automated S3 Lifecycle Tiering (65% Savings)**: Clinical images and raw logs automatically transition from S3 Standard ($0.023/GB) to Standard-IA ($0.0125/GB) at 90 days, Glacier Flexible ($0.0036/GB) at 180 days, and Glacier Deep Archive ($0.00099/GB) at 365 days.</w:t>
      </w:r>
    </w:p>
    <w:p>
      <w:pPr>
        <w:spacing w:after="120"/>
      </w:pPr>
      <w:r>
        <w:t>4. **VPC Gateway Endpoints for S3 &amp; DynamoDB**: Routes multi-terabyte internal data lake and telemetry streams directly across private endpoints, avoiding the $0.059/GB NAT Gateway data processing fee and saving over $1,650 monthly.</w:t>
      </w:r>
    </w:p>
    <w:p>
      <w:pPr>
        <w:spacing w:after="120"/>
      </w:pPr>
      <w:r>
        <w:t>5. **Aurora Serverless v2 Auto-Scaling**: Eliminates the need to provision peak-capacity database hardware 24/7, reducing idle database costs by over 40%.</w:t>
      </w:r>
    </w:p>
    <w:p>
      <w:pPr>
        <w:pStyle w:val="Heading2"/>
        <w:spacing w:before="280" w:after="80"/>
      </w:pPr>
      <w:r>
        <w:rPr>
          <w:rFonts w:ascii="Calibri" w:hAnsi="Calibri"/>
          <w:b/>
          <w:color w:val="0F172A"/>
          <w:sz w:val="26"/>
        </w:rPr>
        <w:t>6.4 Mathematical Verification of the 40%+ Cost Reduction Mandate</w:t>
      </w:r>
    </w:p>
    <w:p>
      <w:pPr>
        <w:spacing w:after="120"/>
      </w:pPr>
      <w:r>
        <w:t>$$\text{Overall TCO Reduction} = \frac{\$142,400 - \$25,176}{\$142,400} \times 100\% = \mathbf{82.3\% \text{ Net Operational Savings}}$$</w:t>
      </w:r>
    </w:p>
    <w:p>
      <w:pPr>
        <w:spacing w:after="120"/>
      </w:pPr>
      <w:r>
        <w:t>Evaluating purely within the AWS cloud environment (comparing unoptimized On-Demand vs FinOps Optimized):</w:t>
      </w:r>
    </w:p>
    <w:p>
      <w:pPr>
        <w:spacing w:after="120"/>
      </w:pPr>
      <w:r>
        <w:t>$$\text{Cloud FinOps Reduction} = \frac{\$48,662 - \$25,176}{\$48,662} \times 100\% = \mathbf{48.3\% \text{ Cloud Savings}}$$</w:t>
      </w:r>
    </w:p>
    <w:p>
      <w:pPr>
        <w:spacing w:after="120"/>
      </w:pPr>
      <w:r>
        <w:t>Both metrics exceed CHA’s required 40% reduction threshold by a wide margin.</w:t>
      </w:r>
    </w:p>
    <w:p>
      <w:pPr>
        <w:pStyle w:val="Heading2"/>
        <w:spacing w:before="280" w:after="80"/>
      </w:pPr>
      <w:r>
        <w:rPr>
          <w:rFonts w:ascii="Calibri" w:hAnsi="Calibri"/>
          <w:b/>
          <w:color w:val="0F172A"/>
          <w:sz w:val="26"/>
        </w:rPr>
        <w:t>6.5 Educational / Proof-of-Concept Credit Management Strategy</w:t>
      </w:r>
    </w:p>
    <w:p>
      <w:pPr>
        <w:spacing w:after="120"/>
      </w:pPr>
      <w:r>
        <w:t>For educational evaluation, student accounts are limited to approximately **$200 in AWS Academy credits**. Leaving enterprise infrastructure active continuously will exhaust this budget in less than 48 hours. The following lifecycle runbook is strictly enforced:</w:t>
      </w:r>
    </w:p>
    <w:p>
      <w:pPr>
        <w:spacing w:after="120"/>
      </w:pPr>
      <w:r>
        <w:t>1. **Just-in-Time Provisioning**: The environment is deployed via Terraform (`terraform apply -auto-approve`) only during designated verification sessions.</w:t>
      </w:r>
    </w:p>
    <w:p>
      <w:pPr>
        <w:spacing w:after="120"/>
      </w:pPr>
      <w:r>
        <w:t>2. **Evidence Collection**: Test scripts (`greengrass_edge_telemetry.py`, curl ALB health endpoints, DMS test migrations) execute rapidly, generating screenshots and logs for the report appendices.</w:t>
      </w:r>
    </w:p>
    <w:p>
      <w:pPr>
        <w:spacing w:after="120"/>
      </w:pPr>
      <w:r>
        <w:t>3. **Immediate Teardown**: Upon completing testing, `terraform destroy -auto-approve` is immediately executed. NAT Gateways ($0.059/hr each), ALBs ($0.0225/hr), and Aurora instances are permanently terminated, preserving credits for Part 2 implementation.</w:t>
      </w:r>
    </w:p>
    <w:p>
      <w:pPr>
        <w:spacing w:after="120"/>
      </w:pPr>
      <w:r>
        <w:t>---</w:t>
      </w:r>
    </w:p>
    <w:p>
      <w:pPr>
        <w:pStyle w:val="Heading1"/>
        <w:spacing w:before="360" w:after="120"/>
      </w:pPr>
      <w:r>
        <w:rPr>
          <w:rFonts w:ascii="Calibri" w:hAnsi="Calibri"/>
          <w:b/>
          <w:color w:val="0369A1"/>
          <w:sz w:val="32"/>
        </w:rPr>
        <w:t>7. Task 6: Data Migration and Business Continuity</w:t>
      </w:r>
    </w:p>
    <w:p>
      <w:pPr>
        <w:pStyle w:val="Heading2"/>
        <w:spacing w:before="280" w:after="80"/>
      </w:pPr>
      <w:r>
        <w:rPr>
          <w:rFonts w:ascii="Calibri" w:hAnsi="Calibri"/>
          <w:b/>
          <w:color w:val="0F172A"/>
          <w:sz w:val="26"/>
        </w:rPr>
        <w:t>7.1 Low-Downtime Database Migration Pipeline</w:t>
      </w:r>
    </w:p>
    <w:p>
      <w:pPr>
        <w:spacing w:after="120"/>
      </w:pPr>
      <w:r>
        <w:t>The database migration engine operates with minimal disruption through AWS DMS:</w:t>
      </w:r>
    </w:p>
    <w:p>
      <w:pPr>
        <w:pStyle w:val="ListBullet"/>
        <w:spacing w:after="60"/>
      </w:pPr>
      <w:r>
        <w:t>**Replication Instance**: A Multi-AZ `dms.r5.xlarge` instance is provisioned across private subnets, ensuring high memory availability for transactional change caching.</w:t>
      </w:r>
    </w:p>
    <w:p>
      <w:pPr>
        <w:pStyle w:val="ListBullet"/>
        <w:spacing w:after="60"/>
      </w:pPr>
      <w:r>
        <w:t>**CDC Task Settings**: Configured in `/src/dms/replication_task_settings.json` with `BatchApplyEnabled: true`, `CommitRate: 10000`, and full row-level validation enabled.</w:t>
      </w:r>
    </w:p>
    <w:p>
      <w:pPr>
        <w:pStyle w:val="ListBullet"/>
        <w:spacing w:after="60"/>
      </w:pPr>
      <w:r>
        <w:t>**Schema Transformations**: Configured in `/src/dms/table_mappings.json`, mapping legacy SQL Server `dbo` schemas to PostgreSQL `clinical_prod`, converting column names to lowercase snake_case, and appending synchronization audit metadata (`dms_synced_at`).</w:t>
      </w:r>
    </w:p>
    <w:p>
      <w:pPr>
        <w:pStyle w:val="Heading2"/>
        <w:spacing w:before="280" w:after="80"/>
      </w:pPr>
      <w:r>
        <w:rPr>
          <w:rFonts w:ascii="Calibri" w:hAnsi="Calibri"/>
          <w:b/>
          <w:color w:val="0F172A"/>
          <w:sz w:val="26"/>
        </w:rPr>
        <w:t>7.2 Historical Data Lake Archival via AWS Glue (PySpark)</w:t>
      </w:r>
    </w:p>
    <w:p>
      <w:pPr>
        <w:spacing w:after="120"/>
      </w:pPr>
      <w:r>
        <w:t>Over five years of historical diagnostic files, laboratory records, and CSV dumps residing in on-premises archives are ingested into an S3 staging area. An **AWS Glue (PySpark)** job (`/src/glue/historical_data_migration_etl.py`) processes the dataset:</w:t>
      </w:r>
    </w:p>
    <w:p>
      <w:pPr>
        <w:pStyle w:val="ListBullet"/>
        <w:spacing w:after="60"/>
      </w:pPr>
      <w:r>
        <w:t>**Schema Standardization**: Normalizes disparate column formats and filters corrupt records.</w:t>
      </w:r>
    </w:p>
    <w:p>
      <w:pPr>
        <w:pStyle w:val="ListBullet"/>
        <w:spacing w:after="60"/>
      </w:pPr>
      <w:r>
        <w:t>**GDPR Pseudonymization**: Implements cryptographic hashing (`sha256(patient_id + salt)`) on direct patient identifiers.</w:t>
      </w:r>
    </w:p>
    <w:p>
      <w:pPr>
        <w:pStyle w:val="ListBullet"/>
        <w:spacing w:after="60"/>
      </w:pPr>
      <w:r>
        <w:t>**Partitioned Columnar Compression**: Writes the clean records into partitioned Apache Parquet format (partitioned by `year` and `month`) with Snappy compression, accelerating analytics query speeds via Amazon Athena by up to 80%.</w:t>
      </w:r>
    </w:p>
    <w:p>
      <w:pPr>
        <w:pStyle w:val="Heading2"/>
        <w:spacing w:before="280" w:after="80"/>
      </w:pPr>
      <w:r>
        <w:rPr>
          <w:rFonts w:ascii="Calibri" w:hAnsi="Calibri"/>
          <w:b/>
          <w:color w:val="0F172A"/>
          <w:sz w:val="26"/>
        </w:rPr>
        <w:t>7.3 Cryptographic Data Integrity &amp; Reconciliation Checksums</w:t>
      </w:r>
    </w:p>
    <w:p>
      <w:pPr>
        <w:spacing w:after="120"/>
      </w:pPr>
      <w:r>
        <w:t>Healthcare compliance requires verifiable proof that no records were altered, corrupted, or dropped during cloud transit. The AWS Glue ETL script computes a composite SHA-256 cryptographic hash across all normalized rows and columns:</w:t>
      </w:r>
    </w:p>
    <w:p>
      <w:pPr>
        <w:spacing w:after="120"/>
      </w:pPr>
      <w:r>
        <w:t>$$\text{Dataset Checksum} = \text{SHA256}\left(\sum_{i=1}^{N} \text{SHA256}(\text{Row}_i)\right)$$</w:t>
      </w:r>
    </w:p>
    <w:p>
      <w:pPr>
        <w:spacing w:after="120"/>
      </w:pPr>
      <w:r>
        <w:t>This computed checksum is validated against the on-premises source database manifest. The verification manifest is recorded immutably in `s3://cha-healthcare-prod-medical-lake/audit_manifests/`, providing auditable proof of zero record loss for healthcare regulatory bodies.</w:t>
      </w:r>
    </w:p>
    <w:p>
      <w:pPr>
        <w:pStyle w:val="Heading2"/>
        <w:spacing w:before="280" w:after="80"/>
      </w:pPr>
      <w:r>
        <w:rPr>
          <w:rFonts w:ascii="Calibri" w:hAnsi="Calibri"/>
          <w:b/>
          <w:color w:val="0F172A"/>
          <w:sz w:val="26"/>
        </w:rPr>
        <w:t>7.4 Disaster Recovery Architecture (RTO/RPO SLA Framework)</w:t>
      </w:r>
    </w:p>
    <w:p>
      <w:pPr>
        <w:spacing w:after="120"/>
      </w:pPr>
      <w:r>
        <w:t>CHA’s legacy single-site data center offered zero disaster recovery capabilities. The target AWS architecture establishes a multi-tiered disaster recovery strategy:</w:t>
      </w:r>
    </w:p>
    <w:p>
      <w:pPr>
        <w:spacing w:before="80" w:after="120"/>
        <w:ind w:left="288"/>
      </w:pPr>
      <w:r>
        <w:rPr>
          <w:rFonts w:ascii="Consolas" w:hAnsi="Consolas"/>
          <w:color w:val="0F172A"/>
          <w:sz w:val="17"/>
        </w:rPr>
        <w:t>Table 4: Disaster Recovery SLA Alignment by Failure Scenario</w:t>
        <w:br/>
        <w:t>+-------------------------+---------------------------------+-------------+-------------+</w:t>
        <w:br/>
        <w:t>| Failure Scope           | Cloud Architecture Mechanism    | Target RTO  | Target RPO  |</w:t>
        <w:br/>
        <w:t>+-------------------------+---------------------------------+-------------+-------------+</w:t>
        <w:br/>
        <w:t>| Availability Zone       | Multi-AZ VPC + Aurora Multi-AZ  | &lt; 30 Seconds| 0 Seconds   |</w:t>
        <w:br/>
        <w:t>| Failure (Single AZ)     | Auto-Failover + ECS Task Re-seed| (Automated) | (Zero Loss) |</w:t>
        <w:br/>
        <w:t>+-------------------------+---------------------------------+-------------+-------------+</w:t>
        <w:br/>
        <w:t>| Corrupted Database /    | Aurora Continuous Backups +     | &lt; 15 Minutes| &lt; 5 Minutes |</w:t>
        <w:br/>
        <w:t>| Accidental Data Deletion| Point-in-Time Recovery (PITR)   |             |             |</w:t>
        <w:br/>
        <w:t>+-------------------------+---------------------------------+-------------+-------------+</w:t>
        <w:br/>
        <w:t>| Catastrophic Regional   | Cross-Region S3 Replication +   | &lt; 45 Minutes| &lt; 15 Minutes|</w:t>
        <w:br/>
        <w:t>| Blackout (ap-southeast-1| Aurora Global Database Pilot    |             |             |</w:t>
        <w:br/>
        <w:t>| to ap-southeast-2)      | Light in Sydney Region          |             |             |</w:t>
        <w:br/>
        <w:t>+-------------------------+---------------------------------+-------------+-------------+</w:t>
      </w:r>
    </w:p>
    <w:p>
      <w:pPr>
        <w:pStyle w:val="ListBullet"/>
        <w:spacing w:after="60"/>
      </w:pPr>
      <w:r>
        <w:t>**Recovery Time Objective (RTO)**: The platform recovers within **&lt;30 seconds** for local AZ disruptions, and **&lt;45 minutes** for catastrophic regional blackouts via automated Route 53 DNS failover and Pilot Light infrastructure activation.</w:t>
      </w:r>
    </w:p>
    <w:p>
      <w:pPr>
        <w:pStyle w:val="ListBullet"/>
        <w:spacing w:after="60"/>
      </w:pPr>
      <w:r>
        <w:t>**Recovery Point Objective (RPO)**: **Zero seconds data loss** within the region due to synchronous Aurora 6-way storage replication, and **&lt;15 minutes** cross-region for catastrophic events.</w:t>
      </w:r>
    </w:p>
    <w:p>
      <w:pPr>
        <w:spacing w:after="120"/>
      </w:pPr>
      <w:r>
        <w:t>---</w:t>
      </w:r>
    </w:p>
    <w:p>
      <w:pPr>
        <w:pStyle w:val="Heading1"/>
        <w:spacing w:before="360" w:after="120"/>
      </w:pPr>
      <w:r>
        <w:rPr>
          <w:rFonts w:ascii="Calibri" w:hAnsi="Calibri"/>
          <w:b/>
          <w:color w:val="0369A1"/>
          <w:sz w:val="32"/>
        </w:rPr>
        <w:t>8. Task 7: Hybrid Connectivity and Edge Integration</w:t>
      </w:r>
    </w:p>
    <w:p>
      <w:pPr>
        <w:pStyle w:val="Heading2"/>
        <w:spacing w:before="280" w:after="80"/>
      </w:pPr>
      <w:r>
        <w:rPr>
          <w:rFonts w:ascii="Calibri" w:hAnsi="Calibri"/>
          <w:b/>
          <w:color w:val="0F172A"/>
          <w:sz w:val="26"/>
        </w:rPr>
        <w:t>8.1 Dedicated Hybrid Interconnect (Direct Connect &amp; IPsec VPN Failover)</w:t>
      </w:r>
    </w:p>
    <w:p>
      <w:pPr>
        <w:spacing w:after="120"/>
      </w:pPr>
      <w:r>
        <w:t>To interconnect CHA’s central hospital data center and 22 branch healthcare facilities with AWS:</w:t>
      </w:r>
    </w:p>
    <w:p>
      <w:pPr>
        <w:pStyle w:val="ListBullet"/>
        <w:spacing w:after="60"/>
      </w:pPr>
      <w:r>
        <w:t>**Primary Interconnect**: A dedicated **10 Gbps AWS Direct Connect (DX)** circuit is provisioned from the central medical exchange to the AWS Direct Connect Gateway. Direct Connect eliminates internet jitter, delivering deterministic sub-5ms latency critical for uncompressed DICOM radiology scans and live telehealth video streams.</w:t>
      </w:r>
    </w:p>
    <w:p>
      <w:pPr>
        <w:pStyle w:val="ListBullet"/>
        <w:spacing w:after="60"/>
      </w:pPr>
      <w:r>
        <w:t>**Automated Redundant Failover**: An **AWS Site-to-Site Dual IPsec VPN** is configured as an active standby connection over redundant customer gateways. Border Gateway Protocol (BGP) dynamic routing with autonomous system path prepending ensures seamless automated traffic failover to the VPN tunnels in $&lt;3$ seconds if the primary fiber link is severed.</w:t>
      </w:r>
    </w:p>
    <w:p>
      <w:pPr>
        <w:pStyle w:val="Heading2"/>
        <w:spacing w:before="280" w:after="80"/>
      </w:pPr>
      <w:r>
        <w:rPr>
          <w:rFonts w:ascii="Calibri" w:hAnsi="Calibri"/>
          <w:b/>
          <w:color w:val="0F172A"/>
          <w:sz w:val="26"/>
        </w:rPr>
        <w:t>8.2 Hub-and-Spoke Interconnect via AWS Transit Gateway</w:t>
      </w:r>
    </w:p>
    <w:p>
      <w:pPr>
        <w:spacing w:after="120"/>
      </w:pPr>
      <w:r>
        <w:t>Rather than managing complex, mesh-peered VPC networks across departments, an **AWS Transit Gateway (TGW)** serves as a centralized regional network hub. The Transit Gateway terminates the Direct Connect Gateway and Site-to-Site VPN connections, routing hybrid traffic securely to the Production VPC, Shared Services VPC, and Security Inspection VPC with centralized network firewalls.</w:t>
      </w:r>
    </w:p>
    <w:p>
      <w:pPr>
        <w:pStyle w:val="Heading2"/>
        <w:spacing w:before="280" w:after="80"/>
      </w:pPr>
      <w:r>
        <w:rPr>
          <w:rFonts w:ascii="Calibri" w:hAnsi="Calibri"/>
          <w:b/>
          <w:color w:val="0F172A"/>
          <w:sz w:val="26"/>
        </w:rPr>
        <w:t>8.3 Hybrid DNS Architecture (Amazon Route 53 Resolver)</w:t>
      </w:r>
    </w:p>
    <w:p>
      <w:pPr>
        <w:spacing w:after="120"/>
      </w:pPr>
      <w:r>
        <w:t>To ensure seamless name resolution across on-premises Active Directory domains and AWS private microservices:</w:t>
      </w:r>
    </w:p>
    <w:p>
      <w:pPr>
        <w:pStyle w:val="ListBullet"/>
        <w:spacing w:after="60"/>
      </w:pPr>
      <w:r>
        <w:t>**Route 53 Inbound Resolver Endpoints**: Hosted across private subnets, enabling on-premises hospital workstations, lab diagnostic machines, and clinical tablets to resolve internal cloud endpoints (`*.cloudfusion.internal`).</w:t>
      </w:r>
    </w:p>
    <w:p>
      <w:pPr>
        <w:pStyle w:val="ListBullet"/>
        <w:spacing w:after="60"/>
      </w:pPr>
      <w:r>
        <w:t>**Route 53 Outbound Resolver Endpoints**: Forward conditional DNS rules (`*.hospital.internal`) from AWS VPC workloads back over the Direct Connect link to on-premises Microsoft Active Directory domain controllers, enabling seamless hybrid LDAP authentication.</w:t>
      </w:r>
    </w:p>
    <w:p>
      <w:pPr>
        <w:pStyle w:val="Heading2"/>
        <w:spacing w:before="280" w:after="80"/>
      </w:pPr>
      <w:r>
        <w:rPr>
          <w:rFonts w:ascii="Calibri" w:hAnsi="Calibri"/>
          <w:b/>
          <w:color w:val="0F172A"/>
          <w:sz w:val="26"/>
        </w:rPr>
        <w:t>8.4 Edge Computing in Hospital Wards via AWS IoT Greengrass v2</w:t>
      </w:r>
    </w:p>
    <w:p>
      <w:pPr>
        <w:spacing w:after="120"/>
      </w:pPr>
      <w:r>
        <w:t>A significant clinical vulnerability in regional healthcare facilities is WAN connectivity instability. If a severe tropical storm severs regional telecommunications cables, a cloud-only monitoring platform would leave hospital intensive care nurses blind to patient status.</w:t>
      </w:r>
    </w:p>
    <w:p>
      <w:pPr>
        <w:spacing w:after="120"/>
      </w:pPr>
      <w:r>
        <w:t>To guarantee resilience, medical edge gateways deployed across all 22 branch hospitals run **AWS IoT Greengrass v2** (implemented in `/src/iot/greengrass_edge_telemetry.py`):</w:t>
      </w:r>
    </w:p>
    <w:p>
      <w:pPr>
        <w:spacing w:after="120"/>
      </w:pPr>
      <w:r>
        <w:t>1. **Local Sensor Telemetry Ingestion**: Edge gateways communicate locally with bedside vital sign monitors and patient smart patches via Bluetooth Low Energy (BLE) and serial protocols.</w:t>
      </w:r>
    </w:p>
    <w:p>
      <w:pPr>
        <w:spacing w:after="120"/>
      </w:pPr>
      <w:r>
        <w:t>2. **Local Edge Inference &amp; Anomaly Filtering**: The Python edge component evaluates vital signs locally. High-frequency electrical sensor noise is smoothed out, while acute emergency thresholds (`SpO2 &lt; 90%` or severe bradycardia/tachycardia) trigger immediate local audible alarms and bedside ward visual alerts independently of cloud connectivity.</w:t>
      </w:r>
    </w:p>
    <w:p>
      <w:pPr>
        <w:spacing w:after="120"/>
      </w:pPr>
      <w:r>
        <w:t>3. **Encrypted Store-and-Forward Buffering**: If the hybrid Direct Connect or VPN link goes down, the edge component buffers all vital sign readings into an encrypted local SQLite database. When connectivity is restored, the Greengrass sync engine automatically replays the historical buffer to AWS IoT Core, ensuring 100% data completeness for patient medical records with zero data loss.</w:t>
      </w:r>
    </w:p>
    <w:p>
      <w:pPr>
        <w:spacing w:after="120"/>
      </w:pPr>
      <w:r>
        <w:t>---</w:t>
      </w:r>
    </w:p>
    <w:p>
      <w:pPr>
        <w:pStyle w:val="Heading1"/>
        <w:spacing w:before="360" w:after="120"/>
      </w:pPr>
      <w:r>
        <w:rPr>
          <w:rFonts w:ascii="Calibri" w:hAnsi="Calibri"/>
          <w:b/>
          <w:color w:val="0369A1"/>
          <w:sz w:val="32"/>
        </w:rPr>
        <w:t>9. Conclusion &amp; Strategic Recommendations</w:t>
      </w:r>
    </w:p>
    <w:p>
      <w:pPr>
        <w:spacing w:after="120"/>
      </w:pPr>
      <w:r>
        <w:t>The architectural modernization detailed in this consultancy report transitions CloudFusion Healthcare Analytics Ltd (CHA) from an obsolete, single-site virtualized monolith to a resilient, enterprise-grade cloud architecture on Amazon Web Services.</w:t>
      </w:r>
    </w:p>
    <w:p>
      <w:pPr>
        <w:pStyle w:val="Heading2"/>
        <w:spacing w:before="280" w:after="80"/>
      </w:pPr>
      <w:r>
        <w:rPr>
          <w:rFonts w:ascii="Calibri" w:hAnsi="Calibri"/>
          <w:b/>
          <w:color w:val="0F172A"/>
          <w:sz w:val="26"/>
        </w:rPr>
        <w:t>Summary of Strategic Achievements:</w:t>
      </w:r>
    </w:p>
    <w:p>
      <w:pPr>
        <w:spacing w:after="120"/>
      </w:pPr>
      <w:r>
        <w:t>1. **Mission-Critical Availability**: Eliminates all single points of failure through a Multi-AZ VPC topology spanning three Availability Zones, delivering **99.99% contractual availability** with a technical design approaching **99.999% (five nines)**.</w:t>
      </w:r>
    </w:p>
    <w:p>
      <w:pPr>
        <w:spacing w:after="120"/>
      </w:pPr>
      <w:r>
        <w:t>2. **Massive Elastic Scalability**: Dynamically supports **over 100,000 concurrent users** using auto-scaling Amazon ECS Fargate container clusters and Amazon Aurora Serverless v2.</w:t>
      </w:r>
    </w:p>
    <w:p>
      <w:pPr>
        <w:spacing w:after="120"/>
      </w:pPr>
      <w:r>
        <w:t>3. **Decisive Financial Optimization**: Delivers an **82.3% reduction in overall Total Cost of Ownership** (and a **48.3% reduction in pure cloud operational costs**), exceeding the corporate mandate of $\ge 40\%$ through Fargate Spot blending, Compute Savings Plans, and automated S3 lifecycle tiering.</w:t>
      </w:r>
    </w:p>
    <w:p>
      <w:pPr>
        <w:spacing w:after="120"/>
      </w:pPr>
      <w:r>
        <w:t>4. **Clinical Innovation through Continuous IoT Telemetry**: Solves the historical hazards of discrete nursing polling by establishing sub-second continuous telemetry ingestion via AWS IoT Core and Kinesis, backed by AWS IoT Greengrass edge computing for offline ward resilience.</w:t>
      </w:r>
    </w:p>
    <w:p>
      <w:pPr>
        <w:spacing w:after="120"/>
      </w:pPr>
      <w:r>
        <w:t>5. **Zero-Trust Healthcare Compliance**: Enforces end-to-end KMS envelope encryption, attribute-based access control (ABAC), WORM immutable audit logging via AWS CloudTrail, and automated GDPR pseudonymization.</w:t>
      </w:r>
    </w:p>
    <w:p>
      <w:pPr>
        <w:pStyle w:val="Heading2"/>
        <w:spacing w:before="280" w:after="80"/>
      </w:pPr>
      <w:r>
        <w:rPr>
          <w:rFonts w:ascii="Calibri" w:hAnsi="Calibri"/>
          <w:b/>
          <w:color w:val="0F172A"/>
          <w:sz w:val="26"/>
        </w:rPr>
        <w:t>Strategic Recommendations &amp; Future Horizons:</w:t>
      </w:r>
    </w:p>
    <w:p>
      <w:pPr>
        <w:pStyle w:val="ListBullet"/>
        <w:spacing w:after="60"/>
      </w:pPr>
      <w:r>
        <w:t>**Immediate Phase (Next 30–60 Days)**: Complete Phase 1 pilot database migration using the supplied AWS DMS and Glue scripts; validate automated failover runbooks in staging.</w:t>
      </w:r>
    </w:p>
    <w:p>
      <w:pPr>
        <w:pStyle w:val="ListBullet"/>
        <w:spacing w:after="60"/>
      </w:pPr>
      <w:r>
        <w:t>**Medium-Term Phase (6–12 Months)**: Decommission physical data center servers to realize full TCO savings; expand AWS IoT Greengrass rollouts across all 22 regional clinic wards.</w:t>
      </w:r>
    </w:p>
    <w:p>
      <w:pPr>
        <w:pStyle w:val="ListBullet"/>
        <w:spacing w:after="60"/>
      </w:pPr>
      <w:r>
        <w:t>**Long-Term Innovation Horizon**: Integrate **Amazon Bedrock** and generative AI clinical models to synthesize multimodal EHR records and time-series telemetry into automated physician clinical summaries, while standardizing all patient data interfaces on **HL7 FHIR (Fast Healthcare Interoperability Resources)** APIs.</w:t>
      </w:r>
    </w:p>
    <w:p>
      <w:pPr>
        <w:spacing w:after="120"/>
      </w:pPr>
      <w:r>
        <w:t>---</w:t>
      </w:r>
    </w:p>
    <w:p>
      <w:pPr>
        <w:pStyle w:val="Heading1"/>
        <w:spacing w:before="360" w:after="120"/>
      </w:pPr>
      <w:r>
        <w:rPr>
          <w:rFonts w:ascii="Calibri" w:hAnsi="Calibri"/>
          <w:b/>
          <w:color w:val="0369A1"/>
          <w:sz w:val="32"/>
        </w:rPr>
        <w:t>10. References</w:t>
      </w:r>
    </w:p>
    <w:p>
      <w:pPr>
        <w:pStyle w:val="ListBullet"/>
        <w:spacing w:after="60"/>
      </w:pPr>
      <w:r>
        <w:t>Amazon Web Services. (2024a). *AWS Well-Architected Framework: Reliability, Security, and Cost Optimization Pillars*. AWS Whitepapers. Available at: https://aws.amazon.com/architecture/well-architected/ [Accessed 2 Oct 2026].</w:t>
      </w:r>
    </w:p>
    <w:p>
      <w:pPr>
        <w:pStyle w:val="ListBullet"/>
        <w:spacing w:after="60"/>
      </w:pPr>
      <w:r>
        <w:t>Amazon Web Services. (2024b). *Architecting for HIPAA Security and Compliance on AWS*. AWS Security Documentation. Available at: https://docs.aws.amazon.com/whitepapers/latest/architecting-hipaa-security-and-compliance-on-aws/ [Accessed 2 Oct 2026].</w:t>
      </w:r>
    </w:p>
    <w:p>
      <w:pPr>
        <w:pStyle w:val="ListBullet"/>
        <w:spacing w:after="60"/>
      </w:pPr>
      <w:r>
        <w:t>Brikman, Y. (2022). *Terraform: Up &amp; Running: Writing Infrastructure as Code*. 3rd ed. Sebastopol, CA: O'Reilly Media.</w:t>
      </w:r>
    </w:p>
    <w:p>
      <w:pPr>
        <w:pStyle w:val="ListBullet"/>
        <w:spacing w:after="60"/>
      </w:pPr>
      <w:r>
        <w:t>European Parliament and Council of the European Union. (2016). *Regulation (EU) 2016/679 (General Data Protection Regulation)*. Official Journal of the European Union, L119, pp. 1–88.</w:t>
      </w:r>
    </w:p>
    <w:p>
      <w:pPr>
        <w:pStyle w:val="ListBullet"/>
        <w:spacing w:after="60"/>
      </w:pPr>
      <w:r>
        <w:t>Gartner. (2023). *Gartner Magic Quadrant for Strategic Cloud Platform Services*. Stamford, CT: Gartner Research.</w:t>
      </w:r>
    </w:p>
    <w:p>
      <w:pPr>
        <w:pStyle w:val="ListBullet"/>
        <w:spacing w:after="60"/>
      </w:pPr>
      <w:r>
        <w:t>Kuhraz, A. and Al-Qutaimi, M. (2021). 'High Availability Architectures in Telecommunications and Mission-Critical Cloud Systems', *IEEE Transactions on Network and Service Management*, 18(3), pp. 2910–2924. doi:10.1109/TNSM.2021.3089412.</w:t>
      </w:r>
    </w:p>
    <w:p>
      <w:pPr>
        <w:pStyle w:val="ListBullet"/>
        <w:spacing w:after="60"/>
      </w:pPr>
      <w:r>
        <w:t>National Institute of Standards and Technology (NIST). (2020). *Zero Trust Architecture*. NIST Special Publication 800-207. Gaithersburg, MD: U.S. Department of Commerce.</w:t>
      </w:r>
    </w:p>
    <w:p>
      <w:pPr>
        <w:pStyle w:val="ListBullet"/>
        <w:spacing w:after="60"/>
      </w:pPr>
      <w:r>
        <w:t>Rajkomar, A., Oren, E., Chen, K., Dai, A.M., Hajaj, N., Hardt, M., Liu, P.J., Liu, X., Marcus, J., Sun, M. and Sundberg, P. (2018). 'Scalable and accurate deep learning for electronic health records', *npj Digital Medicine*, 1(1), pp. 1–10. doi:10.1038/s41746-018-0029-1.</w:t>
      </w:r>
    </w:p>
    <w:p>
      <w:pPr>
        <w:pStyle w:val="ListBullet"/>
        <w:spacing w:after="60"/>
      </w:pPr>
      <w:r>
        <w:t>Sommerville, I. (2020). *Software Engineering*. 10th ed. Boston: Pearson.</w:t>
      </w:r>
    </w:p>
    <w:p>
      <w:pPr>
        <w:pStyle w:val="ListBullet"/>
        <w:spacing w:after="60"/>
      </w:pPr>
      <w:r>
        <w:t>Subramanian, S., Pamplin, J.C., Hravnak, M. and Gomez, H. (2022). 'Continuous physiological monitoring outside the ICU: A clinical imperative for patient safety', *Critical Care Medicine*, 50(4), pp. 612–623. doi:10.1097/CCM.0000000000005411.</w:t>
      </w:r>
    </w:p>
    <w:p>
      <w:pPr>
        <w:pStyle w:val="ListBullet"/>
        <w:spacing w:after="60"/>
      </w:pPr>
      <w:r>
        <w:t>U.S. Department of Health and Human Services (HHS). (2013). *Modifications to the HIPAA Privacy, Security, Enforcement, and Breach Notification Rules Under the Health Information Technology for Economic and Clinical Health Act*. Federal Register, 78(17), pp. 5566–5702.</w:t>
      </w:r>
    </w:p>
    <w:p>
      <w:pPr>
        <w:spacing w:after="120"/>
      </w:pPr>
      <w:r>
        <w:t>---</w:t>
      </w:r>
    </w:p>
    <w:p>
      <w:pPr>
        <w:pStyle w:val="Heading1"/>
        <w:spacing w:before="360" w:after="120"/>
      </w:pPr>
      <w:r>
        <w:rPr>
          <w:rFonts w:ascii="Calibri" w:hAnsi="Calibri"/>
          <w:b/>
          <w:color w:val="0369A1"/>
          <w:sz w:val="32"/>
        </w:rPr>
        <w:t>11. Appendices</w:t>
      </w:r>
    </w:p>
    <w:p>
      <w:pPr>
        <w:pStyle w:val="Heading2"/>
        <w:spacing w:before="280" w:after="80"/>
      </w:pPr>
      <w:r>
        <w:rPr>
          <w:rFonts w:ascii="Calibri" w:hAnsi="Calibri"/>
          <w:b/>
          <w:color w:val="0F172A"/>
          <w:sz w:val="26"/>
        </w:rPr>
        <w:t>Appendix A: Complete Terraform Infrastructure as Code Catalog</w:t>
      </w:r>
    </w:p>
    <w:p>
      <w:pPr>
        <w:spacing w:after="120"/>
      </w:pPr>
      <w:r>
        <w:t>The full modularized Infrastructure as Code implementation is organized in the repository under `/src/terraform`:</w:t>
      </w:r>
    </w:p>
    <w:p>
      <w:pPr>
        <w:pStyle w:val="ListBullet"/>
        <w:spacing w:after="60"/>
      </w:pPr>
      <w:r>
        <w:t>**VPC Module**: `/src/terraform/modules/vpc/` (Defines 9 subnets across 3 AZs, 3 NAT Gateways, Internet Gateway, route tables, and S3/DynamoDB VPC Gateway Endpoints).</w:t>
      </w:r>
    </w:p>
    <w:p>
      <w:pPr>
        <w:pStyle w:val="ListBullet"/>
        <w:spacing w:after="60"/>
      </w:pPr>
      <w:r>
        <w:t>**Security Module**: `/src/terraform/modules/security/` (Customer Managed KMS Key with automatic rotation; strictly chained Security Groups for ALB, ECS Fargate, Aurora DB, and ElastiCache).</w:t>
      </w:r>
    </w:p>
    <w:p>
      <w:pPr>
        <w:pStyle w:val="ListBullet"/>
        <w:spacing w:after="60"/>
      </w:pPr>
      <w:r>
        <w:t>**ECS Fargate Module**: `/src/terraform/modules/ecs_fargate/` (ECS Cluster, Container Insights, Fargate Spot capacity providers, dual ALB target groups, CloudWatch logging, and Target Tracking auto-scaling).</w:t>
      </w:r>
    </w:p>
    <w:p>
      <w:pPr>
        <w:pStyle w:val="ListBullet"/>
        <w:spacing w:after="60"/>
      </w:pPr>
      <w:r>
        <w:t>**Database Module**: `/src/terraform/modules/database/` (Amazon Aurora PostgreSQL Serverless v2 Multi-AZ cluster, DynamoDB patient telemetry table with TTL, and S3 Medical Data Lake with lifecycle transitions).</w:t>
      </w:r>
    </w:p>
    <w:p>
      <w:pPr>
        <w:pStyle w:val="Heading2"/>
        <w:spacing w:before="280" w:after="80"/>
      </w:pPr>
      <w:r>
        <w:rPr>
          <w:rFonts w:ascii="Calibri" w:hAnsi="Calibri"/>
          <w:b/>
          <w:color w:val="0F172A"/>
          <w:sz w:val="26"/>
        </w:rPr>
        <w:t>Appendix B: Production IAM Security Policy Definitions</w:t>
      </w:r>
    </w:p>
    <w:p>
      <w:pPr>
        <w:pStyle w:val="ListBullet"/>
        <w:spacing w:after="60"/>
      </w:pPr>
      <w:r>
        <w:t>**Patient Data ABAC Policy**: `/src/iam/patient_data_access_policy.json` (Enforces TLS 1.3, hardware MFA, and attribute-based department matching).</w:t>
      </w:r>
    </w:p>
    <w:p>
      <w:pPr>
        <w:pStyle w:val="ListBullet"/>
        <w:spacing w:after="60"/>
      </w:pPr>
      <w:r>
        <w:t>**KMS Healthcare Key Policy**: `/src/iam/kms_healthcare_key_policy.json` (Separation of duties between key administrators and clinical decryption roles).</w:t>
      </w:r>
    </w:p>
    <w:p>
      <w:pPr>
        <w:pStyle w:val="ListBullet"/>
        <w:spacing w:after="60"/>
      </w:pPr>
      <w:r>
        <w:t>**Compliance Read-Only Audit Policy**: `/src/iam/security_audit_readonly_policy.json` (Grants read access to CloudTrail and Security Hub while explicitly denying clinical patient data).</w:t>
      </w:r>
    </w:p>
    <w:p>
      <w:pPr>
        <w:pStyle w:val="Heading2"/>
        <w:spacing w:before="280" w:after="80"/>
      </w:pPr>
      <w:r>
        <w:rPr>
          <w:rFonts w:ascii="Calibri" w:hAnsi="Calibri"/>
          <w:b/>
          <w:color w:val="0F172A"/>
          <w:sz w:val="26"/>
        </w:rPr>
        <w:t>Appendix C: AWS DMS Replication Settings &amp; Table Transformation Mappings</w:t>
      </w:r>
    </w:p>
    <w:p>
      <w:pPr>
        <w:pStyle w:val="ListBullet"/>
        <w:spacing w:after="60"/>
      </w:pPr>
      <w:r>
        <w:t>**Task Settings**: `/src/dms/replication_task_settings.json` (Defines parallel load threads, CDC commit rates, and row-level validation).</w:t>
      </w:r>
    </w:p>
    <w:p>
      <w:pPr>
        <w:pStyle w:val="ListBullet"/>
        <w:spacing w:after="60"/>
      </w:pPr>
      <w:r>
        <w:t>**Table Mappings**: `/src/dms/table_mappings.json` (Schema transformation rules from SQL Server `dbo` to Aurora PostgreSQL `clinical_prod`).</w:t>
      </w:r>
    </w:p>
    <w:p>
      <w:pPr>
        <w:pStyle w:val="Heading2"/>
        <w:spacing w:before="280" w:after="80"/>
      </w:pPr>
      <w:r>
        <w:rPr>
          <w:rFonts w:ascii="Calibri" w:hAnsi="Calibri"/>
          <w:b/>
          <w:color w:val="0F172A"/>
          <w:sz w:val="26"/>
        </w:rPr>
        <w:t>Appendix D: AWS Glue PySpark Data Migration &amp; Integrity Verification Script</w:t>
      </w:r>
    </w:p>
    <w:p>
      <w:pPr>
        <w:pStyle w:val="ListBullet"/>
        <w:spacing w:after="60"/>
      </w:pPr>
      <w:r>
        <w:t>**ETL Script**: `/src/glue/historical_data_migration_etl.py` (PySpark job executing schema cleansing, GDPR HMAC pseudonymization, Snappy Parquet conversion, and SHA-256 integrity checksum verification).</w:t>
      </w:r>
    </w:p>
    <w:p>
      <w:pPr>
        <w:pStyle w:val="Heading2"/>
        <w:spacing w:before="280" w:after="80"/>
      </w:pPr>
      <w:r>
        <w:rPr>
          <w:rFonts w:ascii="Calibri" w:hAnsi="Calibri"/>
          <w:b/>
          <w:color w:val="0F172A"/>
          <w:sz w:val="26"/>
        </w:rPr>
        <w:t>Appendix E: AWS IoT Greengrass v2 Edge Processing Script &amp; Recipe</w:t>
      </w:r>
    </w:p>
    <w:p>
      <w:pPr>
        <w:pStyle w:val="ListBullet"/>
        <w:spacing w:after="60"/>
      </w:pPr>
      <w:r>
        <w:t>**Component Recipe**: `/src/iot/greengrass_v2_recipe.json` (Greengrass v2 deployment recipe).</w:t>
      </w:r>
    </w:p>
    <w:p>
      <w:pPr>
        <w:pStyle w:val="ListBullet"/>
        <w:spacing w:after="60"/>
      </w:pPr>
      <w:r>
        <w:t>**Edge Python Processor**: `/src/iot/greengrass_edge_telemetry.py` (Local sensor sampling, acute hypoxia anomaly detection, and SQLite offline store-and-forward buffering).</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