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RAG Chatbot — Optimisation &amp; Migration Log</w:t>
      </w:r>
    </w:p>
    <w:p>
      <w:r>
        <w:t>Date: 12 May 2026    Project: FIT 4002 — Triple A Super Advisor AI</w:t>
      </w:r>
    </w:p>
    <w:p/>
    <w:p>
      <w:pPr>
        <w:pStyle w:val="Heading1"/>
        <w:jc w:val="left"/>
      </w:pPr>
      <w:r>
        <w:t>1. Overview</w:t>
      </w:r>
    </w:p>
    <w:p>
      <w:pPr/>
      <w:r>
        <w:t>This document records all changes made to the RAG chatbot pipeline following the decision to move away from Cloudflare Vectorize and OpenAI to a fully local stack. It also captures performance optimisations applied after the migration, issues discovered during testing, and problems that remain unresolved.</w:t>
      </w:r>
    </w:p>
    <w:p/>
    <w:p>
      <w:pPr>
        <w:pStyle w:val="Heading1"/>
        <w:jc w:val="left"/>
      </w:pPr>
      <w:r>
        <w:t>2. Full Local Migration (Cloudflare + OpenAI → ChromaDB + Ollama)</w:t>
      </w:r>
    </w:p>
    <w:p>
      <w:pPr>
        <w:pStyle w:val="Heading2"/>
        <w:jc w:val="left"/>
      </w:pPr>
      <w:r>
        <w:t>2.1 Reason for Change</w:t>
      </w:r>
    </w:p>
    <w:p>
      <w:pPr/>
      <w:r>
        <w:t>The deployed system relied on Cloudflare Vectorize for vector storage and OpenAI (gpt-4o and text-embedding-3-small) for embeddings and generation. These introduced external API costs, network latency, and internet dependency. The decision was made to run the entire pipeline locally using Ollama for LLM inference and ChromaDB as the vector store.</w:t>
      </w:r>
    </w:p>
    <w:p>
      <w:pPr>
        <w:pStyle w:val="Heading2"/>
        <w:jc w:val="left"/>
      </w:pPr>
      <w:r>
        <w:t>2.2 Changes Made</w:t>
      </w:r>
    </w:p>
    <w:p>
      <w:pPr>
        <w:pStyle w:val="ListBullet"/>
      </w:pPr>
      <w:r>
        <w:rPr>
          <w:b/>
        </w:rPr>
        <w:t>ingest.py — complete rewrite:</w:t>
      </w:r>
      <w:r/>
    </w:p>
    <w:p>
      <w:pPr>
        <w:pStyle w:val="ListBullet"/>
      </w:pPr>
      <w:r>
        <w:rPr>
          <w:b/>
        </w:rPr>
        <w:t xml:space="preserve">  • </w:t>
      </w:r>
      <w:r>
        <w:t>Removed all Cloudflare API code (CF_ACCOUNT_ID, CF_API_TOKEN, CF_INDEX_NAME, secrets.env loading).</w:t>
      </w:r>
    </w:p>
    <w:p>
      <w:pPr>
        <w:pStyle w:val="ListBullet"/>
      </w:pPr>
      <w:r>
        <w:rPr>
          <w:b/>
        </w:rPr>
        <w:t xml:space="preserve">  • </w:t>
      </w:r>
      <w:r>
        <w:t>Replaced Cloudflare batch upload with chromadb.PersistentClient writing to ./chroma_db.</w:t>
      </w:r>
    </w:p>
    <w:p>
      <w:pPr>
        <w:pStyle w:val="ListBullet"/>
      </w:pPr>
      <w:r>
        <w:rPr>
          <w:b/>
        </w:rPr>
        <w:t xml:space="preserve">  • </w:t>
      </w:r>
      <w:r>
        <w:t>Added extract_tables() to pdfplumber parsing so tabular data (ages, thresholds) is captured.</w:t>
      </w:r>
    </w:p>
    <w:p>
      <w:pPr>
        <w:pStyle w:val="ListBullet"/>
      </w:pPr>
      <w:r>
        <w:rPr>
          <w:b/>
        </w:rPr>
        <w:t xml:space="preserve">  • </w:t>
      </w:r>
      <w:r>
        <w:t>Added Trust_Deed_Sample_Superannuation_Fund.pdf — all 8 PDFs now indexed (previously 7).</w:t>
      </w:r>
    </w:p>
    <w:p>
      <w:pPr>
        <w:pStyle w:val="ListBullet"/>
      </w:pPr>
      <w:r>
        <w:rPr>
          <w:b/>
        </w:rPr>
        <w:t xml:space="preserve">  • </w:t>
      </w:r>
      <w:r>
        <w:t>Updated HierarchicalNodeParser chunk sizes from [2048, 256] to [2048, 512].</w:t>
      </w:r>
    </w:p>
    <w:p/>
    <w:p>
      <w:pPr>
        <w:pStyle w:val="ListBullet"/>
      </w:pPr>
      <w:r>
        <w:rPr>
          <w:b/>
        </w:rPr>
        <w:t>views.py — backend updated:</w:t>
      </w:r>
      <w:r/>
    </w:p>
    <w:p>
      <w:pPr>
        <w:pStyle w:val="ListBullet"/>
      </w:pPr>
      <w:r>
        <w:rPr>
          <w:b/>
        </w:rPr>
        <w:t xml:space="preserve">  • </w:t>
      </w:r>
      <w:r>
        <w:t>Removed load_dotenv("secrets.env") and all Cloudflare environment variable references.</w:t>
      </w:r>
    </w:p>
    <w:p>
      <w:pPr>
        <w:pStyle w:val="ListBullet"/>
      </w:pPr>
      <w:r>
        <w:rPr>
          <w:b/>
        </w:rPr>
        <w:t xml:space="preserve">  • </w:t>
      </w:r>
      <w:r>
        <w:t>Replaced perform_vector_search() Cloudflare REST call with a ChromaDB .query() call.</w:t>
      </w:r>
    </w:p>
    <w:p>
      <w:pPr>
        <w:pStyle w:val="ListBullet"/>
      </w:pPr>
      <w:r>
        <w:rPr>
          <w:b/>
        </w:rPr>
        <w:t xml:space="preserve">  • </w:t>
      </w:r>
      <w:r>
        <w:t>ChromaDB cosine distance converted to similarity score: score = 1.0 − (distance / 2.0).</w:t>
      </w:r>
    </w:p>
    <w:p/>
    <w:p>
      <w:pPr>
        <w:pStyle w:val="ListBullet"/>
      </w:pPr>
      <w:r>
        <w:rPr>
          <w:b/>
        </w:rPr>
        <w:t>requirements.txt — updated:</w:t>
      </w:r>
      <w:r/>
    </w:p>
    <w:p>
      <w:pPr>
        <w:pStyle w:val="ListBullet"/>
      </w:pPr>
      <w:r>
        <w:rPr>
          <w:b/>
        </w:rPr>
        <w:t xml:space="preserve">  • </w:t>
      </w:r>
      <w:r>
        <w:t>Removed: openai, pypdf.</w:t>
      </w:r>
    </w:p>
    <w:p>
      <w:pPr>
        <w:pStyle w:val="ListBullet"/>
      </w:pPr>
      <w:r>
        <w:rPr>
          <w:b/>
        </w:rPr>
        <w:t xml:space="preserve">  • </w:t>
      </w:r>
      <w:r>
        <w:t>Added: chromadb, pdfplumber, llama-index-core.</w:t>
      </w:r>
    </w:p>
    <w:p/>
    <w:p>
      <w:pPr>
        <w:pStyle w:val="Heading1"/>
        <w:jc w:val="left"/>
      </w:pPr>
      <w:r>
        <w:t>3. Performance Optimisations</w:t>
      </w:r>
    </w:p>
    <w:p>
      <w:pPr>
        <w:pStyle w:val="Heading2"/>
        <w:jc w:val="left"/>
      </w:pPr>
      <w:r>
        <w:t>3.1 Problem: Slow Response Time</w:t>
      </w:r>
    </w:p>
    <w:p>
      <w:pPr/>
      <w:r>
        <w:t>The original pipeline called qwen3 once per retrieved chunk for reranking. With topK=15 per query and 3 query variants, this produced up to 45 chunks — resulting in approximately 30–40 sequential qwen3 calls before a single answer was generated. At ~15 seconds per call, total response time exceeded 2 minutes.</w:t>
      </w:r>
    </w:p>
    <w:p>
      <w:pPr>
        <w:pStyle w:val="Heading2"/>
        <w:jc w:val="left"/>
      </w:pPr>
      <w:r>
        <w:t>3.2 Attempted Fix: Parallel Reranking</w:t>
      </w:r>
    </w:p>
    <w:p>
      <w:pPr/>
      <w:r>
        <w:t>Python ThreadPoolExecutor was used to fire all reranker calls simultaneously. This did not produce meaningful improvement because Ollama processes one request at a time by default. All threads queued and executed sequentially. True parallelism would require setting OLLAMA_NUM_PARALLEL, which demands ~3–4 GB RAM per concurrent context — not feasible on typical local hardware.</w:t>
      </w:r>
    </w:p>
    <w:p>
      <w:pPr>
        <w:pStyle w:val="Heading2"/>
        <w:jc w:val="left"/>
      </w:pPr>
      <w:r>
        <w:t>3.3 Final Fix: Cross-Encoder Reranker</w:t>
      </w:r>
    </w:p>
    <w:p>
      <w:pPr/>
      <w:r>
        <w:t>Following research team input, the pipeline was redesigned to replace the qwen3 reranker with cross-encoder/ms-marco-MiniLM-L6-v2 from sentence-transformers. This model scores all retrieved chunks in a single batched forward pass on CPU in ~1–2 seconds, versus ~120 seconds for sequential qwen3 calls. qwen3 was retained only for final answer generation.</w:t>
      </w:r>
    </w:p>
    <w:p>
      <w:pPr/>
      <w:r>
        <w:t>The revised pipeline:</w:t>
      </w:r>
    </w:p>
    <w:p>
      <w:pPr>
        <w:pStyle w:val="ListBullet"/>
      </w:pPr>
      <w:r>
        <w:t>1. Embed query with BAAI/bge-base-en-v1.5 (sentence-transformers, no HTTP call).</w:t>
      </w:r>
    </w:p>
    <w:p>
      <w:pPr>
        <w:pStyle w:val="ListBullet"/>
      </w:pPr>
      <w:r>
        <w:t>2. Retrieve top 40 chunks from ChromaDB.</w:t>
      </w:r>
    </w:p>
    <w:p>
      <w:pPr>
        <w:pStyle w:val="ListBullet"/>
      </w:pPr>
      <w:r>
        <w:t>3. Deduplicate by MD5 hash of chunk text.</w:t>
      </w:r>
    </w:p>
    <w:p>
      <w:pPr>
        <w:pStyle w:val="ListBullet"/>
      </w:pPr>
      <w:r>
        <w:t>4. Batch-rerank all deduplicated chunks in one cross-encoder forward pass.</w:t>
      </w:r>
    </w:p>
    <w:p>
      <w:pPr>
        <w:pStyle w:val="ListBullet"/>
      </w:pPr>
      <w:r>
        <w:t>5. Pass top 5 chunks to qwen3 for final answer generation.</w:t>
      </w:r>
    </w:p>
    <w:p/>
    <w:p>
      <w:pPr>
        <w:pStyle w:val="Heading1"/>
        <w:jc w:val="left"/>
      </w:pPr>
      <w:r>
        <w:t>4. Additional Optimisations Applied</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b/>
              </w:rPr>
              <w:t>Optimisation</w:t>
            </w:r>
          </w:p>
        </w:tc>
        <w:tc>
          <w:tcPr>
            <w:tcW w:type="dxa" w:w="2880"/>
            <w:shd w:val="clear" w:color="auto" w:fill="D9E1F2"/>
          </w:tcPr>
          <w:p>
            <w:r>
              <w:rPr>
                <w:b/>
              </w:rPr>
              <w:t>Reason</w:t>
            </w:r>
          </w:p>
        </w:tc>
        <w:tc>
          <w:tcPr>
            <w:tcW w:type="dxa" w:w="2880"/>
            <w:shd w:val="clear" w:color="auto" w:fill="D9E1F2"/>
          </w:tcPr>
          <w:p>
            <w:r>
              <w:rPr>
                <w:b/>
              </w:rPr>
              <w:t>Change Made</w:t>
            </w:r>
          </w:p>
        </w:tc>
      </w:tr>
      <w:tr>
        <w:tc>
          <w:tcPr>
            <w:tcW w:type="dxa" w:w="2880"/>
          </w:tcPr>
          <w:p>
            <w:r>
              <w:t>Embedding model — Ollama → sentence-transformers</w:t>
            </w:r>
          </w:p>
        </w:tc>
        <w:tc>
          <w:tcPr>
            <w:tcW w:type="dxa" w:w="2880"/>
          </w:tcPr>
          <w:p>
            <w:r>
              <w:t>Ollama adds an HTTP round-trip for every query. Loading the model in-process eliminates network overhead.</w:t>
            </w:r>
          </w:p>
        </w:tc>
        <w:tc>
          <w:tcPr>
            <w:tcW w:type="dxa" w:w="2880"/>
          </w:tcPr>
          <w:p>
            <w:r>
              <w:t>get_embedding() replaced with _embedder.encode() using SentenceTransformer loaded at startup. Ingestion updated to batch-embed all 1037 leaf nodes in one call (~33 seconds vs several minutes).</w:t>
            </w:r>
          </w:p>
        </w:tc>
      </w:tr>
      <w:tr>
        <w:tc>
          <w:tcPr>
            <w:tcW w:type="dxa" w:w="2880"/>
          </w:tcPr>
          <w:p>
            <w:r>
              <w:t>Embedding model — jina → BAAI/bge-base-en-v1.5</w:t>
            </w:r>
          </w:p>
        </w:tc>
        <w:tc>
          <w:tcPr>
            <w:tcW w:type="dxa" w:w="2880"/>
          </w:tcPr>
          <w:p>
            <w:r>
              <w:t>jinaai/jina-embeddings-v2-base-en has two blocking issues: (1) without trust_remote_code it randomly initialises half its weights; (2) with trust_remote_code its custom code imports transformers.onnx which was removed in newer transformers versions.</w:t>
            </w:r>
          </w:p>
        </w:tc>
        <w:tc>
          <w:tcPr>
            <w:tcW w:type="dxa" w:w="2880"/>
          </w:tcPr>
          <w:p>
            <w:r>
              <w:t>Switched to BAAI/bge-base-en-v1.5. Same 768-dimension output. Loads cleanly with no custom code or compatibility issues. Re-ingestion required to rebuild ChromaDB with consistent embeddings.</w:t>
            </w:r>
          </w:p>
        </w:tc>
      </w:tr>
      <w:tr>
        <w:tc>
          <w:tcPr>
            <w:tcW w:type="dxa" w:w="2880"/>
          </w:tcPr>
          <w:p>
            <w:r>
              <w:t>BGE query prefix</w:t>
            </w:r>
          </w:p>
        </w:tc>
        <w:tc>
          <w:tcPr>
            <w:tcW w:type="dxa" w:w="2880"/>
          </w:tcPr>
          <w:p>
            <w:r>
              <w:t>BGE models are trained with an asymmetric setup: queries need a specific prefix but indexed documents do not. Without it, query and document embeddings land in different regions of the vector space and retrieval fails.</w:t>
            </w:r>
          </w:p>
        </w:tc>
        <w:tc>
          <w:tcPr>
            <w:tcW w:type="dxa" w:w="2880"/>
          </w:tcPr>
          <w:p>
            <w:r>
              <w:t>Query encoding prepends: "Represent this sentence for searching relevant passages: " before calling _embedder.encode().</w:t>
            </w:r>
          </w:p>
        </w:tc>
      </w:tr>
      <w:tr>
        <w:tc>
          <w:tcPr>
            <w:tcW w:type="dxa" w:w="2880"/>
          </w:tcPr>
          <w:p>
            <w:r>
              <w:t>Context window — num_ctx 4096 → 8192</w:t>
            </w:r>
          </w:p>
        </w:tc>
        <w:tc>
          <w:tcPr>
            <w:tcW w:type="dxa" w:w="2880"/>
          </w:tcPr>
          <w:p>
            <w:r>
              <w:t>With 5 parent chunks × ~500 tokens each plus system prompt overhead, the 4096-token limit caused silent truncation — later chunks were never seen by qwen3 regardless of rerank score.</w:t>
            </w:r>
          </w:p>
        </w:tc>
        <w:tc>
          <w:tcPr>
            <w:tcW w:type="dxa" w:w="2880"/>
          </w:tcPr>
          <w:p>
            <w:r>
              <w:t>num_ctx set to 8192 in get_chat_response(). Each chunk also capped at 1500 chars before building the context string.</w:t>
            </w:r>
          </w:p>
        </w:tc>
      </w:tr>
      <w:tr>
        <w:tc>
          <w:tcPr>
            <w:tcW w:type="dxa" w:w="2880"/>
          </w:tcPr>
          <w:p>
            <w:r>
              <w:t>Query result caching</w:t>
            </w:r>
          </w:p>
        </w:tc>
        <w:tc>
          <w:tcPr>
            <w:tcW w:type="dxa" w:w="2880"/>
          </w:tcPr>
          <w:p>
            <w:r>
              <w:t>Repeated identical queries ran the full pipeline from scratch. In a demo setting advisors ask similar questions repeatedly.</w:t>
            </w:r>
          </w:p>
        </w:tc>
        <w:tc>
          <w:tcPr>
            <w:tcW w:type="dxa" w:w="2880"/>
          </w:tcPr>
          <w:p>
            <w:r>
              <w:t>In-memory dict _query_cache added. On each request the normalised query is checked first; on a cache hit the stored JSON is returned immediately without any model calls.</w:t>
            </w:r>
          </w:p>
        </w:tc>
      </w:tr>
      <w:tr>
        <w:tc>
          <w:tcPr>
            <w:tcW w:type="dxa" w:w="2880"/>
          </w:tcPr>
          <w:p>
            <w:r>
              <w:t>System prompt loosened</w:t>
            </w:r>
          </w:p>
        </w:tc>
        <w:tc>
          <w:tcPr>
            <w:tcW w:type="dxa" w:w="2880"/>
          </w:tcPr>
          <w:p>
            <w:r>
              <w:t>The original "STRICTLY based on" instruction caused qwen3 to refuse answers when the context contained partial or brief information — even when relevant text was clearly present.</w:t>
            </w:r>
          </w:p>
        </w:tc>
        <w:tc>
          <w:tcPr>
            <w:tcW w:type="dxa" w:w="2880"/>
          </w:tcPr>
          <w:p>
            <w:r>
              <w:t>Prompt updated to instruct the model to report all available information, even if incomplete, and only decline when context is completely unrelated.</w:t>
            </w:r>
          </w:p>
        </w:tc>
      </w:tr>
      <w:tr>
        <w:tc>
          <w:tcPr>
            <w:tcW w:type="dxa" w:w="2880"/>
          </w:tcPr>
          <w:p>
            <w:r>
              <w:t>Frontend root URL</w:t>
            </w:r>
          </w:p>
        </w:tc>
        <w:tc>
          <w:tcPr>
            <w:tcW w:type="dxa" w:w="2880"/>
          </w:tcPr>
          <w:p>
            <w:r>
              <w:t>Django returned 404 on GET / because no route was registered for the root path.</w:t>
            </w:r>
          </w:p>
        </w:tc>
        <w:tc>
          <w:tcPr>
            <w:tcW w:type="dxa" w:w="2880"/>
          </w:tcPr>
          <w:p>
            <w:r>
              <w:t>Added serve_index() view in config/urls.py that serves the existing index.html file.</w:t>
            </w:r>
          </w:p>
        </w:tc>
      </w:tr>
    </w:tbl>
    <w:p/>
    <w:p>
      <w:pPr>
        <w:pStyle w:val="Heading1"/>
        <w:jc w:val="left"/>
      </w:pPr>
      <w:r>
        <w:t>5. Issues Found and Not Yet Rectified</w:t>
      </w:r>
    </w:p>
    <w:p>
      <w:pPr>
        <w:pStyle w:val="Heading2"/>
        <w:jc w:val="left"/>
      </w:pPr>
      <w:r>
        <w:t>5.1 PDF Table Extraction — Column Interleaving</w:t>
      </w:r>
    </w:p>
    <w:p>
      <w:pPr/>
      <w:r>
        <w:t>Status: Unresolved</w:t>
      </w:r>
    </w:p>
    <w:p/>
    <w:p>
      <w:pPr/>
      <w:r>
        <w:t>Certain pages in the SIS Act PDFs use multi-column formatted text that visually resembles a table but contains no actual table structure (no cell borders detectable by pdfplumber). pdfplumber's extract_tables() returns zero tables for these pages. The fallback extract_text() reads each line left-to-right, which interleaves the content of multi-line cells across adjacent columns.</w:t>
      </w:r>
    </w:p>
    <w:p>
      <w:pPr/>
      <w:r>
        <w:t>Example — the following row in the SIS Act (page 314):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F2F2F2"/>
          </w:tcPr>
          <w:p>
            <w:r>
              <w:rPr>
                <w:b/>
              </w:rPr>
              <w:t>Act</w:t>
            </w:r>
          </w:p>
        </w:tc>
        <w:tc>
          <w:tcPr>
            <w:tcW w:type="dxa" w:w="1728"/>
            <w:shd w:val="clear" w:color="auto" w:fill="F2F2F2"/>
          </w:tcPr>
          <w:p>
            <w:r>
              <w:rPr>
                <w:b/>
              </w:rPr>
              <w:t>Number and year</w:t>
            </w:r>
          </w:p>
        </w:tc>
        <w:tc>
          <w:tcPr>
            <w:tcW w:type="dxa" w:w="1728"/>
            <w:shd w:val="clear" w:color="auto" w:fill="F2F2F2"/>
          </w:tcPr>
          <w:p>
            <w:r>
              <w:rPr>
                <w:b/>
              </w:rPr>
              <w:t>Assent</w:t>
            </w:r>
          </w:p>
        </w:tc>
        <w:tc>
          <w:tcPr>
            <w:tcW w:type="dxa" w:w="1728"/>
            <w:shd w:val="clear" w:color="auto" w:fill="F2F2F2"/>
          </w:tcPr>
          <w:p>
            <w:r>
              <w:rPr>
                <w:b/>
              </w:rPr>
              <w:t>Commencement</w:t>
            </w:r>
          </w:p>
        </w:tc>
        <w:tc>
          <w:tcPr>
            <w:tcW w:type="dxa" w:w="1728"/>
            <w:shd w:val="clear" w:color="auto" w:fill="F2F2F2"/>
          </w:tcPr>
          <w:p>
            <w:r>
              <w:rPr>
                <w:b/>
              </w:rPr>
              <w:t>Provisions</w:t>
            </w:r>
          </w:p>
        </w:tc>
      </w:tr>
      <w:tr>
        <w:tc>
          <w:tcPr>
            <w:tcW w:type="dxa" w:w="1728"/>
          </w:tcPr>
          <w:p>
            <w:r>
              <w:t>Statute Law Revision Act (No. 1) 2015</w:t>
            </w:r>
          </w:p>
        </w:tc>
        <w:tc>
          <w:tcPr>
            <w:tcW w:type="dxa" w:w="1728"/>
          </w:tcPr>
          <w:p>
            <w:r>
              <w:t>5, 2015</w:t>
            </w:r>
          </w:p>
        </w:tc>
        <w:tc>
          <w:tcPr>
            <w:tcW w:type="dxa" w:w="1728"/>
          </w:tcPr>
          <w:p>
            <w:r>
              <w:t>25 Feb 2015</w:t>
            </w:r>
          </w:p>
        </w:tc>
        <w:tc>
          <w:tcPr>
            <w:tcW w:type="dxa" w:w="1728"/>
          </w:tcPr>
          <w:p>
            <w:r>
              <w:t>Sch 1 (items 39-41): 25 Mar 2015 (s 2(1) item 2)</w:t>
            </w:r>
          </w:p>
        </w:tc>
        <w:tc>
          <w:tcPr>
            <w:tcW w:type="dxa" w:w="1728"/>
          </w:tcPr>
          <w:p>
            <w:r>
              <w:t>—</w:t>
            </w:r>
          </w:p>
        </w:tc>
      </w:tr>
    </w:tbl>
    <w:p/>
    <w:p>
      <w:pPr/>
      <w:r>
        <w:t>Is extracted by pdfplumber as the following flat string:</w:t>
      </w:r>
    </w:p>
    <w:p>
      <w:pPr/>
      <w:r>
        <w:rPr>
          <w:rFonts w:ascii="Courier New" w:hAnsi="Courier New"/>
          <w:sz w:val="18"/>
        </w:rPr>
        <w:t>"Statute Law Revision 5, 2015 25 Feb Sch 1 (items 39-41): — Act (No. 1) 2015 2015 25 Mar 2015 (s 2(1) item 2)"</w:t>
      </w:r>
    </w:p>
    <w:p/>
    <w:p>
      <w:pPr/>
      <w:r>
        <w:t>The act name "Statute Law Revision Act (No. 1) 2015" is split into two halves separated by three other column values. Neither exact-phrase search nor embedding retrieval can reliably match a clean query against this garbled text. The chatbot correctly reports the information as not found even though it exists in the source PDF.</w:t>
      </w:r>
    </w:p>
    <w:p>
      <w:pPr>
        <w:pStyle w:val="Heading3"/>
        <w:jc w:val="left"/>
      </w:pPr>
      <w:r>
        <w:t>Impact</w:t>
      </w:r>
    </w:p>
    <w:p>
      <w:pPr>
        <w:pStyle w:val="ListBullet"/>
      </w:pPr>
      <w:r>
        <w:t>Any query about a specific act referenced only in the SIS Act legislation history tables may fail to retrieve the correct chunk.</w:t>
      </w:r>
    </w:p>
    <w:p>
      <w:pPr>
        <w:pStyle w:val="ListBullet"/>
      </w:pPr>
      <w:r>
        <w:t>The failure is silent — the citation appears (correct source identified) but the answer is empty.</w:t>
      </w:r>
    </w:p>
    <w:p>
      <w:pPr>
        <w:pStyle w:val="Heading3"/>
        <w:jc w:val="left"/>
      </w:pPr>
      <w:r>
        <w:t>Recommended Fixes (for research team)</w:t>
      </w:r>
    </w:p>
    <w:p>
      <w:pPr>
        <w:pStyle w:val="ListBullet"/>
      </w:pPr>
      <w:r>
        <w:rPr>
          <w:b/>
        </w:rPr>
        <w:t xml:space="preserve">Camelot (stream mode): </w:t>
      </w:r>
      <w:r>
        <w:t>Purpose-built Python library for extracting tables from PDFs without visible borders. Stream mode uses whitespace analysis to detect columns and can reconstruct multi-line cell content correctly.</w:t>
      </w:r>
    </w:p>
    <w:p>
      <w:pPr>
        <w:pStyle w:val="ListBullet"/>
      </w:pPr>
      <w:r>
        <w:rPr>
          <w:b/>
        </w:rPr>
        <w:t xml:space="preserve">PyMuPDF (fitz) block extraction: </w:t>
      </w:r>
      <w:r>
        <w:t>Uses a block-based layout model that groups characters into text blocks by proximity. Multi-line cells in the same column are grouped together rather than read line-by-line.</w:t>
      </w:r>
    </w:p>
    <w:p>
      <w:pPr>
        <w:pStyle w:val="ListBullet"/>
      </w:pPr>
      <w:r>
        <w:rPr>
          <w:b/>
        </w:rPr>
        <w:t xml:space="preserve">pdfplumber bounding-box column extraction: </w:t>
      </w:r>
      <w:r>
        <w:t>extract_text() accepts explicit x-coordinate crop boxes. Pre-defining column boundaries for known table layouts would force column-aware reading instead of line-by-line.</w:t>
      </w:r>
    </w:p>
    <w:p/>
    <w:p>
      <w:pPr>
        <w:pStyle w:val="Heading1"/>
        <w:jc w:val="left"/>
      </w:pPr>
      <w:r>
        <w:t>6. Summary of Pipeline Before vs After</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b/>
              </w:rPr>
              <w:t>Component</w:t>
            </w:r>
          </w:p>
        </w:tc>
        <w:tc>
          <w:tcPr>
            <w:tcW w:type="dxa" w:w="2880"/>
            <w:shd w:val="clear" w:color="auto" w:fill="D9E1F2"/>
          </w:tcPr>
          <w:p>
            <w:r>
              <w:rPr>
                <w:b/>
              </w:rPr>
              <w:t>Before</w:t>
            </w:r>
          </w:p>
        </w:tc>
        <w:tc>
          <w:tcPr>
            <w:tcW w:type="dxa" w:w="2880"/>
            <w:shd w:val="clear" w:color="auto" w:fill="D9E1F2"/>
          </w:tcPr>
          <w:p>
            <w:r>
              <w:rPr>
                <w:b/>
              </w:rPr>
              <w:t>After</w:t>
            </w:r>
          </w:p>
        </w:tc>
      </w:tr>
      <w:tr>
        <w:tc>
          <w:tcPr>
            <w:tcW w:type="dxa" w:w="2880"/>
          </w:tcPr>
          <w:p>
            <w:r>
              <w:t>Vector Store</w:t>
            </w:r>
          </w:p>
        </w:tc>
        <w:tc>
          <w:tcPr>
            <w:tcW w:type="dxa" w:w="2880"/>
          </w:tcPr>
          <w:p>
            <w:r>
              <w:t>Cloudflare Vectorize (cloud)</w:t>
            </w:r>
          </w:p>
        </w:tc>
        <w:tc>
          <w:tcPr>
            <w:tcW w:type="dxa" w:w="2880"/>
          </w:tcPr>
          <w:p>
            <w:r>
              <w:t>ChromaDB (local, persistent)</w:t>
            </w:r>
          </w:p>
        </w:tc>
      </w:tr>
      <w:tr>
        <w:tc>
          <w:tcPr>
            <w:tcW w:type="dxa" w:w="2880"/>
          </w:tcPr>
          <w:p>
            <w:r>
              <w:t>Embedding Model</w:t>
            </w:r>
          </w:p>
        </w:tc>
        <w:tc>
          <w:tcPr>
            <w:tcW w:type="dxa" w:w="2880"/>
          </w:tcPr>
          <w:p>
            <w:r>
              <w:t>Ollama jina (HTTP call per query)</w:t>
            </w:r>
          </w:p>
        </w:tc>
        <w:tc>
          <w:tcPr>
            <w:tcW w:type="dxa" w:w="2880"/>
          </w:tcPr>
          <w:p>
            <w:r>
              <w:t>BAAI/bge-base-en-v1.5 (in-process)</w:t>
            </w:r>
          </w:p>
        </w:tc>
      </w:tr>
      <w:tr>
        <w:tc>
          <w:tcPr>
            <w:tcW w:type="dxa" w:w="2880"/>
          </w:tcPr>
          <w:p>
            <w:r>
              <w:t>Reranker</w:t>
            </w:r>
          </w:p>
        </w:tc>
        <w:tc>
          <w:tcPr>
            <w:tcW w:type="dxa" w:w="2880"/>
          </w:tcPr>
          <w:p>
            <w:r>
              <w:t>qwen3 called once per chunk (~30–40 sequential LLM calls)</w:t>
            </w:r>
          </w:p>
        </w:tc>
        <w:tc>
          <w:tcPr>
            <w:tcW w:type="dxa" w:w="2880"/>
          </w:tcPr>
          <w:p>
            <w:r>
              <w:t>cross-encoder/ms-marco-MiniLM-L6-v2 (single batched CPU call)</w:t>
            </w:r>
          </w:p>
        </w:tc>
      </w:tr>
      <w:tr>
        <w:tc>
          <w:tcPr>
            <w:tcW w:type="dxa" w:w="2880"/>
          </w:tcPr>
          <w:p>
            <w:r>
              <w:t>Generation Model</w:t>
            </w:r>
          </w:p>
        </w:tc>
        <w:tc>
          <w:tcPr>
            <w:tcW w:type="dxa" w:w="2880"/>
          </w:tcPr>
          <w:p>
            <w:r>
              <w:t>gpt-4o (OpenAI API)</w:t>
            </w:r>
          </w:p>
        </w:tc>
        <w:tc>
          <w:tcPr>
            <w:tcW w:type="dxa" w:w="2880"/>
          </w:tcPr>
          <w:p>
            <w:r>
              <w:t>qwen3 (Ollama, local)</w:t>
            </w:r>
          </w:p>
        </w:tc>
      </w:tr>
      <w:tr>
        <w:tc>
          <w:tcPr>
            <w:tcW w:type="dxa" w:w="2880"/>
          </w:tcPr>
          <w:p>
            <w:r>
              <w:t>Query Rewriting</w:t>
            </w:r>
          </w:p>
        </w:tc>
        <w:tc>
          <w:tcPr>
            <w:tcW w:type="dxa" w:w="2880"/>
          </w:tcPr>
          <w:p>
            <w:r>
              <w:t>qwen3 (2 extra LLM calls)</w:t>
            </w:r>
          </w:p>
        </w:tc>
        <w:tc>
          <w:tcPr>
            <w:tcW w:type="dxa" w:w="2880"/>
          </w:tcPr>
          <w:p>
            <w:r>
              <w:t>Removed — BGE + topK=40 provides sufficient coverage</w:t>
            </w:r>
          </w:p>
        </w:tc>
      </w:tr>
      <w:tr>
        <w:tc>
          <w:tcPr>
            <w:tcW w:type="dxa" w:w="2880"/>
          </w:tcPr>
          <w:p>
            <w:r>
              <w:t>Total LLM calls/query</w:t>
            </w:r>
          </w:p>
        </w:tc>
        <w:tc>
          <w:tcPr>
            <w:tcW w:type="dxa" w:w="2880"/>
          </w:tcPr>
          <w:p>
            <w:r>
              <w:t>~33–42</w:t>
            </w:r>
          </w:p>
        </w:tc>
        <w:tc>
          <w:tcPr>
            <w:tcW w:type="dxa" w:w="2880"/>
          </w:tcPr>
          <w:p>
            <w:r>
              <w:t>1 (generation only)</w:t>
            </w:r>
          </w:p>
        </w:tc>
      </w:tr>
      <w:tr>
        <w:tc>
          <w:tcPr>
            <w:tcW w:type="dxa" w:w="2880"/>
          </w:tcPr>
          <w:p>
            <w:r>
              <w:t>Estimated response time</w:t>
            </w:r>
          </w:p>
        </w:tc>
        <w:tc>
          <w:tcPr>
            <w:tcW w:type="dxa" w:w="2880"/>
          </w:tcPr>
          <w:p>
            <w:r>
              <w:t>2+ minutes</w:t>
            </w:r>
          </w:p>
        </w:tc>
        <w:tc>
          <w:tcPr>
            <w:tcW w:type="dxa" w:w="2880"/>
          </w:tcPr>
          <w:p>
            <w:r>
              <w:t>~20–40 seconds</w:t>
            </w:r>
          </w:p>
        </w:tc>
      </w:tr>
      <w:tr>
        <w:tc>
          <w:tcPr>
            <w:tcW w:type="dxa" w:w="2880"/>
          </w:tcPr>
          <w:p>
            <w:r>
              <w:t>External dependencies</w:t>
            </w:r>
          </w:p>
        </w:tc>
        <w:tc>
          <w:tcPr>
            <w:tcW w:type="dxa" w:w="2880"/>
          </w:tcPr>
          <w:p>
            <w:r>
              <w:t>Cloudflare, OpenAI</w:t>
            </w:r>
          </w:p>
        </w:tc>
        <w:tc>
          <w:tcPr>
            <w:tcW w:type="dxa" w:w="2880"/>
          </w:tcPr>
          <w:p>
            <w:r>
              <w:t>None — fully local</w:t>
            </w:r>
          </w:p>
        </w:tc>
      </w:tr>
      <w:tr>
        <w:tc>
          <w:tcPr>
            <w:tcW w:type="dxa" w:w="2880"/>
          </w:tcPr>
          <w:p>
            <w:r>
              <w:t>Result caching</w:t>
            </w:r>
          </w:p>
        </w:tc>
        <w:tc>
          <w:tcPr>
            <w:tcW w:type="dxa" w:w="2880"/>
          </w:tcPr>
          <w:p>
            <w:r>
              <w:t>None</w:t>
            </w:r>
          </w:p>
        </w:tc>
        <w:tc>
          <w:tcPr>
            <w:tcW w:type="dxa" w:w="2880"/>
          </w:tcPr>
          <w:p>
            <w:r>
              <w:t>In-memory dict cache by query string</w:t>
            </w:r>
          </w:p>
        </w:tc>
      </w:tr>
      <w:tr>
        <w:tc>
          <w:tcPr>
            <w:tcW w:type="dxa" w:w="2880"/>
          </w:tcPr>
          <w:p>
            <w:r>
              <w:t>Context window</w:t>
            </w:r>
          </w:p>
        </w:tc>
        <w:tc>
          <w:tcPr>
            <w:tcW w:type="dxa" w:w="2880"/>
          </w:tcPr>
          <w:p>
            <w:r>
              <w:t>4096 tokens (silent truncation)</w:t>
            </w:r>
          </w:p>
        </w:tc>
        <w:tc>
          <w:tcPr>
            <w:tcW w:type="dxa" w:w="2880"/>
          </w:tcPr>
          <w:p>
            <w:r>
              <w:t>8192 tokens</w:t>
            </w:r>
          </w:p>
        </w:tc>
      </w:tr>
    </w:tbl>
    <w:p/>
    <w:p>
      <w:pPr/>
      <w:r>
        <w:t>Document prepared by: Claude Code (Anthropic)  |  Reviewed by: Development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