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Accounts Payable Bank Reconciliation Procedure</w:t>
      </w:r>
    </w:p>
    <w:p>
      <w:r>
        <w:t>Finance Operations standing procedure FO-14, revision 6. This procedure governs the reconciliation of the current account statement for the statement period 1 April 2026 to 30 April 2026 inclusive against the accounts payable ledger. Every rule needed to produce the reconciliation workbook is stated here; nothing is left to the preparer's judgement.</w:t>
      </w:r>
    </w:p>
    <w:p>
      <w:pPr>
        <w:pStyle w:val="Heading1"/>
      </w:pPr>
      <w:r>
        <w:t>1. Inputs and how to read them</w:t>
      </w:r>
    </w:p>
    <w:p>
      <w:r>
        <w:t>bank_statement.csv holds every line the bank posted to the current account in the statement period, one line per transaction, in ascending value-date order. It runs to roughly three thousand lines and is far larger than a single tool response can carry: reading it whole will be truncated part-way through and the tail will be lost silently. Navigate it instead. grep and rg filter by channel or reference, awk -F, projects columns, sort and head slice it, and python3 with the csv module reads it in full without going through the tool boundary. The same applies to any command you build: filter before you print.</w:t>
      </w:r>
    </w:p>
    <w:p>
      <w:r>
        <w:t>ap_ledger.xlsx holds the accounts payable ledger on sheet AP_Ledger, one row per supplier invoice.</w:t>
      </w:r>
    </w:p>
    <w:p>
      <w:r>
        <w:t>sop/Format_Example.xlsx carries the exact sheet names, column names and column order the output workbook must use, with no data rows. Copy that shape.</w:t>
      </w:r>
    </w:p>
    <w:p>
      <w:pPr>
        <w:pStyle w:val="Heading1"/>
      </w:pPr>
      <w:r>
        <w:t>2. Parameters</w:t>
      </w:r>
    </w:p>
    <w:p>
      <w:r>
        <w:t>Every threshold this procedure applies is fixed in the table below.</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Reconciliation window start</w:t>
            </w:r>
          </w:p>
        </w:tc>
        <w:tc>
          <w:tcPr>
            <w:tcW w:type="dxa" w:w="4320"/>
          </w:tcPr>
          <w:p>
            <w:r>
              <w:t>2026-03-23</w:t>
            </w:r>
          </w:p>
        </w:tc>
      </w:tr>
      <w:tr>
        <w:tc>
          <w:tcPr>
            <w:tcW w:type="dxa" w:w="4320"/>
          </w:tcPr>
          <w:p>
            <w:r>
              <w:t>Reconciliation window end</w:t>
            </w:r>
          </w:p>
        </w:tc>
        <w:tc>
          <w:tcPr>
            <w:tcW w:type="dxa" w:w="4320"/>
          </w:tcPr>
          <w:p>
            <w:r>
              <w:t>2026-04-30</w:t>
            </w:r>
          </w:p>
        </w:tc>
      </w:tr>
      <w:tr>
        <w:tc>
          <w:tcPr>
            <w:tcW w:type="dxa" w:w="4320"/>
          </w:tcPr>
          <w:p>
            <w:r>
              <w:t>Statement period start</w:t>
            </w:r>
          </w:p>
        </w:tc>
        <w:tc>
          <w:tcPr>
            <w:tcW w:type="dxa" w:w="4320"/>
          </w:tcPr>
          <w:p>
            <w:r>
              <w:t>2026-04-01</w:t>
            </w:r>
          </w:p>
        </w:tc>
      </w:tr>
      <w:tr>
        <w:tc>
          <w:tcPr>
            <w:tcW w:type="dxa" w:w="4320"/>
          </w:tcPr>
          <w:p>
            <w:r>
              <w:t>Statement period end</w:t>
            </w:r>
          </w:p>
        </w:tc>
        <w:tc>
          <w:tcPr>
            <w:tcW w:type="dxa" w:w="4320"/>
          </w:tcPr>
          <w:p>
            <w:r>
              <w:t>2026-04-30</w:t>
            </w:r>
          </w:p>
        </w:tc>
      </w:tr>
      <w:tr>
        <w:tc>
          <w:tcPr>
            <w:tcW w:type="dxa" w:w="4320"/>
          </w:tcPr>
          <w:p>
            <w:r>
              <w:t>Amount tolerance (GBP)</w:t>
            </w:r>
          </w:p>
        </w:tc>
        <w:tc>
          <w:tcPr>
            <w:tcW w:type="dxa" w:w="4320"/>
          </w:tcPr>
          <w:p>
            <w:r>
              <w:t>0.02</w:t>
            </w:r>
          </w:p>
        </w:tc>
      </w:tr>
      <w:tr>
        <w:tc>
          <w:tcPr>
            <w:tcW w:type="dxa" w:w="4320"/>
          </w:tcPr>
          <w:p>
            <w:r>
              <w:t>Date tolerance (business days)</w:t>
            </w:r>
          </w:p>
        </w:tc>
        <w:tc>
          <w:tcPr>
            <w:tcW w:type="dxa" w:w="4320"/>
          </w:tcPr>
          <w:p>
            <w:r>
              <w:t>3</w:t>
            </w:r>
          </w:p>
        </w:tc>
      </w:tr>
      <w:tr>
        <w:tc>
          <w:tcPr>
            <w:tcW w:type="dxa" w:w="4320"/>
          </w:tcPr>
          <w:p>
            <w:r>
              <w:t>Rounding mode</w:t>
            </w:r>
          </w:p>
        </w:tc>
        <w:tc>
          <w:tcPr>
            <w:tcW w:type="dxa" w:w="4320"/>
          </w:tcPr>
          <w:p>
            <w:r>
              <w:t>ROUND_HALF_UP</w:t>
            </w:r>
          </w:p>
        </w:tc>
      </w:tr>
      <w:tr>
        <w:tc>
          <w:tcPr>
            <w:tcW w:type="dxa" w:w="4320"/>
          </w:tcPr>
          <w:p>
            <w:r>
              <w:t>Monetary decimal places</w:t>
            </w:r>
          </w:p>
        </w:tc>
        <w:tc>
          <w:tcPr>
            <w:tcW w:type="dxa" w:w="4320"/>
          </w:tcPr>
          <w:p>
            <w:r>
              <w:t>2</w:t>
            </w:r>
          </w:p>
        </w:tc>
      </w:tr>
      <w:tr>
        <w:tc>
          <w:tcPr>
            <w:tcW w:type="dxa" w:w="4320"/>
          </w:tcPr>
          <w:p>
            <w:r>
              <w:t>Undefined sentinel</w:t>
            </w:r>
          </w:p>
        </w:tc>
        <w:tc>
          <w:tcPr>
            <w:tcW w:type="dxa" w:w="4320"/>
          </w:tcPr>
          <w:p>
            <w:r>
              <w:t>N/A</w:t>
            </w:r>
          </w:p>
        </w:tc>
      </w:tr>
      <w:tr>
        <w:tc>
          <w:tcPr>
            <w:tcW w:type="dxa" w:w="4320"/>
          </w:tcPr>
          <w:p>
            <w:r>
              <w:t>Output workbook</w:t>
            </w:r>
          </w:p>
        </w:tc>
        <w:tc>
          <w:tcPr>
            <w:tcW w:type="dxa" w:w="4320"/>
          </w:tcPr>
          <w:p>
            <w:r>
              <w:t>reconciliation.xlsx</w:t>
            </w:r>
          </w:p>
        </w:tc>
      </w:tr>
    </w:tbl>
    <w:p>
      <w:pPr>
        <w:pStyle w:val="Heading1"/>
      </w:pPr>
      <w:r>
        <w:t>3. Which records the reconciliation covers</w:t>
      </w:r>
    </w:p>
    <w:p>
      <w:r>
        <w:t>3.1 A statement line is an accounts payable settlement candidate when, and only when, its Channel value is marked in scope in the channel table below. Channel is the only test: no other field on the line, and no property of the counterparty, brings a line into scope or takes it out. Lines on an out-of-scope channel are not accounts payable. They are neither matched nor reported, and they appear on no sheet of the output workbook.</w:t>
      </w:r>
    </w:p>
    <w:tbl>
      <w:tblPr>
        <w:tblStyle w:val="TableGrid"/>
        <w:tblW w:type="auto" w:w="0"/>
        <w:tblLook w:firstColumn="1" w:firstRow="1" w:lastColumn="0" w:lastRow="0" w:noHBand="0" w:noVBand="1" w:val="04A0"/>
      </w:tblPr>
      <w:tblGrid>
        <w:gridCol w:w="4320"/>
        <w:gridCol w:w="4320"/>
      </w:tblGrid>
      <w:tr>
        <w:tc>
          <w:tcPr>
            <w:tcW w:type="dxa" w:w="4320"/>
          </w:tcPr>
          <w:p>
            <w:r>
              <w:t>Channel</w:t>
            </w:r>
          </w:p>
        </w:tc>
        <w:tc>
          <w:tcPr>
            <w:tcW w:type="dxa" w:w="4320"/>
          </w:tcPr>
          <w:p>
            <w:r>
              <w:t>Treatment</w:t>
            </w:r>
          </w:p>
        </w:tc>
      </w:tr>
      <w:tr>
        <w:tc>
          <w:tcPr>
            <w:tcW w:type="dxa" w:w="4320"/>
          </w:tcPr>
          <w:p>
            <w:r>
              <w:t>SUPPLIER-BACS</w:t>
            </w:r>
          </w:p>
        </w:tc>
        <w:tc>
          <w:tcPr>
            <w:tcW w:type="dxa" w:w="4320"/>
          </w:tcPr>
          <w:p>
            <w:r>
              <w:t>In scope</w:t>
            </w:r>
          </w:p>
        </w:tc>
      </w:tr>
      <w:tr>
        <w:tc>
          <w:tcPr>
            <w:tcW w:type="dxa" w:w="4320"/>
          </w:tcPr>
          <w:p>
            <w:r>
              <w:t>SUPPLIER-CHAPS</w:t>
            </w:r>
          </w:p>
        </w:tc>
        <w:tc>
          <w:tcPr>
            <w:tcW w:type="dxa" w:w="4320"/>
          </w:tcPr>
          <w:p>
            <w:r>
              <w:t>In scope</w:t>
            </w:r>
          </w:p>
        </w:tc>
      </w:tr>
      <w:tr>
        <w:tc>
          <w:tcPr>
            <w:tcW w:type="dxa" w:w="4320"/>
          </w:tcPr>
          <w:p>
            <w:r>
              <w:t>SUPPLIER-FPS</w:t>
            </w:r>
          </w:p>
        </w:tc>
        <w:tc>
          <w:tcPr>
            <w:tcW w:type="dxa" w:w="4320"/>
          </w:tcPr>
          <w:p>
            <w:r>
              <w:t>In scope</w:t>
            </w:r>
          </w:p>
        </w:tc>
      </w:tr>
      <w:tr>
        <w:tc>
          <w:tcPr>
            <w:tcW w:type="dxa" w:w="4320"/>
          </w:tcPr>
          <w:p>
            <w:r>
              <w:t>PAYROLL</w:t>
            </w:r>
          </w:p>
        </w:tc>
        <w:tc>
          <w:tcPr>
            <w:tcW w:type="dxa" w:w="4320"/>
          </w:tcPr>
          <w:p>
            <w:r>
              <w:t>Out of scope</w:t>
            </w:r>
          </w:p>
        </w:tc>
      </w:tr>
      <w:tr>
        <w:tc>
          <w:tcPr>
            <w:tcW w:type="dxa" w:w="4320"/>
          </w:tcPr>
          <w:p>
            <w:r>
              <w:t>BANK-CHG</w:t>
            </w:r>
          </w:p>
        </w:tc>
        <w:tc>
          <w:tcPr>
            <w:tcW w:type="dxa" w:w="4320"/>
          </w:tcPr>
          <w:p>
            <w:r>
              <w:t>Out of scope</w:t>
            </w:r>
          </w:p>
        </w:tc>
      </w:tr>
      <w:tr>
        <w:tc>
          <w:tcPr>
            <w:tcW w:type="dxa" w:w="4320"/>
          </w:tcPr>
          <w:p>
            <w:r>
              <w:t>INTEREST</w:t>
            </w:r>
          </w:p>
        </w:tc>
        <w:tc>
          <w:tcPr>
            <w:tcW w:type="dxa" w:w="4320"/>
          </w:tcPr>
          <w:p>
            <w:r>
              <w:t>Out of scope</w:t>
            </w:r>
          </w:p>
        </w:tc>
      </w:tr>
      <w:tr>
        <w:tc>
          <w:tcPr>
            <w:tcW w:type="dxa" w:w="4320"/>
          </w:tcPr>
          <w:p>
            <w:r>
              <w:t>INTERNAL-XFER</w:t>
            </w:r>
          </w:p>
        </w:tc>
        <w:tc>
          <w:tcPr>
            <w:tcW w:type="dxa" w:w="4320"/>
          </w:tcPr>
          <w:p>
            <w:r>
              <w:t>Out of scope</w:t>
            </w:r>
          </w:p>
        </w:tc>
      </w:tr>
      <w:tr>
        <w:tc>
          <w:tcPr>
            <w:tcW w:type="dxa" w:w="4320"/>
          </w:tcPr>
          <w:p>
            <w:r>
              <w:t>CARD-STL</w:t>
            </w:r>
          </w:p>
        </w:tc>
        <w:tc>
          <w:tcPr>
            <w:tcW w:type="dxa" w:w="4320"/>
          </w:tcPr>
          <w:p>
            <w:r>
              <w:t>Out of scope</w:t>
            </w:r>
          </w:p>
        </w:tc>
      </w:tr>
      <w:tr>
        <w:tc>
          <w:tcPr>
            <w:tcW w:type="dxa" w:w="4320"/>
          </w:tcPr>
          <w:p>
            <w:r>
              <w:t>DD-UTIL</w:t>
            </w:r>
          </w:p>
        </w:tc>
        <w:tc>
          <w:tcPr>
            <w:tcW w:type="dxa" w:w="4320"/>
          </w:tcPr>
          <w:p>
            <w:r>
              <w:t>Out of scope</w:t>
            </w:r>
          </w:p>
        </w:tc>
      </w:tr>
    </w:tbl>
    <w:p>
      <w:r>
        <w:t>3.2 A ledger entry is in scope when its Status is marked in scope in the status table below and its Due_Date falls on or between the reconciliation window start and the reconciliation window end, both bounds inclusive. An entry that fails either test is out of scope: it can never be matched, and it is never reported as unmatched. Note that the window opens before the statement period, because a payment early in April settles an invoice that fell due in late March.</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Treatment</w:t>
            </w:r>
          </w:p>
        </w:tc>
      </w:tr>
      <w:tr>
        <w:tc>
          <w:tcPr>
            <w:tcW w:type="dxa" w:w="4320"/>
          </w:tcPr>
          <w:p>
            <w:r>
              <w:t>OPEN</w:t>
            </w:r>
          </w:p>
        </w:tc>
        <w:tc>
          <w:tcPr>
            <w:tcW w:type="dxa" w:w="4320"/>
          </w:tcPr>
          <w:p>
            <w:r>
              <w:t>In scope</w:t>
            </w:r>
          </w:p>
        </w:tc>
      </w:tr>
      <w:tr>
        <w:tc>
          <w:tcPr>
            <w:tcW w:type="dxa" w:w="4320"/>
          </w:tcPr>
          <w:p>
            <w:r>
              <w:t>PAID</w:t>
            </w:r>
          </w:p>
        </w:tc>
        <w:tc>
          <w:tcPr>
            <w:tcW w:type="dxa" w:w="4320"/>
          </w:tcPr>
          <w:p>
            <w:r>
              <w:t>In scope</w:t>
            </w:r>
          </w:p>
        </w:tc>
      </w:tr>
      <w:tr>
        <w:tc>
          <w:tcPr>
            <w:tcW w:type="dxa" w:w="4320"/>
          </w:tcPr>
          <w:p>
            <w:r>
              <w:t>CANCELLED</w:t>
            </w:r>
          </w:p>
        </w:tc>
        <w:tc>
          <w:tcPr>
            <w:tcW w:type="dxa" w:w="4320"/>
          </w:tcPr>
          <w:p>
            <w:r>
              <w:t>Out of scope</w:t>
            </w:r>
          </w:p>
        </w:tc>
      </w:tr>
      <w:tr>
        <w:tc>
          <w:tcPr>
            <w:tcW w:type="dxa" w:w="4320"/>
          </w:tcPr>
          <w:p>
            <w:r>
              <w:t>ON_HOLD</w:t>
            </w:r>
          </w:p>
        </w:tc>
        <w:tc>
          <w:tcPr>
            <w:tcW w:type="dxa" w:w="4320"/>
          </w:tcPr>
          <w:p>
            <w:r>
              <w:t>Out of scope</w:t>
            </w:r>
          </w:p>
        </w:tc>
      </w:tr>
    </w:tbl>
    <w:p>
      <w:pPr>
        <w:pStyle w:val="Heading1"/>
      </w:pPr>
      <w:r>
        <w:t>4. Canonical forms</w:t>
      </w:r>
    </w:p>
    <w:p>
      <w:r>
        <w:t>4.1 Dates. The canonical date form is ISO 8601, YYYY-MM-DD, and every date written to the output workbook is in that form. The ledger already records dates that way. The statement records Value_Date as DD/MM/YYYY, day first: 04/03/2026 on the statement is 4 March 2026, not 3 April 2026. Convert before comparing.</w:t>
      </w:r>
    </w:p>
    <w:p>
      <w:r>
        <w:t>4.2 Amounts. Statement amounts are signed from the account's point of view: a negative amount is money leaving the account, a positive amount is money arriving. Ledger Amount_Due is always positive. Compare a ledger amount against the absolute value of the statement amount. A positive statement line on an in-scope channel is a reversal or a refund and is never a settlement in its own right; see 6.3. Most statement amounts carry two decimal places, but lines settled through the foreign exchange desk carry three.</w:t>
      </w:r>
    </w:p>
    <w:p>
      <w:r>
        <w:t>4.3 Rounding. Round every monetary value to two decimal places using ROUND_HALF_UP, which sends a half up in magnitude: 0.005 becomes 0.01 and never 0.00, and 1204.125 becomes 1204.13 and never 1204.12. Round first, then apply the amount tolerance in 5.2, and write the rounded figure to the workbook.</w:t>
      </w:r>
    </w:p>
    <w:p>
      <w:r>
        <w:t>4.4 References. Reference matching is mechanical, not approximate. Take the statement line's Reference field and split it on the plus sign and the comma into one or more reference tokens; a field with no non-empty token, such as an empty Reference, yields no tokens at all. Normalise each token, and each ledger Invoice_Ref, by: (a) deleting every character that is neither a letter nor a digit, which removes hyphens, spaces and punctuation; (b) converting letters to upper case; and (c) deleting leading zeros from each run of digits. Two references match when, and only when, their normalised forms are identical string for string. No other similarity counts.</w:t>
      </w:r>
    </w:p>
    <w:tbl>
      <w:tblPr>
        <w:tblStyle w:val="TableGrid"/>
        <w:tblW w:type="auto" w:w="0"/>
        <w:tblLook w:firstColumn="1" w:firstRow="1" w:lastColumn="0" w:lastRow="0" w:noHBand="0" w:noVBand="1" w:val="04A0"/>
      </w:tblPr>
      <w:tblGrid>
        <w:gridCol w:w="4320"/>
        <w:gridCol w:w="4320"/>
      </w:tblGrid>
      <w:tr>
        <w:tc>
          <w:tcPr>
            <w:tcW w:type="dxa" w:w="4320"/>
          </w:tcPr>
          <w:p>
            <w:r>
              <w:t>As written</w:t>
            </w:r>
          </w:p>
        </w:tc>
        <w:tc>
          <w:tcPr>
            <w:tcW w:type="dxa" w:w="4320"/>
          </w:tcPr>
          <w:p>
            <w:r>
              <w:t>Normalised</w:t>
            </w:r>
          </w:p>
        </w:tc>
      </w:tr>
      <w:tr>
        <w:tc>
          <w:tcPr>
            <w:tcW w:type="dxa" w:w="4320"/>
          </w:tcPr>
          <w:p>
            <w:r>
              <w:t>INV-1042</w:t>
            </w:r>
          </w:p>
        </w:tc>
        <w:tc>
          <w:tcPr>
            <w:tcW w:type="dxa" w:w="4320"/>
          </w:tcPr>
          <w:p>
            <w:r>
              <w:t>INV1042</w:t>
            </w:r>
          </w:p>
        </w:tc>
      </w:tr>
      <w:tr>
        <w:tc>
          <w:tcPr>
            <w:tcW w:type="dxa" w:w="4320"/>
          </w:tcPr>
          <w:p>
            <w:r>
              <w:t>inv 1042</w:t>
            </w:r>
          </w:p>
        </w:tc>
        <w:tc>
          <w:tcPr>
            <w:tcW w:type="dxa" w:w="4320"/>
          </w:tcPr>
          <w:p>
            <w:r>
              <w:t>INV1042</w:t>
            </w:r>
          </w:p>
        </w:tc>
      </w:tr>
      <w:tr>
        <w:tc>
          <w:tcPr>
            <w:tcW w:type="dxa" w:w="4320"/>
          </w:tcPr>
          <w:p>
            <w:r>
              <w:t>INV-001042</w:t>
            </w:r>
          </w:p>
        </w:tc>
        <w:tc>
          <w:tcPr>
            <w:tcW w:type="dxa" w:w="4320"/>
          </w:tcPr>
          <w:p>
            <w:r>
              <w:t>INV1042</w:t>
            </w:r>
          </w:p>
        </w:tc>
      </w:tr>
      <w:tr>
        <w:tc>
          <w:tcPr>
            <w:tcW w:type="dxa" w:w="4320"/>
          </w:tcPr>
          <w:p>
            <w:r>
              <w:t>INV0000712</w:t>
            </w:r>
          </w:p>
        </w:tc>
        <w:tc>
          <w:tcPr>
            <w:tcW w:type="dxa" w:w="4320"/>
          </w:tcPr>
          <w:p>
            <w:r>
              <w:t>INV712</w:t>
            </w:r>
          </w:p>
        </w:tc>
      </w:tr>
      <w:tr>
        <w:tc>
          <w:tcPr>
            <w:tcW w:type="dxa" w:w="4320"/>
          </w:tcPr>
          <w:p>
            <w:r>
              <w:t>INV-2401+INV-2402</w:t>
            </w:r>
          </w:p>
        </w:tc>
        <w:tc>
          <w:tcPr>
            <w:tcW w:type="dxa" w:w="4320"/>
          </w:tcPr>
          <w:p>
            <w:r>
              <w:t>INV2401 and INV2402 (two tokens)</w:t>
            </w:r>
          </w:p>
        </w:tc>
      </w:tr>
    </w:tbl>
    <w:p>
      <w:pPr>
        <w:pStyle w:val="Heading1"/>
      </w:pPr>
      <w:r>
        <w:t>5. Matching</w:t>
      </w:r>
    </w:p>
    <w:p>
      <w:r>
        <w:t>5.1 Reference correspondence. An in-scope statement line corresponds to a set of ledger entries when each of its reference tokens normalises to the Invoice_Ref of exactly one in-scope ledger entry, and distinct tokens resolve to distinct entries. A line carrying three tokens therefore settles three invoices as one payment run. All entries settled by one statement line must share a Vendor; where they do not, the line does not correspond to them.</w:t>
      </w:r>
    </w:p>
    <w:p>
      <w:r>
        <w:t>5.2 Amount test. The line and its entry set pass the amount test when the absolute difference between the rounded absolute statement amount and the rounded sum of the entries' Amount_Due is less than or equal to the amount tolerance. A difference of exactly 0.02 passes; 0.03 does not.</w:t>
      </w:r>
    </w:p>
    <w:p>
      <w:r>
        <w:t>5.3 Date test. The line and its entry set pass the date test when, for every entry in the set, the business-day distance between that entry's Due_Date and the line's Value_Date is less than or equal to the date tolerance, in either direction. A distance of exactly 3 passes; 4 does not. Business-day distance is the count of business days falling strictly after the earlier of the two dates, up to and including the later of the two dates; two equal dates are distance 0. A business day is Monday to Friday, excluding the bank holidays listed below. Calendar days and plain weekday counts both give the wrong distance and must not be used.</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Holiday</w:t>
            </w:r>
          </w:p>
        </w:tc>
      </w:tr>
      <w:tr>
        <w:tc>
          <w:tcPr>
            <w:tcW w:type="dxa" w:w="4320"/>
          </w:tcPr>
          <w:p>
            <w:r>
              <w:t>2026-04-03</w:t>
            </w:r>
          </w:p>
        </w:tc>
        <w:tc>
          <w:tcPr>
            <w:tcW w:type="dxa" w:w="4320"/>
          </w:tcPr>
          <w:p>
            <w:r>
              <w:t>Good Friday</w:t>
            </w:r>
          </w:p>
        </w:tc>
      </w:tr>
      <w:tr>
        <w:tc>
          <w:tcPr>
            <w:tcW w:type="dxa" w:w="4320"/>
          </w:tcPr>
          <w:p>
            <w:r>
              <w:t>2026-04-06</w:t>
            </w:r>
          </w:p>
        </w:tc>
        <w:tc>
          <w:tcPr>
            <w:tcW w:type="dxa" w:w="4320"/>
          </w:tcPr>
          <w:p>
            <w:r>
              <w:t>Easter Monday</w:t>
            </w:r>
          </w:p>
        </w:tc>
      </w:tr>
    </w:tbl>
    <w:p>
      <w:r>
        <w:t>5.4 One settlement per entry. A ledger entry is settled at most once. Where two or more statement lines each correspond to a set containing the same entry and each passes 5.2 and 5.3, the settlement is the line with the earliest Value_Date, ties broken by ascending Txn_ID. Every other such line is a duplicate payment: it is reported on UnmatchedBank with reason DUPLICATE_PAYMENT, and the entry is still treated as settled by the first line.</w:t>
      </w:r>
    </w:p>
    <w:p>
      <w:r>
        <w:t>5.5 Ambiguity. Where a reference token normalises to the Invoice_Ref of two or more in-scope ledger entries, the line is ambiguous and no entry is chosen for it. Do not break the tie on vendor, amount, date or ledger order. The line is reported on UnmatchedBank with reason AMBIGUOUS_MATCH and with every tied entry's Ledger_ID listed in Candidate_Ledger_IDs, ascending, joined by a semicolon and a space. Each tied entry is reported on UnmatchedLedger with reason AMBIGUOUS_MATCH.</w:t>
      </w:r>
    </w:p>
    <w:p>
      <w:pPr>
        <w:pStyle w:val="Heading1"/>
      </w:pPr>
      <w:r>
        <w:t>6. Disposing of statement lines that do not settle</w:t>
      </w:r>
    </w:p>
    <w:p>
      <w:r>
        <w:t>6.1 Every in-scope statement line that is not a settlement under section 5 is reported on UnmatchedBank with exactly one reason. Where more than one reason could apply, take the first that applies in the order below.</w:t>
      </w:r>
    </w:p>
    <w:tbl>
      <w:tblPr>
        <w:tblStyle w:val="TableGrid"/>
        <w:tblW w:type="auto" w:w="0"/>
        <w:tblLook w:firstColumn="1" w:firstRow="1" w:lastColumn="0" w:lastRow="0" w:noHBand="0" w:noVBand="1" w:val="04A0"/>
      </w:tblPr>
      <w:tblGrid>
        <w:gridCol w:w="2880"/>
        <w:gridCol w:w="2880"/>
        <w:gridCol w:w="2880"/>
      </w:tblGrid>
      <w:tr>
        <w:tc>
          <w:tcPr>
            <w:tcW w:type="dxa" w:w="2880"/>
          </w:tcPr>
          <w:p>
            <w:r>
              <w:t>Order</w:t>
            </w:r>
          </w:p>
        </w:tc>
        <w:tc>
          <w:tcPr>
            <w:tcW w:type="dxa" w:w="2880"/>
          </w:tcPr>
          <w:p>
            <w:r>
              <w:t>Reason</w:t>
            </w:r>
          </w:p>
        </w:tc>
        <w:tc>
          <w:tcPr>
            <w:tcW w:type="dxa" w:w="2880"/>
          </w:tcPr>
          <w:p>
            <w:r>
              <w:t>Applies when</w:t>
            </w:r>
          </w:p>
        </w:tc>
      </w:tr>
      <w:tr>
        <w:tc>
          <w:tcPr>
            <w:tcW w:type="dxa" w:w="2880"/>
          </w:tcPr>
          <w:p>
            <w:r>
              <w:t>1</w:t>
            </w:r>
          </w:p>
        </w:tc>
        <w:tc>
          <w:tcPr>
            <w:tcW w:type="dxa" w:w="2880"/>
          </w:tcPr>
          <w:p>
            <w:r>
              <w:t>REVERSED</w:t>
            </w:r>
          </w:p>
        </w:tc>
        <w:tc>
          <w:tcPr>
            <w:tcW w:type="dxa" w:w="2880"/>
          </w:tcPr>
          <w:p>
            <w:r>
              <w:t>the line is one of a reversal pair as defined in 6.3</w:t>
            </w:r>
          </w:p>
        </w:tc>
      </w:tr>
      <w:tr>
        <w:tc>
          <w:tcPr>
            <w:tcW w:type="dxa" w:w="2880"/>
          </w:tcPr>
          <w:p>
            <w:r>
              <w:t>2</w:t>
            </w:r>
          </w:p>
        </w:tc>
        <w:tc>
          <w:tcPr>
            <w:tcW w:type="dxa" w:w="2880"/>
          </w:tcPr>
          <w:p>
            <w:r>
              <w:t>VENDOR_NOT_ON_LEDGER</w:t>
            </w:r>
          </w:p>
        </w:tc>
        <w:tc>
          <w:tcPr>
            <w:tcW w:type="dxa" w:w="2880"/>
          </w:tcPr>
          <w:p>
            <w:r>
              <w:t>the line's Counterparty appears in the Vendor column of no ledger entry at all, in scope or out</w:t>
            </w:r>
          </w:p>
        </w:tc>
      </w:tr>
      <w:tr>
        <w:tc>
          <w:tcPr>
            <w:tcW w:type="dxa" w:w="2880"/>
          </w:tcPr>
          <w:p>
            <w:r>
              <w:t>3</w:t>
            </w:r>
          </w:p>
        </w:tc>
        <w:tc>
          <w:tcPr>
            <w:tcW w:type="dxa" w:w="2880"/>
          </w:tcPr>
          <w:p>
            <w:r>
              <w:t>NO_REFERENCE_MATCH</w:t>
            </w:r>
          </w:p>
        </w:tc>
        <w:tc>
          <w:tcPr>
            <w:tcW w:type="dxa" w:w="2880"/>
          </w:tcPr>
          <w:p>
            <w:r>
              <w:t>the line yields no reference tokens, or the line does not correspond to a set of in-scope ledger entries under 5.1 for any reason other than a tie under 5.5</w:t>
            </w:r>
          </w:p>
        </w:tc>
      </w:tr>
      <w:tr>
        <w:tc>
          <w:tcPr>
            <w:tcW w:type="dxa" w:w="2880"/>
          </w:tcPr>
          <w:p>
            <w:r>
              <w:t>4</w:t>
            </w:r>
          </w:p>
        </w:tc>
        <w:tc>
          <w:tcPr>
            <w:tcW w:type="dxa" w:w="2880"/>
          </w:tcPr>
          <w:p>
            <w:r>
              <w:t>AMBIGUOUS_MATCH</w:t>
            </w:r>
          </w:p>
        </w:tc>
        <w:tc>
          <w:tcPr>
            <w:tcW w:type="dxa" w:w="2880"/>
          </w:tcPr>
          <w:p>
            <w:r>
              <w:t>a token is tied across two or more in-scope entries, per 5.5</w:t>
            </w:r>
          </w:p>
        </w:tc>
      </w:tr>
      <w:tr>
        <w:tc>
          <w:tcPr>
            <w:tcW w:type="dxa" w:w="2880"/>
          </w:tcPr>
          <w:p>
            <w:r>
              <w:t>5</w:t>
            </w:r>
          </w:p>
        </w:tc>
        <w:tc>
          <w:tcPr>
            <w:tcW w:type="dxa" w:w="2880"/>
          </w:tcPr>
          <w:p>
            <w:r>
              <w:t>AMOUNT_OUT_OF_TOLERANCE</w:t>
            </w:r>
          </w:p>
        </w:tc>
        <w:tc>
          <w:tcPr>
            <w:tcW w:type="dxa" w:w="2880"/>
          </w:tcPr>
          <w:p>
            <w:r>
              <w:t>the entry set is determined but fails the amount test</w:t>
            </w:r>
          </w:p>
        </w:tc>
      </w:tr>
      <w:tr>
        <w:tc>
          <w:tcPr>
            <w:tcW w:type="dxa" w:w="2880"/>
          </w:tcPr>
          <w:p>
            <w:r>
              <w:t>6</w:t>
            </w:r>
          </w:p>
        </w:tc>
        <w:tc>
          <w:tcPr>
            <w:tcW w:type="dxa" w:w="2880"/>
          </w:tcPr>
          <w:p>
            <w:r>
              <w:t>DATE_OUT_OF_TOLERANCE</w:t>
            </w:r>
          </w:p>
        </w:tc>
        <w:tc>
          <w:tcPr>
            <w:tcW w:type="dxa" w:w="2880"/>
          </w:tcPr>
          <w:p>
            <w:r>
              <w:t>the entry set is determined and passes the amount test but fails the date test</w:t>
            </w:r>
          </w:p>
        </w:tc>
      </w:tr>
      <w:tr>
        <w:tc>
          <w:tcPr>
            <w:tcW w:type="dxa" w:w="2880"/>
          </w:tcPr>
          <w:p>
            <w:r>
              <w:t>7</w:t>
            </w:r>
          </w:p>
        </w:tc>
        <w:tc>
          <w:tcPr>
            <w:tcW w:type="dxa" w:w="2880"/>
          </w:tcPr>
          <w:p>
            <w:r>
              <w:t>DUPLICATE_PAYMENT</w:t>
            </w:r>
          </w:p>
        </w:tc>
        <w:tc>
          <w:tcPr>
            <w:tcW w:type="dxa" w:w="2880"/>
          </w:tcPr>
          <w:p>
            <w:r>
              <w:t>the line would settle an entry already settled, per 5.4</w:t>
            </w:r>
          </w:p>
        </w:tc>
      </w:tr>
    </w:tbl>
    <w:p>
      <w:r>
        <w:t>6.2 Counterparty and Vendor are compared after trimming and collapsing runs of whitespace to a single space, ignoring letter case. No other name similarity counts.</w:t>
      </w:r>
    </w:p>
    <w:p>
      <w:r>
        <w:t>6.3 Reversals. Two in-scope statement lines form a reversal pair when they carry the same normalised token set and the same rounded absolute amount, and one is negative while the other is positive. The pair nets to zero and settles nothing. Both lines are reported on UnmatchedBank with reason REVERSED, the positive one included, and every in-scope ledger entry their tokens name is reported on UnmatchedLedger with reason PAYMENT_REVERSED. A positive in-scope line that is not part of a reversal pair is disposed of by the same order as a payment, using its absolute amount.</w:t>
      </w:r>
    </w:p>
    <w:p>
      <w:pPr>
        <w:pStyle w:val="Heading1"/>
      </w:pPr>
      <w:r>
        <w:t>7. Disposing of ledger entries that are not settled</w:t>
      </w:r>
    </w:p>
    <w:p>
      <w:r>
        <w:t>Every in-scope ledger entry that section 5 does not settle is reported on UnmatchedLedger with exactly one reason, the first that applies in the order below.</w:t>
      </w:r>
    </w:p>
    <w:tbl>
      <w:tblPr>
        <w:tblStyle w:val="TableGrid"/>
        <w:tblW w:type="auto" w:w="0"/>
        <w:tblLook w:firstColumn="1" w:firstRow="1" w:lastColumn="0" w:lastRow="0" w:noHBand="0" w:noVBand="1" w:val="04A0"/>
      </w:tblPr>
      <w:tblGrid>
        <w:gridCol w:w="2880"/>
        <w:gridCol w:w="2880"/>
        <w:gridCol w:w="2880"/>
      </w:tblGrid>
      <w:tr>
        <w:tc>
          <w:tcPr>
            <w:tcW w:type="dxa" w:w="2880"/>
          </w:tcPr>
          <w:p>
            <w:r>
              <w:t>Order</w:t>
            </w:r>
          </w:p>
        </w:tc>
        <w:tc>
          <w:tcPr>
            <w:tcW w:type="dxa" w:w="2880"/>
          </w:tcPr>
          <w:p>
            <w:r>
              <w:t>Reason</w:t>
            </w:r>
          </w:p>
        </w:tc>
        <w:tc>
          <w:tcPr>
            <w:tcW w:type="dxa" w:w="2880"/>
          </w:tcPr>
          <w:p>
            <w:r>
              <w:t>Applies when</w:t>
            </w:r>
          </w:p>
        </w:tc>
      </w:tr>
      <w:tr>
        <w:tc>
          <w:tcPr>
            <w:tcW w:type="dxa" w:w="2880"/>
          </w:tcPr>
          <w:p>
            <w:r>
              <w:t>1</w:t>
            </w:r>
          </w:p>
        </w:tc>
        <w:tc>
          <w:tcPr>
            <w:tcW w:type="dxa" w:w="2880"/>
          </w:tcPr>
          <w:p>
            <w:r>
              <w:t>AMBIGUOUS_MATCH</w:t>
            </w:r>
          </w:p>
        </w:tc>
        <w:tc>
          <w:tcPr>
            <w:tcW w:type="dxa" w:w="2880"/>
          </w:tcPr>
          <w:p>
            <w:r>
              <w:t>the entry is one of the tied candidates of an ambiguous line</w:t>
            </w:r>
          </w:p>
        </w:tc>
      </w:tr>
      <w:tr>
        <w:tc>
          <w:tcPr>
            <w:tcW w:type="dxa" w:w="2880"/>
          </w:tcPr>
          <w:p>
            <w:r>
              <w:t>2</w:t>
            </w:r>
          </w:p>
        </w:tc>
        <w:tc>
          <w:tcPr>
            <w:tcW w:type="dxa" w:w="2880"/>
          </w:tcPr>
          <w:p>
            <w:r>
              <w:t>PAYMENT_REVERSED</w:t>
            </w:r>
          </w:p>
        </w:tc>
        <w:tc>
          <w:tcPr>
            <w:tcW w:type="dxa" w:w="2880"/>
          </w:tcPr>
          <w:p>
            <w:r>
              <w:t>the entry is named by the tokens of a reversal pair</w:t>
            </w:r>
          </w:p>
        </w:tc>
      </w:tr>
      <w:tr>
        <w:tc>
          <w:tcPr>
            <w:tcW w:type="dxa" w:w="2880"/>
          </w:tcPr>
          <w:p>
            <w:r>
              <w:t>3</w:t>
            </w:r>
          </w:p>
        </w:tc>
        <w:tc>
          <w:tcPr>
            <w:tcW w:type="dxa" w:w="2880"/>
          </w:tcPr>
          <w:p>
            <w:r>
              <w:t>AMOUNT_OUT_OF_TOLERANCE</w:t>
            </w:r>
          </w:p>
        </w:tc>
        <w:tc>
          <w:tcPr>
            <w:tcW w:type="dxa" w:w="2880"/>
          </w:tcPr>
          <w:p>
            <w:r>
              <w:t>a line corresponds to the entry's set but fails the amount test</w:t>
            </w:r>
          </w:p>
        </w:tc>
      </w:tr>
      <w:tr>
        <w:tc>
          <w:tcPr>
            <w:tcW w:type="dxa" w:w="2880"/>
          </w:tcPr>
          <w:p>
            <w:r>
              <w:t>4</w:t>
            </w:r>
          </w:p>
        </w:tc>
        <w:tc>
          <w:tcPr>
            <w:tcW w:type="dxa" w:w="2880"/>
          </w:tcPr>
          <w:p>
            <w:r>
              <w:t>DATE_OUT_OF_TOLERANCE</w:t>
            </w:r>
          </w:p>
        </w:tc>
        <w:tc>
          <w:tcPr>
            <w:tcW w:type="dxa" w:w="2880"/>
          </w:tcPr>
          <w:p>
            <w:r>
              <w:t>a line corresponds to the entry's set, passes the amount test and fails the date test</w:t>
            </w:r>
          </w:p>
        </w:tc>
      </w:tr>
      <w:tr>
        <w:tc>
          <w:tcPr>
            <w:tcW w:type="dxa" w:w="2880"/>
          </w:tcPr>
          <w:p>
            <w:r>
              <w:t>5</w:t>
            </w:r>
          </w:p>
        </w:tc>
        <w:tc>
          <w:tcPr>
            <w:tcW w:type="dxa" w:w="2880"/>
          </w:tcPr>
          <w:p>
            <w:r>
              <w:t>NO_BANK_LINE</w:t>
            </w:r>
          </w:p>
        </w:tc>
        <w:tc>
          <w:tcPr>
            <w:tcW w:type="dxa" w:w="2880"/>
          </w:tcPr>
          <w:p>
            <w:r>
              <w:t>no in-scope statement line corresponds to the entry</w:t>
            </w:r>
          </w:p>
        </w:tc>
      </w:tr>
    </w:tbl>
    <w:p>
      <w:pPr>
        <w:pStyle w:val="Heading1"/>
      </w:pPr>
      <w:r>
        <w:t>8. The output workbook</w:t>
      </w:r>
    </w:p>
    <w:p>
      <w:r>
        <w:t>8.1 Produce reconciliation.xlsx in the workspace root with exactly three sheets named Matched, UnmatchedBank and UnmatchedLedger, in that order, with the column names and column order given in sop/Format_Example.xlsx and repeated below. Sort Matched and UnmatchedBank by Txn_ID ascending and UnmatchedLedger by Ledger_ID ascending.</w:t>
      </w:r>
    </w:p>
    <w:p>
      <w:r>
        <w:t>8.2 Matched carries one row per settling statement line: Txn_ID; Value_Date, the line's value date in canonical form; Ledger_IDs, every settled entry's Ledger_ID ascending, joined by a semicolon and a space; Vendor, the shared vendor of those entries; Bank_Amount, the rounded absolute statement amount; Ledger_Amount, the rounded sum of the settled Amount_Due; Amount_Difference, Bank_Amount minus Ledger_Amount, signed and rounded; Date_Gap_Days, the largest business-day distance across the settled entries; and Match_Type, which is ONE_TO_ONE when a single entry was settled and ONE_TO_MANY when more than one was.</w:t>
      </w:r>
    </w:p>
    <w:p>
      <w:r>
        <w:t>8.3 UnmatchedBank carries one row per in-scope statement line that did not settle: Txn_ID; Value_Date in canonical form; Counterparty exactly as the statement records it; Reference exactly as the statement records it; Amount, the rounded statement amount with its sign kept; Reason from the section 6 table; and Candidate_Ledger_IDs.</w:t>
      </w:r>
    </w:p>
    <w:p>
      <w:r>
        <w:t>8.4 UnmatchedLedger carries one row per in-scope ledger entry that was not settled: Ledger_ID; Vendor; Invoice_Ref exactly as the ledger records it; Due_Date in canonical form; Amount_Due rounded; and Reason from the section 7 table.</w:t>
      </w:r>
    </w:p>
    <w:p>
      <w:r>
        <w:t>8.5 The undefined sentinel. Two fields have no value in most rows, and both are written as the literal N/A rather than left empty. Candidate_Ledger_IDs is N/A on every UnmatchedBank row whose reason is not AMBIGUOUS_MATCH, because no tie was reported. Reference is N/A on an UnmatchedBank row whose statement line carried no reference at all, because the bank supplied none. An empty cell, a zero, a dash and the word None are all wrong in both places: they read as a value of zero or as an oversight, and the reviewer cannot tell which.</w:t>
      </w:r>
    </w:p>
    <w:p>
      <w:r>
        <w:t>8.6 Record values, not formulas. Every cell holds the computed figure itself. A workbook written outside Excel stores no cached result for a formula, so a formula cell reaches the reviewer empty.</w:t>
      </w:r>
    </w:p>
    <w:p>
      <w:r>
        <w:t>8.7 Nothing else in the workspace is edited.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Finance Operations</dc:creator>
  <cp:keywords/>
  <dc:description>generated by python-docx</dc:description>
  <cp:lastModifiedBy>Finance Operations</cp:lastModifiedBy>
  <cp:revision>4</cp:revision>
  <dcterms:created xsi:type="dcterms:W3CDTF">2026-04-30T09:00:00Z</dcterms:created>
  <dcterms:modified xsi:type="dcterms:W3CDTF">2026-04-30T09:00:00Z</dcterms:modified>
  <cp:category/>
</cp:coreProperties>
</file>