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r>
        <w:t>Document Reference: SOW-2025-042</w:t>
      </w:r>
    </w:p>
    <w:p>
      <w:r>
        <w:t>Document Type: Statement of Work</w:t>
      </w:r>
    </w:p>
    <w:p>
      <w:r>
        <w:t>Buyer: Kelburn Group Limited</w:t>
      </w:r>
    </w:p>
    <w:p>
      <w:r>
        <w:t>Supplier: Kestrel Analytics Group Ltd</w:t>
      </w:r>
    </w:p>
    <w:p>
      <w:r>
        <w:t>Issued under: the Master Services Agreement between the parties</w:t>
      </w:r>
    </w:p>
    <w:p>
      <w:r>
        <w:t>Commencement Date: 1 May 2025</w:t>
      </w:r>
    </w:p>
    <w:p>
      <w:r>
        <w:t>Expiry Date: 30 April 2027</w:t>
      </w:r>
    </w:p>
    <w:p>
      <w:r>
        <w:t>Execution: signed by both parties on the Commencement Date</w:t>
      </w:r>
    </w:p>
    <w:p>
      <w:pPr>
        <w:pStyle w:val="Heading1"/>
      </w:pPr>
      <w:r>
        <w:t>Clause List</w:t>
      </w:r>
    </w:p>
    <w:p>
      <w:r>
        <w:t>1. Background</w:t>
      </w:r>
    </w:p>
    <w:p>
      <w:r>
        <w:t>2. Services</w:t>
      </w:r>
    </w:p>
    <w:p>
      <w:r>
        <w:t>3. Milestones and Charges</w:t>
      </w:r>
    </w:p>
    <w:p>
      <w:r>
        <w:t>4. Invoicing Administration</w:t>
      </w:r>
    </w:p>
    <w:p>
      <w:r>
        <w:t>5. Acceptance</w:t>
      </w:r>
    </w:p>
    <w:p>
      <w:r>
        <w:t>6. Change Control</w:t>
      </w:r>
    </w:p>
    <w:p>
      <w:pPr>
        <w:pStyle w:val="Heading1"/>
      </w:pPr>
      <w:r>
        <w:t>1. Background</w:t>
      </w:r>
    </w:p>
    <w:p>
      <w:r>
        <w:t>1.1 This Statement of Work is issued under, and is subject to, the Master Services Agreement between the parties. It does not vary that agreement.</w:t>
      </w:r>
    </w:p>
    <w:p>
      <w:r>
        <w:t>1.2 This Statement of Work is subject to the terms of the Master Services Agreement, which prevail in the event of any conflict with it.</w:t>
      </w:r>
    </w:p>
    <w:p>
      <w:pPr>
        <w:pStyle w:val="Heading1"/>
      </w:pPr>
      <w:r>
        <w:t>2. Services</w:t>
      </w:r>
    </w:p>
    <w:p>
      <w:r>
        <w:t>2.1 The Supplier shall provide demand-forecasting analytics for the Buyer's paper and packaging categories, including model development, validation and quarterly recalibration.</w:t>
      </w:r>
    </w:p>
    <w:p>
      <w:r>
        <w:t>2.2 The Supplier shall provide a named lead analyst and shall not change that person without the Buyer's prior written agreement.</w:t>
      </w:r>
    </w:p>
    <w:p>
      <w:pPr>
        <w:pStyle w:val="Heading1"/>
      </w:pPr>
      <w:r>
        <w:t>3. Milestones and Charges</w:t>
      </w:r>
    </w:p>
    <w:p>
      <w:r>
        <w:t>3.1 Milestone A, model specification agreed: 20 per cent of the charges.</w:t>
      </w:r>
    </w:p>
    <w:p>
      <w:r>
        <w:t>3.2 Milestone B, model built and validated against the Buyer's historical data: 45 per cent of the charges.</w:t>
      </w:r>
    </w:p>
    <w:p>
      <w:r>
        <w:t>3.3 Milestone C, model in production and handover complete: 35 per cent of the charges.</w:t>
      </w:r>
    </w:p>
    <w:p>
      <w:pPr>
        <w:pStyle w:val="Heading1"/>
      </w:pPr>
      <w:r>
        <w:t>4. Invoicing Administration</w:t>
      </w:r>
    </w:p>
    <w:p>
      <w:r>
        <w:t>4.1 The Supplier shall submit its invoice for a milestone within ten (10) days of the end of the month in which the Buyer confirms that the milestone has been achieved.</w:t>
      </w:r>
    </w:p>
    <w:p>
      <w:r>
        <w:t>4.2 Each invoice shall identify the milestone to which it relates and shall quote the reference of this Statement of Work.</w:t>
      </w:r>
    </w:p>
    <w:p>
      <w:pPr>
        <w:pStyle w:val="Heading1"/>
      </w:pPr>
      <w:r>
        <w:t>5. Acceptance</w:t>
      </w:r>
    </w:p>
    <w:p>
      <w:r>
        <w:t>5.1 The Buyer shall confirm or reject achievement of a milestone within fifteen (15) working days of the Supplier notifying it that the milestone has been achieved.</w:t>
      </w:r>
    </w:p>
    <w:p>
      <w:pPr>
        <w:pStyle w:val="Heading1"/>
      </w:pPr>
      <w:r>
        <w:t>6. Change Control</w:t>
      </w:r>
    </w:p>
    <w:p>
      <w:r>
        <w:t>6.1 Any change to the services, the milestones or the charges shall be agreed in writing and signed by both parties before it takes effect.</w:t>
      </w:r>
    </w:p>
    <w:p>
      <w:pPr>
        <w:pStyle w:val="Heading1"/>
      </w:pPr>
      <w:r>
        <w:t>Execution</w:t>
      </w:r>
    </w:p>
    <w:p>
      <w:r>
        <w:t>Signed for and on behalf of Kelburn Group Limited: J. Marwood, Head of Data</w:t>
      </w:r>
    </w:p>
    <w:p>
      <w:r>
        <w:t>Signed for and on behalf of Kestrel Analytics Group Ltd: authorised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Finance Operations</cp:lastModifiedBy>
  <cp:revision>1</cp:revision>
  <dcterms:created xsi:type="dcterms:W3CDTF">2026-03-16T09:00:00Z</dcterms:created>
  <dcterms:modified xsi:type="dcterms:W3CDTF">2026-03-16T09:00:00Z</dcterms:modified>
  <cp:category/>
</cp:coreProperties>
</file>