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Accounts Payable Manual</w:t>
      </w:r>
    </w:p>
    <w:p>
      <w:r>
        <w:t>Kelburn Group Limited · Finance Operations · Issue 11 · Supplier payment terms</w:t>
      </w:r>
    </w:p>
    <w:p>
      <w:r>
        <w:t>The standing authority on when a supplier invoice falls due and on the form of the payment schedule. Every rule needed to produce the schedule is in this manual.</w:t>
      </w:r>
    </w:p>
    <w:p>
      <w:pPr>
        <w:pStyle w:val="Heading1"/>
      </w:pPr>
      <w:r>
        <w:t>1. Scope and run date</w:t>
      </w:r>
    </w:p>
    <w:p>
      <w:r>
        <w:t>1.1 This procedure builds the supplier payment schedule for the current accounts payable cycle from open_invoices.xlsx and the supplier documents in contracts/.</w:t>
      </w:r>
    </w:p>
    <w:p>
      <w:r>
        <w:t>1.2 The run date for the current cycle is 16 March 2026. The run date is fixed by this manual: do not take it from the system clock and do not substitute the date the schedule is prepared.</w:t>
      </w:r>
    </w:p>
    <w:p>
      <w:r>
        <w:t>1.3 The schedule covers every row of open_invoices.xlsx whose Status is exactly Open and whose InvoiceDate falls on or before the run date. On or before is inclusive, so an invoice dated on the run date is in scope.</w:t>
      </w:r>
    </w:p>
    <w:p>
      <w:r>
        <w:t>1.4 Rows with any other Status, and Open rows dated after the run date, are out of scope for this cycle and must not appear in the schedule.</w:t>
      </w:r>
    </w:p>
    <w:p>
      <w:pPr>
        <w:pStyle w:val="Heading1"/>
      </w:pPr>
      <w:r>
        <w:t>2. Supplier identity</w:t>
      </w:r>
    </w:p>
    <w:p>
      <w:r>
        <w:t>2.1 Supplier documents are executed in the supplier's registered legal name. open_invoices.xlsx records the trading name. The two are not the same string and are often not similar.</w:t>
      </w:r>
    </w:p>
    <w:p>
      <w:r>
        <w:t>2.2 The register in clause 3 is the only authority for the mapping. Do not match a supplier to a document by partial name similarity, by shared words, or by file name alone.</w:t>
      </w:r>
    </w:p>
    <w:p>
      <w:pPr>
        <w:pStyle w:val="Heading1"/>
      </w:pPr>
      <w:r>
        <w:t>3. Supplier register</w:t>
      </w:r>
    </w:p>
    <w:p>
      <w:r>
        <w:t>3.1 The registered legal entity of each supplier the Buyer trades with. A supplier appears here whether or not it holds a contract.</w:t>
      </w:r>
    </w:p>
    <w:tbl>
      <w:tblPr>
        <w:tblStyle w:val="TableGrid"/>
        <w:tblW w:type="auto" w:w="0"/>
        <w:tblLook w:firstColumn="1" w:firstRow="1" w:lastColumn="0" w:lastRow="0" w:noHBand="0" w:noVBand="1" w:val="04A0"/>
      </w:tblPr>
      <w:tblGrid>
        <w:gridCol w:w="4320"/>
        <w:gridCol w:w="4320"/>
      </w:tblGrid>
      <w:tr>
        <w:tc>
          <w:tcPr>
            <w:tcW w:type="dxa" w:w="4320"/>
          </w:tcPr>
          <w:p>
            <w:r>
              <w:t>Trading name (as invoiced)</w:t>
            </w:r>
          </w:p>
        </w:tc>
        <w:tc>
          <w:tcPr>
            <w:tcW w:type="dxa" w:w="4320"/>
          </w:tcPr>
          <w:p>
            <w:r>
              <w:t>Registered legal entity</w:t>
            </w:r>
          </w:p>
        </w:tc>
      </w:tr>
      <w:tr>
        <w:tc>
          <w:tcPr>
            <w:tcW w:type="dxa" w:w="4320"/>
          </w:tcPr>
          <w:p>
            <w:r>
              <w:t>Ashgrove Chemicals</w:t>
            </w:r>
          </w:p>
        </w:tc>
        <w:tc>
          <w:tcPr>
            <w:tcW w:type="dxa" w:w="4320"/>
          </w:tcPr>
          <w:p>
            <w:r>
              <w:t>Ashgrove Speciality Chemicals plc</w:t>
            </w:r>
          </w:p>
        </w:tc>
      </w:tr>
      <w:tr>
        <w:tc>
          <w:tcPr>
            <w:tcW w:type="dxa" w:w="4320"/>
          </w:tcPr>
          <w:p>
            <w:r>
              <w:t>Brambleton Steel</w:t>
            </w:r>
          </w:p>
        </w:tc>
        <w:tc>
          <w:tcPr>
            <w:tcW w:type="dxa" w:w="4320"/>
          </w:tcPr>
          <w:p>
            <w:r>
              <w:t>Brambleton Steel Products Ltd</w:t>
            </w:r>
          </w:p>
        </w:tc>
      </w:tr>
      <w:tr>
        <w:tc>
          <w:tcPr>
            <w:tcW w:type="dxa" w:w="4320"/>
          </w:tcPr>
          <w:p>
            <w:r>
              <w:t>Copperfield Catering</w:t>
            </w:r>
          </w:p>
        </w:tc>
        <w:tc>
          <w:tcPr>
            <w:tcW w:type="dxa" w:w="4320"/>
          </w:tcPr>
          <w:p>
            <w:r>
              <w:t>Copperfield Catering Services Ltd</w:t>
            </w:r>
          </w:p>
        </w:tc>
      </w:tr>
      <w:tr>
        <w:tc>
          <w:tcPr>
            <w:tcW w:type="dxa" w:w="4320"/>
          </w:tcPr>
          <w:p>
            <w:r>
              <w:t>Corvid Logistics</w:t>
            </w:r>
          </w:p>
        </w:tc>
        <w:tc>
          <w:tcPr>
            <w:tcW w:type="dxa" w:w="4320"/>
          </w:tcPr>
          <w:p>
            <w:r>
              <w:t>Corvid Logistics (UK) Limited</w:t>
            </w:r>
          </w:p>
        </w:tc>
      </w:tr>
      <w:tr>
        <w:tc>
          <w:tcPr>
            <w:tcW w:type="dxa" w:w="4320"/>
          </w:tcPr>
          <w:p>
            <w:r>
              <w:t>Harlow Print Services</w:t>
            </w:r>
          </w:p>
        </w:tc>
        <w:tc>
          <w:tcPr>
            <w:tcW w:type="dxa" w:w="4320"/>
          </w:tcPr>
          <w:p>
            <w:r>
              <w:t>Harlow Print Services Limited</w:t>
            </w:r>
          </w:p>
        </w:tc>
      </w:tr>
      <w:tr>
        <w:tc>
          <w:tcPr>
            <w:tcW w:type="dxa" w:w="4320"/>
          </w:tcPr>
          <w:p>
            <w:r>
              <w:t>Kestrel Analytics</w:t>
            </w:r>
          </w:p>
        </w:tc>
        <w:tc>
          <w:tcPr>
            <w:tcW w:type="dxa" w:w="4320"/>
          </w:tcPr>
          <w:p>
            <w:r>
              <w:t>Kestrel Analytics Group Ltd</w:t>
            </w:r>
          </w:p>
        </w:tc>
      </w:tr>
      <w:tr>
        <w:tc>
          <w:tcPr>
            <w:tcW w:type="dxa" w:w="4320"/>
          </w:tcPr>
          <w:p>
            <w:r>
              <w:t>Larkspur Media</w:t>
            </w:r>
          </w:p>
        </w:tc>
        <w:tc>
          <w:tcPr>
            <w:tcW w:type="dxa" w:w="4320"/>
          </w:tcPr>
          <w:p>
            <w:r>
              <w:t>Larkspur Media Ltd</w:t>
            </w:r>
          </w:p>
        </w:tc>
      </w:tr>
      <w:tr>
        <w:tc>
          <w:tcPr>
            <w:tcW w:type="dxa" w:w="4320"/>
          </w:tcPr>
          <w:p>
            <w:r>
              <w:t>Meridian Freight</w:t>
            </w:r>
          </w:p>
        </w:tc>
        <w:tc>
          <w:tcPr>
            <w:tcW w:type="dxa" w:w="4320"/>
          </w:tcPr>
          <w:p>
            <w:r>
              <w:t>Meridian Freight Ltd</w:t>
            </w:r>
          </w:p>
        </w:tc>
      </w:tr>
      <w:tr>
        <w:tc>
          <w:tcPr>
            <w:tcW w:type="dxa" w:w="4320"/>
          </w:tcPr>
          <w:p>
            <w:r>
              <w:t>Meridian Lab Supplies</w:t>
            </w:r>
          </w:p>
        </w:tc>
        <w:tc>
          <w:tcPr>
            <w:tcW w:type="dxa" w:w="4320"/>
          </w:tcPr>
          <w:p>
            <w:r>
              <w:t>Meridian Laboratory Supplies Ltd</w:t>
            </w:r>
          </w:p>
        </w:tc>
      </w:tr>
      <w:tr>
        <w:tc>
          <w:tcPr>
            <w:tcW w:type="dxa" w:w="4320"/>
          </w:tcPr>
          <w:p>
            <w:r>
              <w:t>Northwind Energy</w:t>
            </w:r>
          </w:p>
        </w:tc>
        <w:tc>
          <w:tcPr>
            <w:tcW w:type="dxa" w:w="4320"/>
          </w:tcPr>
          <w:p>
            <w:r>
              <w:t>Northwind Energy Ltd</w:t>
            </w:r>
          </w:p>
        </w:tc>
      </w:tr>
      <w:tr>
        <w:tc>
          <w:tcPr>
            <w:tcW w:type="dxa" w:w="4320"/>
          </w:tcPr>
          <w:p>
            <w:r>
              <w:t>Northwind Paper</w:t>
            </w:r>
          </w:p>
        </w:tc>
        <w:tc>
          <w:tcPr>
            <w:tcW w:type="dxa" w:w="4320"/>
          </w:tcPr>
          <w:p>
            <w:r>
              <w:t>Northwind Paper Holdings Ltd</w:t>
            </w:r>
          </w:p>
        </w:tc>
      </w:tr>
      <w:tr>
        <w:tc>
          <w:tcPr>
            <w:tcW w:type="dxa" w:w="4320"/>
          </w:tcPr>
          <w:p>
            <w:r>
              <w:t>Peregrine Fasteners</w:t>
            </w:r>
          </w:p>
        </w:tc>
        <w:tc>
          <w:tcPr>
            <w:tcW w:type="dxa" w:w="4320"/>
          </w:tcPr>
          <w:p>
            <w:r>
              <w:t>Peregrine Fasteners Ltd</w:t>
            </w:r>
          </w:p>
        </w:tc>
      </w:tr>
      <w:tr>
        <w:tc>
          <w:tcPr>
            <w:tcW w:type="dxa" w:w="4320"/>
          </w:tcPr>
          <w:p>
            <w:r>
              <w:t>Saltmarsh Utilities</w:t>
            </w:r>
          </w:p>
        </w:tc>
        <w:tc>
          <w:tcPr>
            <w:tcW w:type="dxa" w:w="4320"/>
          </w:tcPr>
          <w:p>
            <w:r>
              <w:t>Saltmarsh Utilities plc</w:t>
            </w:r>
          </w:p>
        </w:tc>
      </w:tr>
      <w:tr>
        <w:tc>
          <w:tcPr>
            <w:tcW w:type="dxa" w:w="4320"/>
          </w:tcPr>
          <w:p>
            <w:r>
              <w:t>Thornbury Waste</w:t>
            </w:r>
          </w:p>
        </w:tc>
        <w:tc>
          <w:tcPr>
            <w:tcW w:type="dxa" w:w="4320"/>
          </w:tcPr>
          <w:p>
            <w:r>
              <w:t>Thornbury Waste Ltd</w:t>
            </w:r>
          </w:p>
        </w:tc>
      </w:tr>
      <w:tr>
        <w:tc>
          <w:tcPr>
            <w:tcW w:type="dxa" w:w="4320"/>
          </w:tcPr>
          <w:p>
            <w:r>
              <w:t>Vantage Facilities</w:t>
            </w:r>
          </w:p>
        </w:tc>
        <w:tc>
          <w:tcPr>
            <w:tcW w:type="dxa" w:w="4320"/>
          </w:tcPr>
          <w:p>
            <w:r>
              <w:t>Vantage Facilities Management Ltd</w:t>
            </w:r>
          </w:p>
        </w:tc>
      </w:tr>
    </w:tbl>
    <w:p>
      <w:pPr>
        <w:pStyle w:val="Heading1"/>
      </w:pPr>
      <w:r>
        <w:t>4. Which document sets the payment period</w:t>
      </w:r>
    </w:p>
    <w:p>
      <w:r>
        <w:t>4.1 Where an executed supply contract governs an invoice, the payment period is the one stated in that contract, or in an amendment to it. Executed contract terms take precedence over the default in clause 4.2.</w:t>
      </w:r>
    </w:p>
    <w:p>
      <w:r>
        <w:t>4.2 Default. Where no executed supply contract governs an invoice, the payment period is 30 calendar days and the governing source is AP-MANUAL clause 4.2.</w:t>
      </w:r>
    </w:p>
    <w:p>
      <w:r>
        <w:t>4.3 An executed supply contract governs an invoice when the contract's Supplier resolves through the register to the invoice's Vendor, and the InvoiceDate falls on or after the Commencement Date and on or before the Expiry Date. Both bounds are inclusive.</w:t>
      </w:r>
    </w:p>
    <w:p>
      <w:r>
        <w:t>4.4 A contract that had not commenced by the invoice date, and one that expired before it, do not govern that invoice. Clause 4.2 then applies; that the supplier holds a contract covering some other period does not change that.</w:t>
      </w:r>
    </w:p>
    <w:p>
      <w:r>
        <w:t>4.5 An amendment restates the payment terms of the contract it names. It governs invoices dated on or after its Effective Date, inclusive, while the underlying contract is in force. An invoice dated earlier takes the period in the original contract.</w:t>
      </w:r>
    </w:p>
    <w:p>
      <w:r>
        <w:t>4.6 Every document in contracts/ states its Document Type in the header block on its first page. Only a document whose type is an executed supply agreement, or an amendment to one, sets a payment period. A document of any other type sets none.</w:t>
      </w:r>
    </w:p>
    <w:p>
      <w:r>
        <w:t>4.7 In a supply contract the payment period is stated in the run of invoicing and payment provisions. These contracts run to several thousand words, so that run of provisions sits well past the beginning of the file and one unfiltered read of the whole document will exceed the tool response limit. Its clause number is not the same in every contract and is not the number the clause list on the first page gives for Invoicing and Payment, so do not navigate by that list: search the file for the sentence stating when the Buyer shall pay a correctly rendered and undisputed invoice, and take the clause number printed at the start of that sentence and the number of days that sentence itself states.</w:t>
      </w:r>
    </w:p>
    <w:p>
      <w:pPr>
        <w:pStyle w:val="Heading1"/>
      </w:pPr>
      <w:r>
        <w:t>5. Computing the due date</w:t>
      </w:r>
    </w:p>
    <w:p>
      <w:r>
        <w:t>5.1 DueDate is the InvoiceDate plus the governing payment period in calendar days. The invoice date is day zero, so a 30 day period on an invoice dated 14 January 2026 falls due on 13 February 2026.</w:t>
      </w:r>
    </w:p>
    <w:p>
      <w:r>
        <w:t>5.2 If the date computed under clause 5.1 falls on a Saturday the due date is the Monday two days later; if it falls on a Sunday, the Monday one day later. Bank holidays are not observed and no other adjustment is made.</w:t>
      </w:r>
    </w:p>
    <w:p>
      <w:r>
        <w:t>5.3 Record each due date in the form YYYY-MM-DD.</w:t>
      </w:r>
    </w:p>
    <w:p>
      <w:pPr>
        <w:pStyle w:val="Heading1"/>
      </w:pPr>
      <w:r>
        <w:t>6. Invoices that cannot be resolved</w:t>
      </w:r>
    </w:p>
    <w:p>
      <w:r>
        <w:t>6.1 Where two or more executed supply contracts govern the same invoice under clause 4.3 and state different payment periods, and no document on file records one as amending or superseding the other, the invoice cannot be resolved here. Record DueDate as REVIEW and GoverningSource as REVIEW-CONFLICTING-TERMS, spelled exactly so, and refer it to the contracts team.</w:t>
      </w:r>
    </w:p>
    <w:p>
      <w:r>
        <w:t>6.2 REVIEW is recorded for the case in clause 6.1 and for nothing else. A supplier with no document on file, one whose contract expired before the invoice date, one whose contract had not commenced by it, and one whose only documents set no payment period are all resolved by clause 4.2.</w:t>
      </w:r>
    </w:p>
    <w:p>
      <w:r>
        <w:t>6.3 Never leave DueDate blank, never record zero, never record a placeholder date and never omit an in-scope row. Each is read as an unanswered invoice.</w:t>
      </w:r>
    </w:p>
    <w:p>
      <w:pPr>
        <w:pStyle w:val="Heading1"/>
      </w:pPr>
      <w:r>
        <w:t>7. The schedule</w:t>
      </w:r>
    </w:p>
    <w:p>
      <w:r>
        <w:t>7.1 Write payment_schedule.xlsx to the workspace root. The schedule is written on a worksheet named Schedule.</w:t>
      </w:r>
    </w:p>
    <w:p>
      <w:r>
        <w:t>7.2 Row 1 of that worksheet is the header row, carrying Invoice, Vendor, DueDate and GoverningSource in that order.</w:t>
      </w:r>
    </w:p>
    <w:p>
      <w:r>
        <w:t>7.3 Beneath the header, one row per in-scope invoice and nothing else, in ascending order of Invoice. The sheet name, the column order and the row order are part of the required shape and are checked: a row written in the wrong position counts against the schedule even where its contents are right.</w:t>
      </w:r>
    </w:p>
    <w:p>
      <w:r>
        <w:t>7.4 Vendor is the trading name exactly as it appears in open_invoices.xlsx.</w:t>
      </w:r>
    </w:p>
    <w:p>
      <w:r>
        <w:t>7.5 GoverningSource is the reference of the document that set the period, the word clause, then the number printed at the start of the provision stating it, copied exactly as printed and neither padded nor reshaped: for example CON-0000-000 clause 0.0. The reference is printed in the document header block. Where an amendment set the period, give the amendment's own reference and its own clause number, not the original clause it replaced. Where clause 4.2 applied, record AP-MANUAL clause 4.2.</w:t>
      </w:r>
    </w:p>
    <w:p>
      <w:r>
        <w:t>7.6 Record computed values, not formulas. A workbook written by a program Excel has never opened carries no cached formula results, so a formula cell reads back empty and scores as wrong.</w:t>
      </w:r>
    </w:p>
    <w:p>
      <w:r>
        <w:t>7.7 manual/Format_Example.xlsx shows the sheet name, the header row and the shape of each cell.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Finance Operations</cp:lastModifiedBy>
  <cp:revision>1</cp:revision>
  <dcterms:created xsi:type="dcterms:W3CDTF">2026-03-16T09:00:00Z</dcterms:created>
  <dcterms:modified xsi:type="dcterms:W3CDTF">2026-03-16T09:00:00Z</dcterms:modified>
  <cp:category/>
</cp:coreProperties>
</file>