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Account Maintenance Fee Schedule</w:t>
      </w:r>
    </w:p>
    <w:p>
      <w:pPr>
        <w:pStyle w:val="Heading2"/>
      </w:pPr>
      <w:r>
        <w:t>Version FS-2025-B — SUPERSEDED</w:t>
      </w:r>
    </w:p>
    <w:p>
      <w:r>
        <w:rPr>
          <w:sz w:val="21"/>
        </w:rPr>
        <w:t>SUPERSEDED. This version was replaced by FS-2026-A. It is retained under archive/ for audit reference only. Do not compute a current run from the rates, bounds or thresholds below.</w:t>
      </w:r>
    </w:p>
    <w:p>
      <w:pPr>
        <w:pStyle w:val="Heading1"/>
      </w:pPr>
      <w:r>
        <w:t>1. Rate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Portion over</w:t>
            </w:r>
          </w:p>
        </w:tc>
        <w:tc>
          <w:tcPr>
            <w:tcW w:type="dxa" w:w="2160"/>
          </w:tcPr>
          <w:p>
            <w:r>
              <w:t>Portion up to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10,000.00</w:t>
            </w:r>
          </w:p>
        </w:tc>
        <w:tc>
          <w:tcPr>
            <w:tcW w:type="dxa" w:w="2160"/>
          </w:tcPr>
          <w:p>
            <w:r>
              <w:t>0.00300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10,000.00</w:t>
            </w:r>
          </w:p>
        </w:tc>
        <w:tc>
          <w:tcPr>
            <w:tcW w:type="dxa" w:w="2160"/>
          </w:tcPr>
          <w:p>
            <w:r>
              <w:t>50,000.00</w:t>
            </w:r>
          </w:p>
        </w:tc>
        <w:tc>
          <w:tcPr>
            <w:tcW w:type="dxa" w:w="2160"/>
          </w:tcPr>
          <w:p>
            <w:r>
              <w:t>0.00200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50,000.00</w:t>
            </w:r>
          </w:p>
        </w:tc>
        <w:tc>
          <w:tcPr>
            <w:tcW w:type="dxa" w:w="2160"/>
          </w:tcPr>
          <w:p>
            <w:r>
              <w:t>200,000.00</w:t>
            </w:r>
          </w:p>
        </w:tc>
        <w:tc>
          <w:tcPr>
            <w:tcW w:type="dxa" w:w="2160"/>
          </w:tcPr>
          <w:p>
            <w:r>
              <w:t>0.00140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200,000.00</w:t>
            </w:r>
          </w:p>
        </w:tc>
        <w:tc>
          <w:tcPr>
            <w:tcW w:type="dxa" w:w="2160"/>
          </w:tcPr>
          <w:p>
            <w:r>
              <w:t>no upper limit</w:t>
            </w:r>
          </w:p>
        </w:tc>
        <w:tc>
          <w:tcPr>
            <w:tcW w:type="dxa" w:w="2160"/>
          </w:tcPr>
          <w:p>
            <w:r>
              <w:t>0.00090</w:t>
            </w:r>
          </w:p>
        </w:tc>
      </w:tr>
    </w:tbl>
    <w:p>
      <w:pPr>
        <w:pStyle w:val="Heading1"/>
      </w:pPr>
      <w:r>
        <w:t>2. Thresholds</w:t>
      </w:r>
    </w:p>
    <w:p>
      <w:r>
        <w:rPr>
          <w:sz w:val="21"/>
        </w:rPr>
        <w:t>The minimum chargeable balance under this version was 500.00. Fees were rounded to the nearest cent at each band and the rounded band amounts were then summed.</w:t>
      </w:r>
    </w:p>
    <w:p>
      <w:r>
        <w:rPr>
          <w:sz w:val="21"/>
        </w:rPr>
        <w:t>Under this version an account marked RESTRICTED was passed to manual review and no fee was raised against it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2026-01-05T09:00:00Z</dcterms:created>
  <dcterms:modified xsi:type="dcterms:W3CDTF">2026-01-05T09:00:00Z</dcterms:modified>
  <cp:category/>
</cp:coreProperties>
</file>