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Account Maintenance Fee Schedule</w:t>
      </w:r>
    </w:p>
    <w:p>
      <w:pPr>
        <w:pStyle w:val="Heading2"/>
      </w:pPr>
      <w:r>
        <w:t>Version FS-2026-A</w:t>
      </w:r>
    </w:p>
    <w:p>
      <w:pPr>
        <w:pStyle w:val="Heading1"/>
      </w:pPr>
      <w:r>
        <w:t>1. Status and effective period</w:t>
      </w:r>
    </w:p>
    <w:p>
      <w:r>
        <w:rPr>
          <w:sz w:val="21"/>
        </w:rPr>
        <w:t>This document is version FS-2026-A of the retail account maintenance fee schedule. It is the operative schedule, and a run it governs is computed from the rates, bounds and thresholds printed in it. It replaces FS-2025-B, a copy of which is retained under archive/ for audit reference.</w:t>
      </w:r>
    </w:p>
    <w:p>
      <w:r>
        <w:rPr>
          <w:sz w:val="21"/>
        </w:rPr>
        <w:t>This schedule governs the balance snapshot dated 2026-03-31. That snapshot, and no other, is the file accounts.csv in the workspace root. Every SnapshotDate in that file carries the same value; a run produced from this schedule is a run against that one snapshot, and nothing in this schedule is to be resolved against the date on which the run happens to be executed.</w:t>
      </w:r>
    </w:p>
    <w:p>
      <w:r>
        <w:rPr>
          <w:sz w:val="21"/>
        </w:rPr>
        <w:t>Fee operations owns this schedule. Changes are issued as a new version letter, never as an edit in place, so that a completed run can always be reproduced from the version stamped on it.</w:t>
      </w:r>
    </w:p>
    <w:p>
      <w:pPr>
        <w:pStyle w:val="Heading1"/>
      </w:pPr>
      <w:r>
        <w:t>2. How to read this document</w:t>
      </w:r>
    </w:p>
    <w:p>
      <w:r>
        <w:rPr>
          <w:sz w:val="21"/>
        </w:rPr>
        <w:t>The sections are numbered and each is self-contained. Where a rule appears in more than one section the statement in the lower-numbered section governs.</w:t>
      </w:r>
    </w:p>
    <w:p>
      <w:r>
        <w:rPr>
          <w:sz w:val="21"/>
        </w:rPr>
        <w:t>3. The chargeable population</w:t>
      </w:r>
    </w:p>
    <w:p>
      <w:r>
        <w:rPr>
          <w:sz w:val="21"/>
        </w:rPr>
        <w:t>4. Rate table</w:t>
      </w:r>
    </w:p>
    <w:p>
      <w:r>
        <w:rPr>
          <w:sz w:val="21"/>
        </w:rPr>
        <w:t>5. How the fee is computed</w:t>
      </w:r>
    </w:p>
    <w:p>
      <w:r>
        <w:rPr>
          <w:sz w:val="21"/>
        </w:rPr>
        <w:t>6. Minimum chargeable balance and non-positive balances</w:t>
      </w:r>
    </w:p>
    <w:p>
      <w:r>
        <w:rPr>
          <w:sz w:val="21"/>
        </w:rPr>
        <w:t>7. Precision and rounding</w:t>
      </w:r>
    </w:p>
    <w:p>
      <w:r>
        <w:rPr>
          <w:sz w:val="21"/>
        </w:rPr>
        <w:t>8. Undefined outcomes and reason codes</w:t>
      </w:r>
    </w:p>
    <w:p>
      <w:r>
        <w:rPr>
          <w:sz w:val="21"/>
        </w:rPr>
        <w:t>9. Wire transfer and overdraft tariffs</w:t>
      </w:r>
    </w:p>
    <w:p>
      <w:r>
        <w:rPr>
          <w:sz w:val="21"/>
        </w:rPr>
        <w:t>10. Output: fee_schedule_run.xlsx</w:t>
      </w:r>
    </w:p>
    <w:p>
      <w:r>
        <w:rPr>
          <w:sz w:val="21"/>
        </w:rPr>
        <w:t>11. Output: workings.json</w:t>
      </w:r>
    </w:p>
    <w:p>
      <w:r>
        <w:rPr>
          <w:sz w:val="21"/>
        </w:rPr>
        <w:t>12. Reconciliation identity</w:t>
      </w:r>
    </w:p>
    <w:p>
      <w:r>
        <w:rPr>
          <w:sz w:val="21"/>
        </w:rPr>
        <w:t>The workspace image carries a shell and the usual text utilities, so this document and the snapshot can both be read in pieces rather than in one pass; the section headings above are the index.</w:t>
      </w:r>
    </w:p>
    <w:p>
      <w:pPr>
        <w:pStyle w:val="Heading1"/>
      </w:pPr>
      <w:r>
        <w:t>3. The chargeable population</w:t>
      </w:r>
    </w:p>
    <w:p>
      <w:r>
        <w:rPr>
          <w:sz w:val="21"/>
        </w:rPr>
        <w:t>The population is drawn from accounts.csv, which holds 58 account rows beneath its header row. archive/ holds material kept for audit.</w:t>
      </w:r>
    </w:p>
    <w:p>
      <w:r>
        <w:rPr>
          <w:sz w:val="21"/>
        </w:rPr>
        <w:t>An account row is in the run when both of the following hold:</w:t>
      </w:r>
    </w:p>
    <w:p>
      <w:pPr>
        <w:pStyle w:val="ListBullet"/>
      </w:pPr>
      <w:r>
        <w:rPr>
          <w:sz w:val="21"/>
        </w:rPr>
        <w:t>its AccountType is CLIENT; and</w:t>
      </w:r>
    </w:p>
    <w:p>
      <w:pPr>
        <w:pStyle w:val="ListBullet"/>
      </w:pPr>
      <w:r>
        <w:rPr>
          <w:sz w:val="21"/>
        </w:rPr>
        <w:t>its Status is OPEN or RESTRICTED.</w:t>
      </w:r>
    </w:p>
    <w:p>
      <w:r>
        <w:rPr>
          <w:sz w:val="21"/>
        </w:rPr>
        <w:t>The two tests are applied in a fixed order, because the exclusion counts reported in section 11 depend on it. Apply the status test first: a row whose Status is CLOSED is excluded as closed, whatever its AccountType. A row that survives the status test and whose AccountType is HOUSE is then excluded as house.</w:t>
      </w:r>
    </w:p>
    <w:p>
      <w:r>
        <w:rPr>
          <w:sz w:val="21"/>
        </w:rPr>
        <w:t>A RESTRICTED account is a chargeable account. The restriction limits what the holder may transact; it does not relieve the account of maintenance fees, and a restricted account is charged on exactly the same terms as an open one.</w:t>
      </w:r>
    </w:p>
    <w:p>
      <w:r>
        <w:rPr>
          <w:sz w:val="21"/>
        </w:rPr>
        <w:t>An account number may appear on more than one row of the snapshot, because the snapshot is assembled from per-branch extracts and an account moved between branches during the period appears in both. Report each account once. Where every row that survives the exclusions above records the same Balance text for an account, that text is the account's balance. Where those rows disagree, section 8 applies. The number of rows removed by this collapsing is reported separately from the two exclusion counts.</w:t>
      </w:r>
    </w:p>
    <w:p>
      <w:r>
        <w:rPr>
          <w:sz w:val="21"/>
        </w:rPr>
        <w:t>Branch records the branch extract a row was assembled from.</w:t>
      </w:r>
    </w:p>
    <w:p>
      <w:pPr>
        <w:pStyle w:val="Heading1"/>
      </w:pPr>
      <w:r>
        <w:t>4. Rate table</w:t>
      </w:r>
    </w:p>
    <w:p>
      <w:r>
        <w:rPr>
          <w:sz w:val="21"/>
        </w:rPr>
        <w:t>Amounts in the table below are stated in major units. Rates are held to five decimal places and are to be used at that precision; a rate restated as a percentage to fewer places will not reproduce the published figures.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Band</w:t>
            </w:r>
          </w:p>
        </w:tc>
        <w:tc>
          <w:tcPr>
            <w:tcW w:type="dxa" w:w="2160"/>
          </w:tcPr>
          <w:p>
            <w:r>
              <w:t>Portion over</w:t>
            </w:r>
          </w:p>
        </w:tc>
        <w:tc>
          <w:tcPr>
            <w:tcW w:type="dxa" w:w="2160"/>
          </w:tcPr>
          <w:p>
            <w:r>
              <w:t>Portion up to</w:t>
            </w:r>
          </w:p>
        </w:tc>
        <w:tc>
          <w:tcPr>
            <w:tcW w:type="dxa" w:w="2160"/>
          </w:tcPr>
          <w:p>
            <w:r>
              <w:t>Rate</w:t>
            </w:r>
          </w:p>
        </w:tc>
      </w:tr>
      <w:tr>
        <w:tc>
          <w:tcPr>
            <w:tcW w:type="dxa" w:w="2160"/>
          </w:tcPr>
          <w:p>
            <w:r>
              <w:t>A</w:t>
            </w:r>
          </w:p>
        </w:tc>
        <w:tc>
          <w:tcPr>
            <w:tcW w:type="dxa" w:w="2160"/>
          </w:tcPr>
          <w:p>
            <w:r>
              <w:t>0.00</w:t>
            </w:r>
          </w:p>
        </w:tc>
        <w:tc>
          <w:tcPr>
            <w:tcW w:type="dxa" w:w="2160"/>
          </w:tcPr>
          <w:p>
            <w:r>
              <w:t>9,750.00</w:t>
            </w:r>
          </w:p>
        </w:tc>
        <w:tc>
          <w:tcPr>
            <w:tcW w:type="dxa" w:w="2160"/>
          </w:tcPr>
          <w:p>
            <w:r>
              <w:t>0.00325</w:t>
            </w:r>
          </w:p>
        </w:tc>
      </w:tr>
      <w:tr>
        <w:tc>
          <w:tcPr>
            <w:tcW w:type="dxa" w:w="2160"/>
          </w:tcPr>
          <w:p>
            <w:r>
              <w:t>B</w:t>
            </w:r>
          </w:p>
        </w:tc>
        <w:tc>
          <w:tcPr>
            <w:tcW w:type="dxa" w:w="2160"/>
          </w:tcPr>
          <w:p>
            <w:r>
              <w:t>9,750.00</w:t>
            </w:r>
          </w:p>
        </w:tc>
        <w:tc>
          <w:tcPr>
            <w:tcW w:type="dxa" w:w="2160"/>
          </w:tcPr>
          <w:p>
            <w:r>
              <w:t>48,500.00</w:t>
            </w:r>
          </w:p>
        </w:tc>
        <w:tc>
          <w:tcPr>
            <w:tcW w:type="dxa" w:w="2160"/>
          </w:tcPr>
          <w:p>
            <w:r>
              <w:t>0.00185</w:t>
            </w:r>
          </w:p>
        </w:tc>
      </w:tr>
      <w:tr>
        <w:tc>
          <w:tcPr>
            <w:tcW w:type="dxa" w:w="2160"/>
          </w:tcPr>
          <w:p>
            <w:r>
              <w:t>C</w:t>
            </w:r>
          </w:p>
        </w:tc>
        <w:tc>
          <w:tcPr>
            <w:tcW w:type="dxa" w:w="2160"/>
          </w:tcPr>
          <w:p>
            <w:r>
              <w:t>76,000.00</w:t>
            </w:r>
          </w:p>
        </w:tc>
        <w:tc>
          <w:tcPr>
            <w:tcW w:type="dxa" w:w="2160"/>
          </w:tcPr>
          <w:p>
            <w:r>
              <w:t>190,000.00</w:t>
            </w:r>
          </w:p>
        </w:tc>
        <w:tc>
          <w:tcPr>
            <w:tcW w:type="dxa" w:w="2160"/>
          </w:tcPr>
          <w:p>
            <w:r>
              <w:t>0.00125</w:t>
            </w:r>
          </w:p>
        </w:tc>
      </w:tr>
      <w:tr>
        <w:tc>
          <w:tcPr>
            <w:tcW w:type="dxa" w:w="2160"/>
          </w:tcPr>
          <w:p>
            <w:r>
              <w:t>D</w:t>
            </w:r>
          </w:p>
        </w:tc>
        <w:tc>
          <w:tcPr>
            <w:tcW w:type="dxa" w:w="2160"/>
          </w:tcPr>
          <w:p>
            <w:r>
              <w:t>190,000.00</w:t>
            </w:r>
          </w:p>
        </w:tc>
        <w:tc>
          <w:tcPr>
            <w:tcW w:type="dxa" w:w="2160"/>
          </w:tcPr>
          <w:p>
            <w:r>
              <w:t>no upper limit</w:t>
            </w:r>
          </w:p>
        </w:tc>
        <w:tc>
          <w:tcPr>
            <w:tcW w:type="dxa" w:w="2160"/>
          </w:tcPr>
          <w:p>
            <w:r>
              <w:t>0.00075</w:t>
            </w:r>
          </w:p>
        </w:tc>
      </w:tr>
    </w:tbl>
    <w:p>
      <w:r>
        <w:rPr>
          <w:sz w:val="21"/>
        </w:rPr>
        <w:t>A band covers only the range described by its own two bounds. The bands of a schedule are not required to between them cover the whole number line, and no bound may be inferred from a neighbouring row: the 'Portion over' bound of a band is the bound printed against that band and is not the 'Portion up to' bound of the band above it. Any portion of a balance that falls within no band attracts no fee.</w:t>
      </w:r>
    </w:p>
    <w:p>
      <w:pPr>
        <w:pStyle w:val="Heading1"/>
      </w:pPr>
      <w:r>
        <w:t>5. How the fee is computed</w:t>
      </w:r>
    </w:p>
    <w:p>
      <w:r>
        <w:rPr>
          <w:sz w:val="21"/>
        </w:rPr>
        <w:t>The schedule is progressive. A band's rate applies only to the portion of the balance that falls within that band, never to the balance as a whole.</w:t>
      </w:r>
    </w:p>
    <w:p>
      <w:r>
        <w:rPr>
          <w:sz w:val="21"/>
        </w:rPr>
        <w:t>A band covers the portion of a balance that is greater than its 'Portion over' bound and less than or equal to its 'Portion up to' bound. Band D has no upper bound and covers everything above its 'Portion over' bound.</w:t>
      </w:r>
    </w:p>
    <w:p>
      <w:r>
        <w:rPr>
          <w:sz w:val="21"/>
        </w:rPr>
        <w:t>For a balance b and a band with bounds (over, up_to] and rate r, the portion charged in that band is:</w:t>
      </w:r>
    </w:p>
    <w:p>
      <w:r>
        <w:rPr>
          <w:rFonts w:ascii="Consolas" w:hAnsi="Consolas"/>
          <w:sz w:val="18"/>
        </w:rPr>
        <w:t>portion = max(0, min(b, up_to) - over)</w:t>
      </w:r>
    </w:p>
    <w:p>
      <w:r>
        <w:rPr>
          <w:rFonts w:ascii="Consolas" w:hAnsi="Consolas"/>
          <w:sz w:val="18"/>
        </w:rPr>
        <w:t>contribution = portion * r</w:t>
      </w:r>
    </w:p>
    <w:p>
      <w:r>
        <w:rPr>
          <w:sz w:val="21"/>
        </w:rPr>
        <w:t>The fee is the sum of the contributions of every band, taken as an exact decimal sum and then rounded once as section 7 directs.</w:t>
      </w:r>
    </w:p>
    <w:p>
      <w:pPr>
        <w:pStyle w:val="Heading1"/>
      </w:pPr>
      <w:r>
        <w:t>6. Minimum chargeable balance and non-positive balances</w:t>
      </w:r>
    </w:p>
    <w:p>
      <w:r>
        <w:rPr>
          <w:sz w:val="21"/>
        </w:rPr>
        <w:t>The minimum chargeable balance is 1,000.00. An account whose balance is greater than or equal to 1,000.00 is chargeable and its fee is computed as section 5 directs. An account whose balance is less than 1,000.00 is not chargeable: its Fee is 0 and its EffectiveRate is 0.000000.</w:t>
      </w:r>
    </w:p>
    <w:p>
      <w:r>
        <w:rPr>
          <w:sz w:val="21"/>
        </w:rPr>
        <w:t>A negative balance is not chargeable. Its Fee is 0 and its EffectiveRate is 0.000000. This schedule never produces a negative fee and never produces a negative effective rate; an overdrawn account is priced by the overdraft tariff in section 9 and not here.</w:t>
      </w:r>
    </w:p>
    <w:p>
      <w:r>
        <w:rPr>
          <w:sz w:val="21"/>
        </w:rPr>
        <w:t>A balance of exactly 0.00 is a recorded figure and not a missing one. It is below the minimum chargeable balance, so its Fee is 0, but the account is defined and is reported with a numeric Balance of 0.</w:t>
      </w:r>
    </w:p>
    <w:p>
      <w:r>
        <w:rPr>
          <w:sz w:val="21"/>
        </w:rPr>
        <w:t>A non-chargeable account contributes nothing to any band total in section 11.</w:t>
      </w:r>
    </w:p>
    <w:p>
      <w:pPr>
        <w:pStyle w:val="Heading1"/>
      </w:pPr>
      <w:r>
        <w:t>7. Precision and rounding</w:t>
      </w:r>
    </w:p>
    <w:p>
      <w:r>
        <w:rPr>
          <w:sz w:val="21"/>
        </w:rPr>
        <w:t>Every money figure this schedule reports is stated in minor units: a whole number of cents. A balance of 9,750.00 is reported as 975000.</w:t>
      </w:r>
    </w:p>
    <w:p>
      <w:r>
        <w:rPr>
          <w:sz w:val="21"/>
        </w:rPr>
        <w:t>Fees are computed in exact decimal arithmetic. Binary floating point drifts the cent on this table and is not an acceptable substitute.</w:t>
      </w:r>
    </w:p>
    <w:p>
      <w:r>
        <w:rPr>
          <w:sz w:val="21"/>
        </w:rPr>
        <w:t>The fee is rounded once, after the contributions of every band have been summed, to the nearest whole cent, rounding half away from zero (half-up): a residue of exactly half a cent rounds up. A band's contribution is never rounded before it is summed. Round-half-even, the default of several standard libraries, is not this schedule's convention and will disagree with it in the cent.</w:t>
      </w:r>
    </w:p>
    <w:p>
      <w:r>
        <w:rPr>
          <w:sz w:val="21"/>
        </w:rPr>
        <w:t>EffectiveRate is the fee divided by the balance, both taken in minor units, rounded half-up to exactly six decimal places and reported to exactly six decimal places. The fee in that division is the rounded whole-cent figure this section directs, the same figure the Fee column carries, and not the unrounded sum of the contributions.</w:t>
      </w:r>
    </w:p>
    <w:p>
      <w:pPr>
        <w:pStyle w:val="Heading1"/>
      </w:pPr>
      <w:r>
        <w:t>8. Undefined outcomes and reason codes</w:t>
      </w:r>
    </w:p>
    <w:p>
      <w:r>
        <w:rPr>
          <w:sz w:val="21"/>
        </w:rPr>
        <w:t>Some accounts have no defined fee. The sentinel for this is the bare word UNDEFINED, with no quotation marks and no trailing punctuation. Where an account's fee is undefined, its Balance, its Fee and its EffectiveRate all carry that sentinel.</w:t>
      </w:r>
    </w:p>
    <w:p>
      <w:r>
        <w:rPr>
          <w:sz w:val="21"/>
        </w:rPr>
        <w:t>An undefined fee is not zero, not an empty cell, not a null and not an omitted row. The account is reported in the sheet like any other, carrying the sentinel.</w:t>
      </w:r>
    </w:p>
    <w:p>
      <w:r>
        <w:rPr>
          <w:sz w:val="21"/>
        </w:rPr>
        <w:t>The reason codes are:</w:t>
      </w:r>
    </w:p>
    <w:p>
      <w:pPr>
        <w:pStyle w:val="ListBullet"/>
      </w:pPr>
      <w:r>
        <w:rPr>
          <w:sz w:val="21"/>
        </w:rPr>
        <w:t>MISSING_BALANCE — the Balance field of the account's row is empty.</w:t>
      </w:r>
    </w:p>
    <w:p>
      <w:pPr>
        <w:pStyle w:val="ListBullet"/>
      </w:pPr>
      <w:r>
        <w:rPr>
          <w:sz w:val="21"/>
        </w:rPr>
        <w:t>UNREADABLE_BALANCE — the Balance field holds something that is not a number.</w:t>
      </w:r>
    </w:p>
    <w:p>
      <w:pPr>
        <w:pStyle w:val="ListBullet"/>
      </w:pPr>
      <w:r>
        <w:rPr>
          <w:sz w:val="21"/>
        </w:rPr>
        <w:t>CONFLICTING_BALANCE — the account's surviving rows record balances that differ from one another. This schedule gives no rule for choosing between them. Do not choose one, do not average them, do not prefer the row from a particular branch or status, and do not sum them.</w:t>
      </w:r>
    </w:p>
    <w:p>
      <w:r>
        <w:rPr>
          <w:sz w:val="21"/>
        </w:rPr>
        <w:t>An undefined account contributes nothing to the fee total and nothing to any band total in section 11, but it is counted in accounts_reported.</w:t>
      </w:r>
    </w:p>
    <w:p>
      <w:pPr>
        <w:pStyle w:val="Heading1"/>
      </w:pPr>
      <w:r>
        <w:t>9. Wire transfer and overdraft tariffs</w:t>
      </w:r>
    </w:p>
    <w:p>
      <w:r>
        <w:rPr>
          <w:sz w:val="21"/>
        </w:rPr>
        <w:t>The tariff below prices outbound wire transfers. It is charged per instruction at the time the instruction settles and is invoiced separately from account maintenance.</w:t>
      </w:r>
    </w:p>
    <w:tbl>
      <w:tblPr>
        <w:tblStyle w:val="TableGrid"/>
        <w:tblW w:type="auto" w:w="0"/>
        <w:tblLook w:firstColumn="1" w:firstRow="1" w:lastColumn="0" w:lastRow="0" w:noHBand="0" w:noVBand="1" w:val="04A0"/>
      </w:tblPr>
      <w:tblGrid>
        <w:gridCol w:w="2880"/>
        <w:gridCol w:w="2880"/>
        <w:gridCol w:w="2880"/>
      </w:tblGrid>
      <w:tr>
        <w:tc>
          <w:tcPr>
            <w:tcW w:type="dxa" w:w="2880"/>
          </w:tcPr>
          <w:p>
            <w:r>
              <w:t>Destination</w:t>
            </w:r>
          </w:p>
        </w:tc>
        <w:tc>
          <w:tcPr>
            <w:tcW w:type="dxa" w:w="2880"/>
          </w:tcPr>
          <w:p>
            <w:r>
              <w:t>Per instruction</w:t>
            </w:r>
          </w:p>
        </w:tc>
        <w:tc>
          <w:tcPr>
            <w:tcW w:type="dxa" w:w="2880"/>
          </w:tcPr>
          <w:p>
            <w:r>
              <w:t>Cable fee</w:t>
            </w:r>
          </w:p>
        </w:tc>
      </w:tr>
      <w:tr>
        <w:tc>
          <w:tcPr>
            <w:tcW w:type="dxa" w:w="2880"/>
          </w:tcPr>
          <w:p>
            <w:r>
              <w:t>Domestic</w:t>
            </w:r>
          </w:p>
        </w:tc>
        <w:tc>
          <w:tcPr>
            <w:tcW w:type="dxa" w:w="2880"/>
          </w:tcPr>
          <w:p>
            <w:r>
              <w:t>12.50</w:t>
            </w:r>
          </w:p>
        </w:tc>
        <w:tc>
          <w:tcPr>
            <w:tcW w:type="dxa" w:w="2880"/>
          </w:tcPr>
          <w:p>
            <w:r>
              <w:t>0.00</w:t>
            </w:r>
          </w:p>
        </w:tc>
      </w:tr>
      <w:tr>
        <w:tc>
          <w:tcPr>
            <w:tcW w:type="dxa" w:w="2880"/>
          </w:tcPr>
          <w:p>
            <w:r>
              <w:t>Regional</w:t>
            </w:r>
          </w:p>
        </w:tc>
        <w:tc>
          <w:tcPr>
            <w:tcW w:type="dxa" w:w="2880"/>
          </w:tcPr>
          <w:p>
            <w:r>
              <w:t>27.00</w:t>
            </w:r>
          </w:p>
        </w:tc>
        <w:tc>
          <w:tcPr>
            <w:tcW w:type="dxa" w:w="2880"/>
          </w:tcPr>
          <w:p>
            <w:r>
              <w:t>6.50</w:t>
            </w:r>
          </w:p>
        </w:tc>
      </w:tr>
      <w:tr>
        <w:tc>
          <w:tcPr>
            <w:tcW w:type="dxa" w:w="2880"/>
          </w:tcPr>
          <w:p>
            <w:r>
              <w:t>International</w:t>
            </w:r>
          </w:p>
        </w:tc>
        <w:tc>
          <w:tcPr>
            <w:tcW w:type="dxa" w:w="2880"/>
          </w:tcPr>
          <w:p>
            <w:r>
              <w:t>38.00</w:t>
            </w:r>
          </w:p>
        </w:tc>
        <w:tc>
          <w:tcPr>
            <w:tcW w:type="dxa" w:w="2880"/>
          </w:tcPr>
          <w:p>
            <w:r>
              <w:t>11.00</w:t>
            </w:r>
          </w:p>
        </w:tc>
      </w:tr>
    </w:tbl>
    <w:p>
      <w:r>
        <w:rPr>
          <w:sz w:val="21"/>
        </w:rPr>
        <w:t>The tariff below prices debit interest on overdrawn balances. It accrues daily on the overdrawn amount and is posted monthly.</w:t>
      </w:r>
    </w:p>
    <w:tbl>
      <w:tblPr>
        <w:tblStyle w:val="TableGrid"/>
        <w:tblW w:type="auto" w:w="0"/>
        <w:tblLook w:firstColumn="1" w:firstRow="1" w:lastColumn="0" w:lastRow="0" w:noHBand="0" w:noVBand="1" w:val="04A0"/>
      </w:tblPr>
      <w:tblGrid>
        <w:gridCol w:w="4320"/>
        <w:gridCol w:w="4320"/>
      </w:tblGrid>
      <w:tr>
        <w:tc>
          <w:tcPr>
            <w:tcW w:type="dxa" w:w="4320"/>
          </w:tcPr>
          <w:p>
            <w:r>
              <w:t>Overdrawn amount</w:t>
            </w:r>
          </w:p>
        </w:tc>
        <w:tc>
          <w:tcPr>
            <w:tcW w:type="dxa" w:w="4320"/>
          </w:tcPr>
          <w:p>
            <w:r>
              <w:t>Annual rate</w:t>
            </w:r>
          </w:p>
        </w:tc>
      </w:tr>
      <w:tr>
        <w:tc>
          <w:tcPr>
            <w:tcW w:type="dxa" w:w="4320"/>
          </w:tcPr>
          <w:p>
            <w:r>
              <w:t>0.01 to 2,000.00</w:t>
            </w:r>
          </w:p>
        </w:tc>
        <w:tc>
          <w:tcPr>
            <w:tcW w:type="dxa" w:w="4320"/>
          </w:tcPr>
          <w:p>
            <w:r>
              <w:t>0.14500</w:t>
            </w:r>
          </w:p>
        </w:tc>
      </w:tr>
      <w:tr>
        <w:tc>
          <w:tcPr>
            <w:tcW w:type="dxa" w:w="4320"/>
          </w:tcPr>
          <w:p>
            <w:r>
              <w:t>2,000.01 and above</w:t>
            </w:r>
          </w:p>
        </w:tc>
        <w:tc>
          <w:tcPr>
            <w:tcW w:type="dxa" w:w="4320"/>
          </w:tcPr>
          <w:p>
            <w:r>
              <w:t>0.11750</w:t>
            </w:r>
          </w:p>
        </w:tc>
      </w:tr>
    </w:tbl>
    <w:p>
      <w:r>
        <w:rPr>
          <w:sz w:val="21"/>
        </w:rPr>
        <w:t>Both tariffs are quoted here so that a single document covers the retail price list. Each is raised by the transaction processing system at the moment the event it prices occurs and is posted to the customer statement under its own narrative code.</w:t>
      </w:r>
    </w:p>
    <w:p>
      <w:pPr>
        <w:pStyle w:val="Heading1"/>
      </w:pPr>
      <w:r>
        <w:t>10. Output: fee_schedule_run.xlsx</w:t>
      </w:r>
    </w:p>
    <w:p>
      <w:r>
        <w:rPr>
          <w:sz w:val="21"/>
        </w:rPr>
        <w:t>The run produces a workbook named fee_schedule_run.xlsx in the workspace root, containing a worksheet named Fees.</w:t>
      </w:r>
    </w:p>
    <w:p>
      <w:r>
        <w:rPr>
          <w:sz w:val="21"/>
        </w:rPr>
        <w:t>The worksheet carries a header row in row 1 with these four column names, in this order:</w:t>
      </w:r>
    </w:p>
    <w:p>
      <w:r>
        <w:rPr>
          <w:rFonts w:ascii="Consolas" w:hAnsi="Consolas"/>
          <w:sz w:val="18"/>
        </w:rPr>
        <w:t>Account | Balance | Fee | EffectiveRate</w:t>
      </w:r>
    </w:p>
    <w:p>
      <w:r>
        <w:rPr>
          <w:sz w:val="21"/>
        </w:rPr>
        <w:t>Beneath the header there is one row for each account in the run, in ascending order of Account. Balance and Fee are whole numbers of minor units as section 7 directs, or the sentinel of section 8. EffectiveRate is a decimal to six places, or the sentinel.</w:t>
      </w:r>
    </w:p>
    <w:p>
      <w:r>
        <w:rPr>
          <w:sz w:val="21"/>
        </w:rPr>
        <w:t>Cells carry computed values, not formulas. A workbook written by a program stores no cached result alongside a formula, so a formula cell reads as empty to anything that opens the file without a spreadsheet application, and the figure is lost.</w:t>
      </w:r>
    </w:p>
    <w:p>
      <w:r>
        <w:rPr>
          <w:sz w:val="21"/>
        </w:rPr>
        <w:t>policy/Format_Example.xlsx is a layout sample of the sheet described above, drawn up when this version was issued.</w:t>
      </w:r>
    </w:p>
    <w:p>
      <w:pPr>
        <w:pStyle w:val="Heading1"/>
      </w:pPr>
      <w:r>
        <w:t>11. Output: workings.json</w:t>
      </w:r>
    </w:p>
    <w:p>
      <w:r>
        <w:rPr>
          <w:sz w:val="21"/>
        </w:rPr>
        <w:t>The run also produces workings.json in the workspace root, a single JSON object carrying these keys:</w:t>
      </w:r>
    </w:p>
    <w:p>
      <w:r>
        <w:rPr>
          <w:rFonts w:ascii="Consolas" w:hAnsi="Consolas"/>
          <w:sz w:val="18"/>
        </w:rPr>
        <w:t>{</w:t>
        <w:br/>
        <w:t xml:space="preserve">  "metric": "progressive_fee_run",</w:t>
        <w:br/>
        <w:t xml:space="preserve">  "schedule_version": "&lt;the version stamped in section 1&gt;",</w:t>
        <w:br/>
        <w:t xml:space="preserve">  "snapshot_date": "&lt;the snapshot date in section 1&gt;",</w:t>
        <w:br/>
        <w:t xml:space="preserve">  "accounts_in_file": "&lt;integer&gt;",</w:t>
        <w:br/>
        <w:t xml:space="preserve">  "accounts_reported": "&lt;integer&gt;",</w:t>
        <w:br/>
        <w:t xml:space="preserve">  "total_fee_cents": "&lt;integer&gt;",</w:t>
        <w:br/>
        <w:t xml:space="preserve">  "excluded": {</w:t>
        <w:br/>
        <w:t xml:space="preserve">    "closed": "&lt;integer&gt;",</w:t>
        <w:br/>
        <w:t xml:space="preserve">    "house": "&lt;integer&gt;",</w:t>
        <w:br/>
        <w:t xml:space="preserve">    "duplicate_rows_collapsed": "&lt;integer&gt;"</w:t>
        <w:br/>
        <w:t xml:space="preserve">  },</w:t>
        <w:br/>
        <w:t xml:space="preserve">  "undefined": {</w:t>
        <w:br/>
        <w:t xml:space="preserve">    "&lt;account&gt;": "&lt;reason code&gt;"</w:t>
        <w:br/>
        <w:t xml:space="preserve">  },</w:t>
        <w:br/>
        <w:t xml:space="preserve">  "band_balance_cents": {</w:t>
        <w:br/>
        <w:t xml:space="preserve">    "A": "&lt;integer&gt;",</w:t>
        <w:br/>
        <w:t xml:space="preserve">    "B": "&lt;integer&gt;",</w:t>
        <w:br/>
        <w:t xml:space="preserve">    "C": "&lt;integer&gt;",</w:t>
        <w:br/>
        <w:t xml:space="preserve">    "D": "&lt;integer&gt;",</w:t>
        <w:br/>
        <w:t xml:space="preserve">    "unbanded": "&lt;integer&gt;"</w:t>
        <w:br/>
        <w:t xml:space="preserve">  }</w:t>
        <w:br/>
        <w:t>}</w:t>
      </w:r>
    </w:p>
    <w:p>
      <w:r>
        <w:rPr>
          <w:sz w:val="21"/>
        </w:rPr>
        <w:t>accounts_in_file counts the account rows in accounts.csv beneath its header. accounts_reported counts the rows written to the Fees sheet. total_fee_cents is the sum of every defined fee, in minor units.</w:t>
      </w:r>
    </w:p>
    <w:p>
      <w:r>
        <w:rPr>
          <w:sz w:val="21"/>
        </w:rPr>
        <w:t>excluded.closed and excluded.house are the row counts removed by the two tests of section 3, in the order that section fixes. excluded.duplicate_rows_collapsed is the number of rows removed by collapsing repeated account numbers among the rows that survived both tests.</w:t>
      </w:r>
    </w:p>
    <w:p>
      <w:r>
        <w:rPr>
          <w:sz w:val="21"/>
        </w:rPr>
        <w:t>undefined maps each undefined account number to its reason code from section 8. An account with a defined fee does not appear in it.</w:t>
      </w:r>
    </w:p>
    <w:p>
      <w:r>
        <w:rPr>
          <w:sz w:val="21"/>
        </w:rPr>
        <w:t>band_balance_cents reports, for each band, the total of the portions of chargeable balances that fell within that band, in minor units; and under the key unbanded, the total of the portions of chargeable balances that fell within no band.</w:t>
      </w:r>
    </w:p>
    <w:p>
      <w:pPr>
        <w:pStyle w:val="Heading1"/>
      </w:pPr>
      <w:r>
        <w:t>12. Reconciliation identity</w:t>
      </w:r>
    </w:p>
    <w:p>
      <w:r>
        <w:rPr>
          <w:sz w:val="21"/>
        </w:rPr>
        <w:t>A completed run satisfies both identities below. A run that does not satisfy them has mis-assembled its population and is to be corrected before it is filed.</w:t>
      </w:r>
    </w:p>
    <w:p>
      <w:r>
        <w:rPr>
          <w:rFonts w:ascii="Consolas" w:hAnsi="Consolas"/>
          <w:sz w:val="18"/>
        </w:rPr>
        <w:t>accounts_in_file = accounts_reported</w:t>
        <w:br/>
        <w:t xml:space="preserve">                 + excluded.closed</w:t>
        <w:br/>
        <w:t xml:space="preserve">                 + excluded.house</w:t>
        <w:br/>
        <w:t xml:space="preserve">                 + excluded.duplicate_rows_collapsed</w:t>
      </w:r>
    </w:p>
    <w:p>
      <w:r>
        <w:rPr>
          <w:rFonts w:ascii="Consolas" w:hAnsi="Consolas"/>
          <w:sz w:val="18"/>
        </w:rPr>
        <w:t>A + B + C + D + unbanded = the total chargeable balance, in minor units</w:t>
      </w:r>
    </w:p>
    <w:p>
      <w:r>
        <w:rPr>
          <w:sz w:val="21"/>
        </w:rPr>
        <w:t>The second identity holds because the bands and the unbanded remainder between them account for every cent of every chargeable balance, whether or not a rate is attached to the range it falls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2026-01-05T09:00:00Z</dcterms:created>
  <dcterms:modified xsi:type="dcterms:W3CDTF">2026-01-05T09:00:00Z</dcterms:modified>
  <cp:category/>
</cp:coreProperties>
</file>