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Meridian Community Grants Programme</w:t>
      </w:r>
    </w:p>
    <w:p>
      <w:pPr>
        <w:pStyle w:val="Heading1"/>
      </w:pPr>
      <w:r>
        <w:t>Handbook appendices, edition 2027-C1</w:t>
      </w:r>
    </w:p>
    <w:p>
      <w:r>
        <w:t>In force for the 2027-C1 intake window, which opened on 2027-01-06 and closed on 2027-04-30. This edition supersedes edition 2026-C2 in full.</w:t>
      </w:r>
    </w:p>
    <w:p>
      <w:pPr>
        <w:pStyle w:val="Heading1"/>
      </w:pPr>
      <w:r>
        <w:t>Contents</w:t>
      </w:r>
    </w:p>
    <w:tbl>
      <w:tblPr>
        <w:tblStyle w:val="TableGrid"/>
        <w:tblW w:type="auto" w:w="0"/>
        <w:tblLook w:firstColumn="1" w:firstRow="1" w:lastColumn="0" w:lastRow="0" w:noHBand="0" w:noVBand="1" w:val="04A0"/>
      </w:tblPr>
      <w:tblGrid>
        <w:gridCol w:w="2880"/>
        <w:gridCol w:w="2880"/>
        <w:gridCol w:w="2880"/>
      </w:tblGrid>
      <w:tr>
        <w:tc>
          <w:tcPr>
            <w:tcW w:type="dxa" w:w="2880"/>
          </w:tcPr>
          <w:p>
            <w:r>
              <w:t>Appendix</w:t>
            </w:r>
          </w:p>
        </w:tc>
        <w:tc>
          <w:tcPr>
            <w:tcW w:type="dxa" w:w="2880"/>
          </w:tcPr>
          <w:p>
            <w:r>
              <w:t>Title</w:t>
            </w:r>
          </w:p>
        </w:tc>
        <w:tc>
          <w:tcPr>
            <w:tcW w:type="dxa" w:w="2880"/>
          </w:tcPr>
          <w:p>
            <w:r>
              <w:t>Used by</w:t>
            </w:r>
          </w:p>
        </w:tc>
      </w:tr>
      <w:tr>
        <w:tc>
          <w:tcPr>
            <w:tcW w:type="dxa" w:w="2880"/>
          </w:tcPr>
          <w:p>
            <w:r>
              <w:t>A</w:t>
            </w:r>
          </w:p>
        </w:tc>
        <w:tc>
          <w:tcPr>
            <w:tcW w:type="dxa" w:w="2880"/>
          </w:tcPr>
          <w:p>
            <w:r>
              <w:t>Scheme eligibility</w:t>
            </w:r>
          </w:p>
        </w:tc>
        <w:tc>
          <w:tcPr>
            <w:tcW w:type="dxa" w:w="2880"/>
          </w:tcPr>
          <w:p>
            <w:r>
              <w:t>Applicants and the awards officer</w:t>
            </w:r>
          </w:p>
        </w:tc>
      </w:tr>
      <w:tr>
        <w:tc>
          <w:tcPr>
            <w:tcW w:type="dxa" w:w="2880"/>
          </w:tcPr>
          <w:p>
            <w:r>
              <w:t>B</w:t>
            </w:r>
          </w:p>
        </w:tc>
        <w:tc>
          <w:tcPr>
            <w:tcW w:type="dxa" w:w="2880"/>
          </w:tcPr>
          <w:p>
            <w:r>
              <w:t>Assessment scoring, applied after an application passes intake</w:t>
            </w:r>
          </w:p>
        </w:tc>
        <w:tc>
          <w:tcPr>
            <w:tcW w:type="dxa" w:w="2880"/>
          </w:tcPr>
          <w:p>
            <w:r>
              <w:t>The panel</w:t>
            </w:r>
          </w:p>
        </w:tc>
      </w:tr>
      <w:tr>
        <w:tc>
          <w:tcPr>
            <w:tcW w:type="dxa" w:w="2880"/>
          </w:tcPr>
          <w:p>
            <w:r>
              <w:t>C</w:t>
            </w:r>
          </w:p>
        </w:tc>
        <w:tc>
          <w:tcPr>
            <w:tcW w:type="dxa" w:w="2880"/>
          </w:tcPr>
          <w:p>
            <w:r>
              <w:t>Intake completeness checklist</w:t>
            </w:r>
          </w:p>
        </w:tc>
        <w:tc>
          <w:tcPr>
            <w:tcW w:type="dxa" w:w="2880"/>
          </w:tcPr>
          <w:p>
            <w:r>
              <w:t>The intake desk</w:t>
            </w:r>
          </w:p>
        </w:tc>
      </w:tr>
      <w:tr>
        <w:tc>
          <w:tcPr>
            <w:tcW w:type="dxa" w:w="2880"/>
          </w:tcPr>
          <w:p>
            <w:r>
              <w:t>D</w:t>
            </w:r>
          </w:p>
        </w:tc>
        <w:tc>
          <w:tcPr>
            <w:tcW w:type="dxa" w:w="2880"/>
          </w:tcPr>
          <w:p>
            <w:r>
              <w:t>Appeals and review</w:t>
            </w:r>
          </w:p>
        </w:tc>
        <w:tc>
          <w:tcPr>
            <w:tcW w:type="dxa" w:w="2880"/>
          </w:tcPr>
          <w:p>
            <w:r>
              <w:t>The reviewing officer</w:t>
            </w:r>
          </w:p>
        </w:tc>
      </w:tr>
    </w:tbl>
    <w:p>
      <w:r>
        <w:t>Navigation. Each appendix opens with a heading of the form 'Appendix X - title' and every rule inside it is numbered X.n, so a rule can be found by searching for its number. The Used by column above names the officer each appendix is written for, and every figure an appendix relies on is stated inside it.</w:t>
      </w:r>
    </w:p>
    <w:p>
      <w:pPr>
        <w:pStyle w:val="Heading1"/>
      </w:pPr>
      <w:r>
        <w:t>Appendix A - Scheme eligibility</w:t>
      </w:r>
    </w:p>
    <w:p>
      <w:r>
        <w:t>A.1 The Meridian Community Grants Programme is open to constituted voluntary and community organisations whose registered address lies within the Meridian district or one of the four adjoining parishes named in the district plan. Unconstituted groups may apply through a host body, in which case the host body is the applicant of record and its details are the ones entered on the intake form.</w:t>
      </w:r>
    </w:p>
    <w:p>
      <w:r>
        <w:t>A.2 An organisation may hold one live award at a time. A second application from the same organisation while an award is live is returned to the applicant without assessment. The intake desk does not check for live awards; that check belongs to the awards officer and happens after intake.</w:t>
      </w:r>
    </w:p>
    <w:p>
      <w:r>
        <w:t>A.3 The programme funds project costs. It does not fund core salaries, debt servicing, political campaigning, or activity that a statutory body is already obliged to provide. Where a project mixes fundable and non-fundable costs the assessment panel apportions them; the intake desk does not.</w:t>
      </w:r>
    </w:p>
    <w:p>
      <w:r>
        <w:t>A.4 The minimum award is five hundred pounds. Applications for less than the minimum are not economic to administer and the programme does not accept them. The maximum award in the 2027 cycles is twenty-five thousand pounds.</w:t>
      </w:r>
    </w:p>
    <w:p>
      <w:r>
        <w:t>A.5 Capital works means any physical alteration to land or buildings, including resurfacing, structural repair, installation of fixed equipment and landscaping that changes drainage. Redecoration and the purchase of loose furniture are not capital works for the purposes of this programme.</w:t>
      </w:r>
    </w:p>
    <w:p>
      <w:r>
        <w:t>A.6 An organisation carrying out capital works on land it does not own must hold the landowner's written consent for a period covering the whole project. Consent that expires before the project is due to finish is treated by the assessment panel as no consent at all.</w:t>
      </w:r>
    </w:p>
    <w:p>
      <w:r>
        <w:t>A.7 The financial assurance requirement applies to larger awards. The trigger was five thousand pounds for the 2026 cycles; from edition 2027-C1 it is ten thousand pounds, and the figure in Appendix C is the one in force.</w:t>
      </w:r>
    </w:p>
    <w:p>
      <w:r>
        <w:t>A.8 Safeguarding obligations follow the district's shared policy. An organisation whose project brings adults or staff into contact with under-18s or with vulnerable adults must name a safeguarding lead and must be able to evidence that its policy has been reviewed.</w:t>
      </w:r>
    </w:p>
    <w:p>
      <w:r>
        <w:t>A.9 Applications are received through the intake desk only. Material sent directly to a panel member is forwarded to the intake desk and dated on the day the desk receives it, not the day it was sent.</w:t>
      </w:r>
    </w:p>
    <w:p>
      <w:r>
        <w:t>A.10 An applicant may withdraw at any point before the panel meets. A withdrawn form is retained for the audit trail for six years and is not destroyed at the end of the cycle.</w:t>
      </w:r>
    </w:p>
    <w:p>
      <w:r>
        <w:t>A.11 An applicant may replace a form already submitted by sending a revision. The revision carries the same FormID and a higher revision number. The programme does not accept partial revisions: a revision is a complete form and replaces its predecessor outright.</w:t>
      </w:r>
    </w:p>
    <w:p>
      <w:r>
        <w:t>A.12 Identifiers are allocated from a central pool shared with the small grants scheme, so the identifiers appearing in any one cycle are not consecutive.</w:t>
      </w:r>
    </w:p>
    <w:p>
      <w:r>
        <w:t>A.13 Nothing in this appendix creates an entitlement to an award. The panel's decision is final subject only to the review route in Appendix D.</w:t>
      </w:r>
    </w:p>
    <w:p>
      <w:pPr>
        <w:pStyle w:val="Heading1"/>
      </w:pPr>
      <w:r>
        <w:t>Appendix B - Assessment scoring, applied after an application passes intake</w:t>
      </w:r>
    </w:p>
    <w:p>
      <w:r>
        <w:t>B.1 Assessment begins once an application has passed intake. An application that has not passed intake is not scored, and a score recorded against an application that later fails intake is discarded.</w:t>
      </w:r>
    </w:p>
    <w:p>
      <w:r>
        <w:t>B.2 Each application is scored on four dimensions: need, reach, deliverability and value. Each dimension carries a maximum of ten points and the dimensions are equally weighted, giving a maximum raw score of forty.</w:t>
      </w:r>
    </w:p>
    <w:p>
      <w:r>
        <w:t>B.3 Need asks whether the applicant has evidenced a problem the project addresses. Assertions unsupported by local evidence score no more than four.</w:t>
      </w:r>
    </w:p>
    <w:p>
      <w:r>
        <w:t>B.4 Reach asks how many residents benefit and how deeply. A project reaching a small number of residents intensively may score as highly as one reaching many lightly.</w:t>
      </w:r>
    </w:p>
    <w:p>
      <w:r>
        <w:t>B.5 Deliverability asks whether the applicant can do what it proposes in the time it proposes. The panel considers the organisation's track record, its committee capacity and any dependency on consents it does not yet hold.</w:t>
      </w:r>
    </w:p>
    <w:p>
      <w:r>
        <w:t>B.6 Value asks what the award buys per beneficiary, adjusted for the difficulty of reaching them. It is not a lowest-cost test.</w:t>
      </w:r>
    </w:p>
    <w:p>
      <w:r>
        <w:t>B.7 Two panel members score independently. Where their raw totals differ by more than six points the application is discussed and rescored; the rescore replaces both original scores.</w:t>
      </w:r>
    </w:p>
    <w:p>
      <w:r>
        <w:t>B.8 Applications scoring below eighteen are not funded in the round regardless of the budget remaining. Applications scoring eighteen or above are ranked and funded until the round budget is exhausted.</w:t>
      </w:r>
    </w:p>
    <w:p>
      <w:r>
        <w:t>B.9 The panel may attach conditions to an award. Conditions are recorded on the award letter and are not part of the intake record.</w:t>
      </w:r>
    </w:p>
    <w:p>
      <w:r>
        <w:t>B.10 Feedback is offered to every unsuccessful applicant on request and is drawn from the panel's recorded reasons, not from the raw scores.</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Maximum</w:t>
            </w:r>
          </w:p>
        </w:tc>
        <w:tc>
          <w:tcPr>
            <w:tcW w:type="dxa" w:w="2880"/>
          </w:tcPr>
          <w:p>
            <w:r>
              <w:t>Weight</w:t>
            </w:r>
          </w:p>
        </w:tc>
      </w:tr>
      <w:tr>
        <w:tc>
          <w:tcPr>
            <w:tcW w:type="dxa" w:w="2880"/>
          </w:tcPr>
          <w:p>
            <w:r>
              <w:t>Need</w:t>
            </w:r>
          </w:p>
        </w:tc>
        <w:tc>
          <w:tcPr>
            <w:tcW w:type="dxa" w:w="2880"/>
          </w:tcPr>
          <w:p>
            <w:r>
              <w:t>10</w:t>
            </w:r>
          </w:p>
        </w:tc>
        <w:tc>
          <w:tcPr>
            <w:tcW w:type="dxa" w:w="2880"/>
          </w:tcPr>
          <w:p>
            <w:r>
              <w:t>1.0</w:t>
            </w:r>
          </w:p>
        </w:tc>
      </w:tr>
      <w:tr>
        <w:tc>
          <w:tcPr>
            <w:tcW w:type="dxa" w:w="2880"/>
          </w:tcPr>
          <w:p>
            <w:r>
              <w:t>Reach</w:t>
            </w:r>
          </w:p>
        </w:tc>
        <w:tc>
          <w:tcPr>
            <w:tcW w:type="dxa" w:w="2880"/>
          </w:tcPr>
          <w:p>
            <w:r>
              <w:t>10</w:t>
            </w:r>
          </w:p>
        </w:tc>
        <w:tc>
          <w:tcPr>
            <w:tcW w:type="dxa" w:w="2880"/>
          </w:tcPr>
          <w:p>
            <w:r>
              <w:t>1.0</w:t>
            </w:r>
          </w:p>
        </w:tc>
      </w:tr>
      <w:tr>
        <w:tc>
          <w:tcPr>
            <w:tcW w:type="dxa" w:w="2880"/>
          </w:tcPr>
          <w:p>
            <w:r>
              <w:t>Deliverability</w:t>
            </w:r>
          </w:p>
        </w:tc>
        <w:tc>
          <w:tcPr>
            <w:tcW w:type="dxa" w:w="2880"/>
          </w:tcPr>
          <w:p>
            <w:r>
              <w:t>10</w:t>
            </w:r>
          </w:p>
        </w:tc>
        <w:tc>
          <w:tcPr>
            <w:tcW w:type="dxa" w:w="2880"/>
          </w:tcPr>
          <w:p>
            <w:r>
              <w:t>1.0</w:t>
            </w:r>
          </w:p>
        </w:tc>
      </w:tr>
      <w:tr>
        <w:tc>
          <w:tcPr>
            <w:tcW w:type="dxa" w:w="2880"/>
          </w:tcPr>
          <w:p>
            <w:r>
              <w:t>Value</w:t>
            </w:r>
          </w:p>
        </w:tc>
        <w:tc>
          <w:tcPr>
            <w:tcW w:type="dxa" w:w="2880"/>
          </w:tcPr>
          <w:p>
            <w:r>
              <w:t>10</w:t>
            </w:r>
          </w:p>
        </w:tc>
        <w:tc>
          <w:tcPr>
            <w:tcW w:type="dxa" w:w="2880"/>
          </w:tcPr>
          <w:p>
            <w:r>
              <w:t>1.0</w:t>
            </w:r>
          </w:p>
        </w:tc>
      </w:tr>
    </w:tbl>
    <w:p>
      <w:pPr>
        <w:pStyle w:val="Heading1"/>
      </w:pPr>
      <w:r>
        <w:t>Appendix C - Intake completeness checklist</w:t>
      </w:r>
    </w:p>
    <w:p>
      <w:pPr>
        <w:pStyle w:val="Heading2"/>
      </w:pPr>
      <w:r>
        <w:t>C.1 Scope</w:t>
      </w:r>
    </w:p>
    <w:p>
      <w:r>
        <w:t>Every file in the submissions folder is a form the intake desk has received. A form is in scope for triage only when its Status line reads Submitted. A form whose Status reads Withdrawn is retained for the audit trail under A.10 and is not triaged: it does not appear in the triage sheet at all.</w:t>
      </w:r>
    </w:p>
    <w:p>
      <w:r>
        <w:t>Where two or more in-scope files carry the same FormID, exactly one of them governs. The governing form is the one with the latest Submitted date; where two share a Submitted date, the one with the higher Revision number governs. The superseded files are disregarded entirely - they contribute no row of their own and their answers are never merged into the governing form. Neither the receipt number nor the file name tells you which form governs.</w:t>
      </w:r>
    </w:p>
    <w:p>
      <w:r>
        <w:t>FormID values are allocated from a shared pool, so they are not consecutive. A gap between two identifiers does not mean a file is missing and must not be reported as one.</w:t>
      </w:r>
    </w:p>
    <w:p>
      <w:pPr>
        <w:pStyle w:val="Heading2"/>
      </w:pPr>
      <w:r>
        <w:t>C.2 The checklist</w:t>
      </w:r>
    </w:p>
    <w:p>
      <w:r>
        <w:t>The table below is the checklist. Items are listed in review order: the financial assurance pair is reviewed alongside the funding items because the requested amount is what triggers it, so those two rows sit between 2.3 and 3.1. Wherever this appendix says 'in checklist order' it means the order of the rows in this table, which is not the numerical order of the item codes.</w:t>
      </w:r>
    </w:p>
    <w:p>
      <w:r>
        <w:t>The Required column says when the item is required. The Gateway column marks with G the items the programme cannot chase after submission, because the rest of the form cannot be read without them.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Description</w:t>
            </w:r>
          </w:p>
        </w:tc>
        <w:tc>
          <w:tcPr>
            <w:tcW w:type="dxa" w:w="2160"/>
          </w:tcPr>
          <w:p>
            <w:r>
              <w:t>Required</w:t>
            </w:r>
          </w:p>
        </w:tc>
        <w:tc>
          <w:tcPr>
            <w:tcW w:type="dxa" w:w="2160"/>
          </w:tcPr>
          <w:p>
            <w:r>
              <w:t>Gateway</w:t>
            </w:r>
          </w:p>
        </w:tc>
      </w:tr>
      <w:tr>
        <w:tc>
          <w:tcPr>
            <w:tcW w:type="dxa" w:w="2160"/>
          </w:tcPr>
          <w:p>
            <w:r>
              <w:t>1.1</w:t>
            </w:r>
          </w:p>
        </w:tc>
        <w:tc>
          <w:tcPr>
            <w:tcW w:type="dxa" w:w="2160"/>
          </w:tcPr>
          <w:p>
            <w:r>
              <w:t>Organisation name</w:t>
            </w:r>
          </w:p>
        </w:tc>
        <w:tc>
          <w:tcPr>
            <w:tcW w:type="dxa" w:w="2160"/>
          </w:tcPr>
          <w:p>
            <w:r>
              <w:t>Always</w:t>
            </w:r>
          </w:p>
        </w:tc>
        <w:tc>
          <w:tcPr>
            <w:tcW w:type="dxa" w:w="2160"/>
          </w:tcPr>
          <w:p>
            <w:r>
              <w:t>G</w:t>
            </w:r>
          </w:p>
        </w:tc>
      </w:tr>
      <w:tr>
        <w:tc>
          <w:tcPr>
            <w:tcW w:type="dxa" w:w="2160"/>
          </w:tcPr>
          <w:p>
            <w:r>
              <w:t>1.2</w:t>
            </w:r>
          </w:p>
        </w:tc>
        <w:tc>
          <w:tcPr>
            <w:tcW w:type="dxa" w:w="2160"/>
          </w:tcPr>
          <w:p>
            <w:r>
              <w:t>Contact email</w:t>
            </w:r>
          </w:p>
        </w:tc>
        <w:tc>
          <w:tcPr>
            <w:tcW w:type="dxa" w:w="2160"/>
          </w:tcPr>
          <w:p>
            <w:r>
              <w:t>Always</w:t>
            </w:r>
          </w:p>
        </w:tc>
        <w:tc>
          <w:tcPr>
            <w:tcW w:type="dxa" w:w="2160"/>
          </w:tcPr>
          <w:p>
            <w:r/>
          </w:p>
        </w:tc>
      </w:tr>
      <w:tr>
        <w:tc>
          <w:tcPr>
            <w:tcW w:type="dxa" w:w="2160"/>
          </w:tcPr>
          <w:p>
            <w:r>
              <w:t>1.3</w:t>
            </w:r>
          </w:p>
        </w:tc>
        <w:tc>
          <w:tcPr>
            <w:tcW w:type="dxa" w:w="2160"/>
          </w:tcPr>
          <w:p>
            <w:r>
              <w:t>Registered charity number</w:t>
            </w:r>
          </w:p>
        </w:tc>
        <w:tc>
          <w:tcPr>
            <w:tcW w:type="dxa" w:w="2160"/>
          </w:tcPr>
          <w:p>
            <w:r>
              <w:t>Always</w:t>
            </w:r>
          </w:p>
        </w:tc>
        <w:tc>
          <w:tcPr>
            <w:tcW w:type="dxa" w:w="2160"/>
          </w:tcPr>
          <w:p>
            <w:r/>
          </w:p>
        </w:tc>
      </w:tr>
      <w:tr>
        <w:tc>
          <w:tcPr>
            <w:tcW w:type="dxa" w:w="2160"/>
          </w:tcPr>
          <w:p>
            <w:r>
              <w:t>1.4</w:t>
            </w:r>
          </w:p>
        </w:tc>
        <w:tc>
          <w:tcPr>
            <w:tcW w:type="dxa" w:w="2160"/>
          </w:tcPr>
          <w:p>
            <w:r>
              <w:t>Date of incorporation</w:t>
            </w:r>
          </w:p>
        </w:tc>
        <w:tc>
          <w:tcPr>
            <w:tcW w:type="dxa" w:w="2160"/>
          </w:tcPr>
          <w:p>
            <w:r>
              <w:t>Always</w:t>
            </w:r>
          </w:p>
        </w:tc>
        <w:tc>
          <w:tcPr>
            <w:tcW w:type="dxa" w:w="2160"/>
          </w:tcPr>
          <w:p>
            <w:r/>
          </w:p>
        </w:tc>
      </w:tr>
      <w:tr>
        <w:tc>
          <w:tcPr>
            <w:tcW w:type="dxa" w:w="2160"/>
          </w:tcPr>
          <w:p>
            <w:r>
              <w:t>2.1</w:t>
            </w:r>
          </w:p>
        </w:tc>
        <w:tc>
          <w:tcPr>
            <w:tcW w:type="dxa" w:w="2160"/>
          </w:tcPr>
          <w:p>
            <w:r>
              <w:t>Project title</w:t>
            </w:r>
          </w:p>
        </w:tc>
        <w:tc>
          <w:tcPr>
            <w:tcW w:type="dxa" w:w="2160"/>
          </w:tcPr>
          <w:p>
            <w:r>
              <w:t>Always</w:t>
            </w:r>
          </w:p>
        </w:tc>
        <w:tc>
          <w:tcPr>
            <w:tcW w:type="dxa" w:w="2160"/>
          </w:tcPr>
          <w:p>
            <w:r/>
          </w:p>
        </w:tc>
      </w:tr>
      <w:tr>
        <w:tc>
          <w:tcPr>
            <w:tcW w:type="dxa" w:w="2160"/>
          </w:tcPr>
          <w:p>
            <w:r>
              <w:t>2.2</w:t>
            </w:r>
          </w:p>
        </w:tc>
        <w:tc>
          <w:tcPr>
            <w:tcW w:type="dxa" w:w="2160"/>
          </w:tcPr>
          <w:p>
            <w:r>
              <w:t>Requested amount (GBP)</w:t>
            </w:r>
          </w:p>
        </w:tc>
        <w:tc>
          <w:tcPr>
            <w:tcW w:type="dxa" w:w="2160"/>
          </w:tcPr>
          <w:p>
            <w:r>
              <w:t>Always</w:t>
            </w:r>
          </w:p>
        </w:tc>
        <w:tc>
          <w:tcPr>
            <w:tcW w:type="dxa" w:w="2160"/>
          </w:tcPr>
          <w:p>
            <w:r>
              <w:t>G</w:t>
            </w:r>
          </w:p>
        </w:tc>
      </w:tr>
      <w:tr>
        <w:tc>
          <w:tcPr>
            <w:tcW w:type="dxa" w:w="2160"/>
          </w:tcPr>
          <w:p>
            <w:r>
              <w:t>2.3</w:t>
            </w:r>
          </w:p>
        </w:tc>
        <w:tc>
          <w:tcPr>
            <w:tcW w:type="dxa" w:w="2160"/>
          </w:tcPr>
          <w:p>
            <w:r>
              <w:t>Project start date</w:t>
            </w:r>
          </w:p>
        </w:tc>
        <w:tc>
          <w:tcPr>
            <w:tcW w:type="dxa" w:w="2160"/>
          </w:tcPr>
          <w:p>
            <w:r>
              <w:t>Always</w:t>
            </w:r>
          </w:p>
        </w:tc>
        <w:tc>
          <w:tcPr>
            <w:tcW w:type="dxa" w:w="2160"/>
          </w:tcPr>
          <w:p>
            <w:r/>
          </w:p>
        </w:tc>
      </w:tr>
      <w:tr>
        <w:tc>
          <w:tcPr>
            <w:tcW w:type="dxa" w:w="2160"/>
          </w:tcPr>
          <w:p>
            <w:r>
              <w:t>7.1</w:t>
            </w:r>
          </w:p>
        </w:tc>
        <w:tc>
          <w:tcPr>
            <w:tcW w:type="dxa" w:w="2160"/>
          </w:tcPr>
          <w:p>
            <w:r>
              <w:t>Most recent accounts year end</w:t>
            </w:r>
          </w:p>
        </w:tc>
        <w:tc>
          <w:tcPr>
            <w:tcW w:type="dxa" w:w="2160"/>
          </w:tcPr>
          <w:p>
            <w:r>
              <w:t>If 2.2 &gt;= 10000</w:t>
            </w:r>
          </w:p>
        </w:tc>
        <w:tc>
          <w:tcPr>
            <w:tcW w:type="dxa" w:w="2160"/>
          </w:tcPr>
          <w:p>
            <w:r/>
          </w:p>
        </w:tc>
      </w:tr>
      <w:tr>
        <w:tc>
          <w:tcPr>
            <w:tcW w:type="dxa" w:w="2160"/>
          </w:tcPr>
          <w:p>
            <w:r>
              <w:t>7.2</w:t>
            </w:r>
          </w:p>
        </w:tc>
        <w:tc>
          <w:tcPr>
            <w:tcW w:type="dxa" w:w="2160"/>
          </w:tcPr>
          <w:p>
            <w:r>
              <w:t>Reserves policy contact</w:t>
            </w:r>
          </w:p>
        </w:tc>
        <w:tc>
          <w:tcPr>
            <w:tcW w:type="dxa" w:w="2160"/>
          </w:tcPr>
          <w:p>
            <w:r>
              <w:t>If 2.2 &gt;= 10000</w:t>
            </w:r>
          </w:p>
        </w:tc>
        <w:tc>
          <w:tcPr>
            <w:tcW w:type="dxa" w:w="2160"/>
          </w:tcPr>
          <w:p>
            <w:r/>
          </w:p>
        </w:tc>
      </w:tr>
      <w:tr>
        <w:tc>
          <w:tcPr>
            <w:tcW w:type="dxa" w:w="2160"/>
          </w:tcPr>
          <w:p>
            <w:r>
              <w:t>3.1</w:t>
            </w:r>
          </w:p>
        </w:tc>
        <w:tc>
          <w:tcPr>
            <w:tcW w:type="dxa" w:w="2160"/>
          </w:tcPr>
          <w:p>
            <w:r>
              <w:t>Involves capital works</w:t>
            </w:r>
          </w:p>
        </w:tc>
        <w:tc>
          <w:tcPr>
            <w:tcW w:type="dxa" w:w="2160"/>
          </w:tcPr>
          <w:p>
            <w:r>
              <w:t>Always</w:t>
            </w:r>
          </w:p>
        </w:tc>
        <w:tc>
          <w:tcPr>
            <w:tcW w:type="dxa" w:w="2160"/>
          </w:tcPr>
          <w:p>
            <w:r>
              <w:t>G</w:t>
            </w:r>
          </w:p>
        </w:tc>
      </w:tr>
      <w:tr>
        <w:tc>
          <w:tcPr>
            <w:tcW w:type="dxa" w:w="2160"/>
          </w:tcPr>
          <w:p>
            <w:r>
              <w:t>4.1</w:t>
            </w:r>
          </w:p>
        </w:tc>
        <w:tc>
          <w:tcPr>
            <w:tcW w:type="dxa" w:w="2160"/>
          </w:tcPr>
          <w:p>
            <w:r>
              <w:t>Site address</w:t>
            </w:r>
          </w:p>
        </w:tc>
        <w:tc>
          <w:tcPr>
            <w:tcW w:type="dxa" w:w="2160"/>
          </w:tcPr>
          <w:p>
            <w:r>
              <w:t>If 3.1 = Yes</w:t>
            </w:r>
          </w:p>
        </w:tc>
        <w:tc>
          <w:tcPr>
            <w:tcW w:type="dxa" w:w="2160"/>
          </w:tcPr>
          <w:p>
            <w:r/>
          </w:p>
        </w:tc>
      </w:tr>
      <w:tr>
        <w:tc>
          <w:tcPr>
            <w:tcW w:type="dxa" w:w="2160"/>
          </w:tcPr>
          <w:p>
            <w:r>
              <w:t>4.2</w:t>
            </w:r>
          </w:p>
        </w:tc>
        <w:tc>
          <w:tcPr>
            <w:tcW w:type="dxa" w:w="2160"/>
          </w:tcPr>
          <w:p>
            <w:r>
              <w:t>Landowner consent reference</w:t>
            </w:r>
          </w:p>
        </w:tc>
        <w:tc>
          <w:tcPr>
            <w:tcW w:type="dxa" w:w="2160"/>
          </w:tcPr>
          <w:p>
            <w:r>
              <w:t>If 3.1 = Yes</w:t>
            </w:r>
          </w:p>
        </w:tc>
        <w:tc>
          <w:tcPr>
            <w:tcW w:type="dxa" w:w="2160"/>
          </w:tcPr>
          <w:p>
            <w:r/>
          </w:p>
        </w:tc>
      </w:tr>
      <w:tr>
        <w:tc>
          <w:tcPr>
            <w:tcW w:type="dxa" w:w="2160"/>
          </w:tcPr>
          <w:p>
            <w:r>
              <w:t>4.3</w:t>
            </w:r>
          </w:p>
        </w:tc>
        <w:tc>
          <w:tcPr>
            <w:tcW w:type="dxa" w:w="2160"/>
          </w:tcPr>
          <w:p>
            <w:r>
              <w:t>Consent expiry date</w:t>
            </w:r>
          </w:p>
        </w:tc>
        <w:tc>
          <w:tcPr>
            <w:tcW w:type="dxa" w:w="2160"/>
          </w:tcPr>
          <w:p>
            <w:r>
              <w:t>If 3.1 = Yes</w:t>
            </w:r>
          </w:p>
        </w:tc>
        <w:tc>
          <w:tcPr>
            <w:tcW w:type="dxa" w:w="2160"/>
          </w:tcPr>
          <w:p>
            <w:r/>
          </w:p>
        </w:tc>
      </w:tr>
      <w:tr>
        <w:tc>
          <w:tcPr>
            <w:tcW w:type="dxa" w:w="2160"/>
          </w:tcPr>
          <w:p>
            <w:r>
              <w:t>5.1</w:t>
            </w:r>
          </w:p>
        </w:tc>
        <w:tc>
          <w:tcPr>
            <w:tcW w:type="dxa" w:w="2160"/>
          </w:tcPr>
          <w:p>
            <w:r>
              <w:t>Involves under-18s or vulnerable adults</w:t>
            </w:r>
          </w:p>
        </w:tc>
        <w:tc>
          <w:tcPr>
            <w:tcW w:type="dxa" w:w="2160"/>
          </w:tcPr>
          <w:p>
            <w:r>
              <w:t>Always</w:t>
            </w:r>
          </w:p>
        </w:tc>
        <w:tc>
          <w:tcPr>
            <w:tcW w:type="dxa" w:w="2160"/>
          </w:tcPr>
          <w:p>
            <w:r>
              <w:t>G</w:t>
            </w:r>
          </w:p>
        </w:tc>
      </w:tr>
      <w:tr>
        <w:tc>
          <w:tcPr>
            <w:tcW w:type="dxa" w:w="2160"/>
          </w:tcPr>
          <w:p>
            <w:r>
              <w:t>6.1</w:t>
            </w:r>
          </w:p>
        </w:tc>
        <w:tc>
          <w:tcPr>
            <w:tcW w:type="dxa" w:w="2160"/>
          </w:tcPr>
          <w:p>
            <w:r>
              <w:t>Safeguarding lead name</w:t>
            </w:r>
          </w:p>
        </w:tc>
        <w:tc>
          <w:tcPr>
            <w:tcW w:type="dxa" w:w="2160"/>
          </w:tcPr>
          <w:p>
            <w:r>
              <w:t>If 5.1 = Yes</w:t>
            </w:r>
          </w:p>
        </w:tc>
        <w:tc>
          <w:tcPr>
            <w:tcW w:type="dxa" w:w="2160"/>
          </w:tcPr>
          <w:p>
            <w:r/>
          </w:p>
        </w:tc>
      </w:tr>
      <w:tr>
        <w:tc>
          <w:tcPr>
            <w:tcW w:type="dxa" w:w="2160"/>
          </w:tcPr>
          <w:p>
            <w:r>
              <w:t>6.2</w:t>
            </w:r>
          </w:p>
        </w:tc>
        <w:tc>
          <w:tcPr>
            <w:tcW w:type="dxa" w:w="2160"/>
          </w:tcPr>
          <w:p>
            <w:r>
              <w:t>Safeguarding policy review date</w:t>
            </w:r>
          </w:p>
        </w:tc>
        <w:tc>
          <w:tcPr>
            <w:tcW w:type="dxa" w:w="2160"/>
          </w:tcPr>
          <w:p>
            <w:r>
              <w:t>If 5.1 = Yes</w:t>
            </w:r>
          </w:p>
        </w:tc>
        <w:tc>
          <w:tcPr>
            <w:tcW w:type="dxa" w:w="2160"/>
          </w:tcPr>
          <w:p>
            <w:r/>
          </w:p>
        </w:tc>
      </w:tr>
    </w:tbl>
    <w:p>
      <w:pPr>
        <w:pStyle w:val="Heading2"/>
      </w:pPr>
      <w:r>
        <w:t>C.3 Conditional requirements</w:t>
      </w:r>
    </w:p>
    <w:p>
      <w:r>
        <w:t>An item whose Required cell names a condition is required only when that condition holds on the governing form. When the condition does not hold the item is expected to be blank, the blank is correct, and it is not a missing item: it must not be listed.</w:t>
      </w:r>
    </w:p>
    <w:p>
      <w:r>
        <w:t>The condition 'If 2.2 &gt;= 10000' is inclusive. A requested amount of exactly ten thousand pounds requires items 7.1 and 7.2; nine thousand nine hundred and ninety-nine pounds does not.</w:t>
      </w:r>
    </w:p>
    <w:p>
      <w:r>
        <w:t>Where the item a condition depends on is itself a missing item on this form - blank, a placeholder under C.5, or implausible under C.4 - the condition cannot be evaluated. In that case the items it gates are treated as required, and any of them that is blank or implausible is a missing item. An empty cell counts here exactly as a placeholder or an implausible value does.</w:t>
      </w:r>
    </w:p>
    <w:p>
      <w:pPr>
        <w:pStyle w:val="Heading2"/>
      </w:pPr>
      <w:r>
        <w:t>C.4 Value tests</w:t>
      </w:r>
    </w:p>
    <w:p>
      <w:r>
        <w:t>Some items are tested for more than presence. The notation used in the table below reads as follows.</w:t>
      </w:r>
    </w:p>
    <w:p>
      <w:r>
        <w:t>digits(6-8) - the value consists only of digits and is between six and eight digits long.</w:t>
      </w:r>
    </w:p>
    <w:p>
      <w:r>
        <w:t>date &lt;= Submitted - the value is a calendar date written YYYY-MM-DD that falls on or before the form's own Submitted date. A date equal to the Submitted date passes.</w:t>
      </w:r>
    </w:p>
    <w:p>
      <w:r>
        <w:t>date &gt; Submitted - the value is a calendar date written YYYY-MM-DD that falls strictly after the form's own Submitted date. A date equal to the Submitted date fails.</w:t>
      </w:r>
    </w:p>
    <w:p>
      <w:r>
        <w:t>enum(Yes,No) - the value reads Yes or No, in any capitalisation. Anything else, including Maybe or Unknown, fails.</w:t>
      </w:r>
    </w:p>
    <w:p>
      <w:r>
        <w:t>GBP 500-25000 - after removing a leading pound sign, spaces and thousands separators, the value is a whole number of pounds from 500 to 25000, both bounds included. A value carrying pence, meaning any fractional part other than a trailing .00, fails the test: amounts are never rounded in order to pass it, and no figure in this appendix is rounded for any other purpose either.</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Test</w:t>
            </w:r>
          </w:p>
        </w:tc>
      </w:tr>
      <w:tr>
        <w:tc>
          <w:tcPr>
            <w:tcW w:type="dxa" w:w="4320"/>
          </w:tcPr>
          <w:p>
            <w:r>
              <w:t>1.3</w:t>
            </w:r>
          </w:p>
        </w:tc>
        <w:tc>
          <w:tcPr>
            <w:tcW w:type="dxa" w:w="4320"/>
          </w:tcPr>
          <w:p>
            <w:r>
              <w:t>digits(6-8)</w:t>
            </w:r>
          </w:p>
        </w:tc>
      </w:tr>
      <w:tr>
        <w:tc>
          <w:tcPr>
            <w:tcW w:type="dxa" w:w="4320"/>
          </w:tcPr>
          <w:p>
            <w:r>
              <w:t>1.4</w:t>
            </w:r>
          </w:p>
        </w:tc>
        <w:tc>
          <w:tcPr>
            <w:tcW w:type="dxa" w:w="4320"/>
          </w:tcPr>
          <w:p>
            <w:r>
              <w:t>date &lt;= Submitted</w:t>
            </w:r>
          </w:p>
        </w:tc>
      </w:tr>
      <w:tr>
        <w:tc>
          <w:tcPr>
            <w:tcW w:type="dxa" w:w="4320"/>
          </w:tcPr>
          <w:p>
            <w:r>
              <w:t>2.2</w:t>
            </w:r>
          </w:p>
        </w:tc>
        <w:tc>
          <w:tcPr>
            <w:tcW w:type="dxa" w:w="4320"/>
          </w:tcPr>
          <w:p>
            <w:r>
              <w:t>GBP 500-25000</w:t>
            </w:r>
          </w:p>
        </w:tc>
      </w:tr>
      <w:tr>
        <w:tc>
          <w:tcPr>
            <w:tcW w:type="dxa" w:w="4320"/>
          </w:tcPr>
          <w:p>
            <w:r>
              <w:t>2.3</w:t>
            </w:r>
          </w:p>
        </w:tc>
        <w:tc>
          <w:tcPr>
            <w:tcW w:type="dxa" w:w="4320"/>
          </w:tcPr>
          <w:p>
            <w:r>
              <w:t>date &gt; Submitted</w:t>
            </w:r>
          </w:p>
        </w:tc>
      </w:tr>
      <w:tr>
        <w:tc>
          <w:tcPr>
            <w:tcW w:type="dxa" w:w="4320"/>
          </w:tcPr>
          <w:p>
            <w:r>
              <w:t>7.1</w:t>
            </w:r>
          </w:p>
        </w:tc>
        <w:tc>
          <w:tcPr>
            <w:tcW w:type="dxa" w:w="4320"/>
          </w:tcPr>
          <w:p>
            <w:r>
              <w:t>date &lt;= Submitted</w:t>
            </w:r>
          </w:p>
        </w:tc>
      </w:tr>
      <w:tr>
        <w:tc>
          <w:tcPr>
            <w:tcW w:type="dxa" w:w="4320"/>
          </w:tcPr>
          <w:p>
            <w:r>
              <w:t>3.1</w:t>
            </w:r>
          </w:p>
        </w:tc>
        <w:tc>
          <w:tcPr>
            <w:tcW w:type="dxa" w:w="4320"/>
          </w:tcPr>
          <w:p>
            <w:r>
              <w:t>enum(Yes,No)</w:t>
            </w:r>
          </w:p>
        </w:tc>
      </w:tr>
      <w:tr>
        <w:tc>
          <w:tcPr>
            <w:tcW w:type="dxa" w:w="4320"/>
          </w:tcPr>
          <w:p>
            <w:r>
              <w:t>4.3</w:t>
            </w:r>
          </w:p>
        </w:tc>
        <w:tc>
          <w:tcPr>
            <w:tcW w:type="dxa" w:w="4320"/>
          </w:tcPr>
          <w:p>
            <w:r>
              <w:t>date &gt; Submitted</w:t>
            </w:r>
          </w:p>
        </w:tc>
      </w:tr>
      <w:tr>
        <w:tc>
          <w:tcPr>
            <w:tcW w:type="dxa" w:w="4320"/>
          </w:tcPr>
          <w:p>
            <w:r>
              <w:t>5.1</w:t>
            </w:r>
          </w:p>
        </w:tc>
        <w:tc>
          <w:tcPr>
            <w:tcW w:type="dxa" w:w="4320"/>
          </w:tcPr>
          <w:p>
            <w:r>
              <w:t>enum(Yes,No)</w:t>
            </w:r>
          </w:p>
        </w:tc>
      </w:tr>
      <w:tr>
        <w:tc>
          <w:tcPr>
            <w:tcW w:type="dxa" w:w="4320"/>
          </w:tcPr>
          <w:p>
            <w:r>
              <w:t>6.2</w:t>
            </w:r>
          </w:p>
        </w:tc>
        <w:tc>
          <w:tcPr>
            <w:tcW w:type="dxa" w:w="4320"/>
          </w:tcPr>
          <w:p>
            <w:r>
              <w:t>date &lt;= Submitted</w:t>
            </w:r>
          </w:p>
        </w:tc>
      </w:tr>
    </w:tbl>
    <w:p>
      <w:r>
        <w:t>An item carrying a value that fails its test is implausible. An implausible item counts as missing in exactly the way a blank does, and is listed in the same way. Items not named in the table above are tested for presence only.</w:t>
      </w:r>
    </w:p>
    <w:p>
      <w:r>
        <w:t>Dates are read against the Submitted line of the form being triaged, never against the date on which the triage is carried out. Two forms carrying the same date value can therefore come out differently.</w:t>
      </w:r>
    </w:p>
    <w:p>
      <w:pPr>
        <w:pStyle w:val="Heading2"/>
      </w:pPr>
      <w:r>
        <w:t>C.5 Placeholders</w:t>
      </w:r>
    </w:p>
    <w:p>
      <w:r>
        <w:t>The tokens TBC, TBD, N/A, NA, -, --, to follow and not known are placeholders, in any capitalisation and ignoring surrounding whitespace. An item carrying a placeholder is blank for every purpose in this appendix: it is a missing item when the item is required, and it does not count as an answer under C.6.</w:t>
      </w:r>
    </w:p>
    <w:p>
      <w:pPr>
        <w:pStyle w:val="Heading2"/>
      </w:pPr>
      <w:r>
        <w:t>C.6 Contradiction between sections</w:t>
      </w:r>
    </w:p>
    <w:p>
      <w:r>
        <w:t>A form contradicts itself when a gate reads No and the items that gate would have opened carry answers anyway: when 3.1 reads No and any of 4.1, 4.2 or 4.3 carries an answer, or when 5.1 reads No and either 6.1 or 6.2 carries an answer.</w:t>
      </w:r>
    </w:p>
    <w:p>
      <w:r>
        <w:t>The intake desk does not decide which of the two sections is right. Do not re-read the gate as though it said Yes, do not disregard the surplus answers, and do not assess the form for completeness. The form is flagged and referred to the assessment officer under D.7.</w:t>
      </w:r>
    </w:p>
    <w:p>
      <w:pPr>
        <w:pStyle w:val="Heading2"/>
      </w:pPr>
      <w:r>
        <w:t>C.7 Status</w:t>
      </w:r>
    </w:p>
    <w:p>
      <w:r>
        <w:t>Apply these tests in order.</w:t>
      </w:r>
    </w:p>
    <w:p>
      <w:r>
        <w:t>(a) If the form contradicts itself under C.6, its status is Flag and no completeness assessment is made.</w:t>
      </w:r>
    </w:p>
    <w:p>
      <w:r>
        <w:t>(b) Otherwise assemble the missing items: every item that is required on this form under C.2 and C.3 and is blank or implausible under C.4 and C.5, listed in checklist order.</w:t>
      </w:r>
    </w:p>
    <w:p>
      <w:r>
        <w:t>(c) If nothing is missing, the status is Complete.</w:t>
      </w:r>
    </w:p>
    <w:p>
      <w:r>
        <w:t>(d) If any missing item is marked G in C.2, or if five (5) or more items are missing, the status is Reject. Four missing items with no gateway among them is Fixable; five is Reject.</w:t>
      </w:r>
    </w:p>
    <w:p>
      <w:r>
        <w:t>(e) Otherwise the status is Fixable.</w:t>
      </w:r>
    </w:p>
    <w:p>
      <w:pPr>
        <w:pStyle w:val="Heading2"/>
      </w:pPr>
      <w:r>
        <w:t>C.8 The triage sheet</w:t>
      </w:r>
    </w:p>
    <w:p>
      <w:r>
        <w:t>Record the outcome in triage.xlsx in the workspace root, on a sheet named Triage. Row 1 carries the headers FormID, Status and MissingItems, in that order and with nothing else on the row. There is one row per in-scope form, in ascending FormID order. Do not add columns, totals or a second header row.</w:t>
      </w:r>
    </w:p>
    <w:p>
      <w:r>
        <w:t>Status is one of Complete, Fixable, Reject or Flag. No other word is accepted; capitalisation is not read.</w:t>
      </w:r>
    </w:p>
    <w:p>
      <w:r>
        <w:t>MissingItems carries the item codes of the missing items in checklist order, separated by a semicolon and a space, for example: 2.3; 7.2; 4.1.</w:t>
      </w:r>
    </w:p>
    <w:p>
      <w:r>
        <w:t>Two MissingItems values are not lists of items, and which of the two applies depends on why there is no list. Write NONE when the form is Complete and nothing is missing. Write CONTRADICTION when the form is Flag and completeness was therefore never assessed. An empty cell, a zero and a dash are none of these and are not accepted, and the two sentinels are not interchangeable.</w:t>
      </w:r>
    </w:p>
    <w:p>
      <w:r>
        <w:t>The file checklist/Triage_Format_Example.xlsx shows the layout.</w:t>
      </w:r>
    </w:p>
    <w:p>
      <w:pPr>
        <w:pStyle w:val="Heading2"/>
      </w:pPr>
      <w:r>
        <w:t>C.9 Recording</w:t>
      </w:r>
    </w:p>
    <w:p>
      <w:r>
        <w:t>Record computed values, not formulas. A cell carrying =IF(...) is not a recorded outcome: the sheet leaves this office and is audited where the workbook's formulas cannot be recalculated.</w:t>
      </w:r>
    </w:p>
    <w:p>
      <w:r>
        <w:t>The triage sheet is the intake record. Do not amend the submitted forms, do not move or delete files from the submissions folder, and do not fill in an item on an applicant's behalf.</w:t>
      </w:r>
    </w:p>
    <w:p>
      <w:pPr>
        <w:pStyle w:val="Heading1"/>
      </w:pPr>
      <w:r>
        <w:t>Appendix D - Appeals and review</w:t>
      </w:r>
    </w:p>
    <w:p>
      <w:r>
        <w:t>D.1 An applicant may ask for a decision to be reviewed on one ground only: that the programme did not follow its own published process. Disagreement with the panel's judgement is not a ground for review.</w:t>
      </w:r>
    </w:p>
    <w:p>
      <w:r>
        <w:t>D.2 A request for review is made in writing within twenty-eight days of the decision letter and states which step of the process the applicant says was not followed.</w:t>
      </w:r>
    </w:p>
    <w:p>
      <w:r>
        <w:t>D.3 The review is carried out by an officer who took no part in the original decision. The reviewing officer may confirm the decision, or may return the application to the panel to be taken again.</w:t>
      </w:r>
    </w:p>
    <w:p>
      <w:r>
        <w:t>D.4 The reviewing officer does not substitute their own assessment for the panel's and does not consider material the applicant could have supplied before the decision.</w:t>
      </w:r>
    </w:p>
    <w:p>
      <w:r>
        <w:t>D.5 Where the review concerns an intake outcome, the reviewing officer reads the form as it stood at intake. Items supplied after the triage sheet was produced are not considered, though they may support a fresh application in a later cycle.</w:t>
      </w:r>
    </w:p>
    <w:p>
      <w:r>
        <w:t>D.6 A form triaged as fixable is not a decision and carries no right of review; the applicant is invited to supply the outstanding items and the form is triaged again.</w:t>
      </w:r>
    </w:p>
    <w:p>
      <w:r>
        <w:t>D.7 A form triaged as flagged is not a decision either. It is referred to the assessment officer, who decides with the applicant which of the conflicting answers stands, and the corrected form re-enters intake as a revision.</w:t>
      </w:r>
    </w:p>
    <w:p>
      <w:r>
        <w:t>D.8 The outcome of a review is notified within twenty working days and is recorded in the programme's decision register.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Meridian intake desk</cp:lastModifiedBy>
  <cp:revision>1</cp:revision>
  <dcterms:created xsi:type="dcterms:W3CDTF">2027-05-01T09:00:00Z</dcterms:created>
  <dcterms:modified xsi:type="dcterms:W3CDTF">2027-05-01T09:00:00Z</dcterms:modified>
  <cp:category/>
</cp:coreProperties>
</file>