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 Expense Policy</w:t>
      </w:r>
    </w:p>
    <w:p>
      <w:r>
        <w:t>Document: Group Expense Policy</w:t>
      </w:r>
    </w:p>
    <w:p>
      <w:r>
        <w:t>Version: v3</w:t>
      </w:r>
    </w:p>
    <w:p>
      <w:r>
        <w:t>Status: APPROVED</w:t>
      </w:r>
    </w:p>
    <w:p>
      <w:r>
        <w:t>Effective date: 2026-01-01</w:t>
      </w:r>
    </w:p>
    <w:p>
      <w:r>
        <w:t>Supersedes: v2 (effective 2025-07-01)</w:t>
      </w:r>
    </w:p>
    <w:p>
      <w:r>
        <w:t>Document owner: Group Finance, Travel and Subsistence</w:t>
      </w:r>
    </w:p>
    <w:p>
      <w:r>
        <w:t>Approved by the Finance Committee on 2025-11-14.</w:t>
      </w:r>
    </w:p>
    <w:p>
      <w:pPr>
        <w:pStyle w:val="Heading1"/>
      </w:pPr>
      <w:r>
        <w:t>1. Purpose and scope</w:t>
      </w:r>
    </w:p>
    <w:p>
      <w:r>
        <w:t>This policy sets out the terms on which the group meets the cost of business travel undertaken by its employees, by contractors engaged on a time basis, and by candidates attending interview at the group's invitation. It covers the authorisation of travel, the classes of expenditure that may be recovered, the evidence that must accompany a claim, and the ceilings that apply to each class.</w:t>
      </w:r>
    </w:p>
    <w:p>
      <w:r>
        <w:t>Subsistence, for the purposes of this policy, means the cost of meals and small incidental purchases made by a traveller during a period of business travel. It does not include accommodation, which is treated separately in section 6, nor entertainment of clients, which is governed by the Business Development Standard and is outside the scope of this document.</w:t>
      </w:r>
    </w:p>
    <w:p>
      <w:r>
        <w:t>Where this policy is silent, the group's general Financial Regulations apply. Where this policy conflicts with a written contractual commitment made to an individual before its effective date, the contractual commitment prevails for the term of that commitment and the difference is charged to the sponsoring department rather than to the central travel budget.</w:t>
      </w:r>
    </w:p>
    <w:p>
      <w:r>
        <w:t>Nothing in this policy creates an entitlement to travel. Every journey is discretionary and must be justified against the objective it serves.</w:t>
      </w:r>
    </w:p>
    <w:p>
      <w:pPr>
        <w:pStyle w:val="Heading1"/>
      </w:pPr>
      <w:r>
        <w:t>2. Application</w:t>
      </w:r>
    </w:p>
    <w:p>
      <w:r>
        <w:t>This policy applies to every business unit of the group, including units acquired during the life of the document, from the first day of the month following completion of the acquisition. Joint ventures in which the group holds a non-controlling interest are outside its scope unless the joint venture agreement adopts it expressly.</w:t>
      </w:r>
    </w:p>
    <w:p>
      <w:r>
        <w:t>Travellers are responsible for knowing the terms of the policy that applied when they incurred an expense. Line managers are responsible for satisfying themselves that a claim they countersign is consistent with those terms. Accounts payable is responsible for the arithmetic and for the evidence trail.</w:t>
      </w:r>
    </w:p>
    <w:p>
      <w:r>
        <w:t>A traveller who is uncertain whether a proposed cost is recoverable should ask before incurring it. The group does not undertake to meet a cost merely because it was incurred in good faith.</w:t>
      </w:r>
    </w:p>
    <w:p>
      <w:pPr>
        <w:pStyle w:val="Heading1"/>
      </w:pPr>
      <w:r>
        <w:t>3. Booking and prior authorisation</w:t>
      </w:r>
    </w:p>
    <w:p>
      <w:r>
        <w:t>All flights, rail journeys crossing an international border, and hotel stays of three nights or more must be booked through the group's contracted travel desk. Bookings made outside that channel are recoverable only where the traveller can show that the travel desk was unable to fulfil the request and that the alternative was no more expensive.</w:t>
      </w:r>
    </w:p>
    <w:p>
      <w:r>
        <w:t>Prior authorisation is required for any journey whose total forecast cost exceeds the departmental threshold published each year by Group Finance. Authorisation is given against the forecast; it is not an approval of the claim that follows, and it does not alter the ceilings in the appendices to this document.</w:t>
      </w:r>
    </w:p>
    <w:p>
      <w:r>
        <w:t>Cancellation charges are recoverable where the cancellation arose from a change in business need or from circumstances outside the traveller's control. They are not recoverable where the traveller failed to cancel a booking that was no longer required.</w:t>
      </w:r>
    </w:p>
    <w:p>
      <w:r>
        <w:t>Rail travel is the default mode for journeys where a scheduled rail service connects the origin and destination in under five hours door to door.</w:t>
      </w:r>
    </w:p>
    <w:p>
      <w:pPr>
        <w:pStyle w:val="Heading1"/>
      </w:pPr>
      <w:r>
        <w:t>4. Receipts and supporting evidence</w:t>
      </w:r>
    </w:p>
    <w:p>
      <w:r>
        <w:t>A claim line must be supported by a receipt where the settled amount of that line is 25.00 or more. The test is applied to the settled amount, that is to the amount after conversion to sterling under section 8, and it is inclusive: a line whose settled amount is exactly 25.00 requires a receipt.</w:t>
      </w:r>
    </w:p>
    <w:p>
      <w:r>
        <w:t>A receipt for these purposes is a document issued by the supplier that shows the supplier's name, the date, the goods or services supplied and the amount paid. A card statement, a booking confirmation or a screenshot of an order page is not a receipt. Where a supplier has issued no receipt and cannot be induced to do so, the traveller may substitute a written declaration countersigned by the line manager; the declaration is treated as a receipt for the purposes of this section.</w:t>
      </w:r>
    </w:p>
    <w:p>
      <w:r>
        <w:t>A line that requires a receipt and is submitted without one is rejected. Accounts payable does not hold such a line open pending the arrival of evidence, because the practice was found during the last assurance review to leave claims unresolved for months at a time. The traveller may resubmit the line with the receipt attached.</w:t>
      </w:r>
    </w:p>
    <w:p>
      <w:r>
        <w:t>Lines below the threshold may be claimed without a receipt, but the traveller must still be able to describe the expenditure if asked during sampling.</w:t>
      </w:r>
    </w:p>
    <w:p>
      <w:pPr>
        <w:pStyle w:val="Heading1"/>
      </w:pPr>
      <w:r>
        <w:t>5. Subsistence while travelling</w:t>
      </w:r>
    </w:p>
    <w:p>
      <w:r>
        <w:t>Subsistence is reimbursed on the basis of actual expenditure, subject to a daily ceiling that depends on the destination. The ceilings are set out in Appendix B and are reviewed at each revision of this policy. They are expressed in sterling and are inclusive of service charges and local taxes.</w:t>
      </w:r>
    </w:p>
    <w:p>
      <w:r>
        <w:t>The ceiling is a ceiling and not an allowance. A traveller who spends less than the ceiling recovers what was spent. A traveller who spends more recovers nothing for that line; the excess is not carried into another day and is not offset against an underspend elsewhere in the same trip.</w:t>
      </w:r>
    </w:p>
    <w:p>
      <w:r>
        <w:t>The destination of a line is the place where the expenditure was incurred, not the traveller's home location and not the place the trip was booked from. Where the destination is not named in Appendix B, the row for all other locations applies.</w:t>
      </w:r>
    </w:p>
    <w:p>
      <w:r>
        <w:t>Alcohol is not recoverable as subsistence. Where a receipt covers a mixed purchase, the traveller must apportion it and claim only the recoverable part.</w:t>
      </w:r>
    </w:p>
    <w:p>
      <w:pPr>
        <w:pStyle w:val="Heading1"/>
      </w:pPr>
      <w:r>
        <w:t>6. Accommodation</w:t>
      </w:r>
    </w:p>
    <w:p>
      <w:r>
        <w:t>Accommodation is reimbursed on the basis of actual expenditure, subject to the nightly ceilings in Appendix A. Those ceilings are separate from the subsistence ceilings in Appendix B and the two are never combined: a hotel bill that includes an evening meal must be split, with the room charge tested against Appendix A and the meal against Appendix B.</w:t>
      </w:r>
    </w:p>
    <w:p>
      <w:r>
        <w:t>Where the travel desk is unable to secure a room within the nightly ceiling, it may authorise an overshoot at the time of booking and will record the authorisation against the booking reference. An overshoot authorised in that way is recoverable in full.</w:t>
      </w:r>
    </w:p>
    <w:p>
      <w:r>
        <w:t>Stays in private accommodation attract a flat contribution set annually by Group Finance and published on the intranet. No receipt is required for that contribution and it is not tested against Appendix A.</w:t>
      </w:r>
    </w:p>
    <w:p>
      <w:pPr>
        <w:pStyle w:val="Heading1"/>
      </w:pPr>
      <w:r>
        <w:t>7. Ground transport and incidentals</w:t>
      </w:r>
    </w:p>
    <w:p>
      <w:r>
        <w:t>Taxis are recoverable where public transport is unavailable, where the traveller is carrying equipment, or where the journey takes place between 22:00 and 06:00 local time. Ride-hailing services are treated as taxis. Vehicle hire requires prior authorisation and is recoverable only at the standard class published by the travel desk.</w:t>
      </w:r>
    </w:p>
    <w:p>
      <w:r>
        <w:t>Mileage in a private vehicle is recoverable at the rate published by Group Finance for the tax year in which the journey took place. The rate is not restated in this policy because it changes on a different cycle.</w:t>
      </w:r>
    </w:p>
    <w:p>
      <w:r>
        <w:t>Incidental expenditure, meaning laundry on trips of five nights or more, reasonable personal telephone calls, and baggage charges on flights, is recoverable within the subsistence ceiling for the destination and is not additional to it.</w:t>
      </w:r>
    </w:p>
    <w:p>
      <w:pPr>
        <w:pStyle w:val="Heading1"/>
      </w:pPr>
      <w:r>
        <w:t>8. Currency and settlement</w:t>
      </w:r>
    </w:p>
    <w:p>
      <w:r>
        <w:t>Expenditure incurred in a currency other than sterling is converted at the settlement rate for that currency published in Appendix C. The published rate is used in preference to the rate shown on a card statement, so that two travellers who spent the same amount on the same day recover the same amount.</w:t>
      </w:r>
    </w:p>
    <w:p>
      <w:r>
        <w:t>The converted figure is rounded to two decimal places. Where the third decimal place is exactly five, the figure is rounded away from zero, that is upward for the positive amounts this policy deals with. All ceiling and threshold tests in this policy are applied to the rounded figure and not to the unrounded product.</w:t>
      </w:r>
    </w:p>
    <w:p>
      <w:r>
        <w:t>Card fees, foreign exchange loading and cash withdrawal charges are recoverable as a separate line and are not tested against the subsistence ceiling.</w:t>
      </w:r>
    </w:p>
    <w:p>
      <w:r>
        <w:t>Where a currency is not listed in Appendix C, the traveller should contact accounts payable before submitting the claim.</w:t>
      </w:r>
    </w:p>
    <w:p>
      <w:pPr>
        <w:pStyle w:val="Heading1"/>
      </w:pPr>
      <w:r>
        <w:t>9. Submission and deadlines</w:t>
      </w:r>
    </w:p>
    <w:p>
      <w:r>
        <w:t>Claims are submitted through the expenses portal within sixty days of the last day of the trip to which they relate. A claim submitted after that period is considered only where the delay was outside the traveller's control, and requires the countersignature of a director.</w:t>
      </w:r>
    </w:p>
    <w:p>
      <w:r>
        <w:t>A claim may contain lines relating to more than one trip and to more than one month. Each line stands on its own: the date recorded against a line is the date the expenditure was incurred, and it is that date, rather than the date the claim was assembled or submitted, that determines the terms on which the line is judged.</w:t>
      </w:r>
    </w:p>
    <w:p>
      <w:r>
        <w:t>The group settles approved claims in the payroll run following approval. Partial settlement of a claim is normal where some lines are approved and others are not.</w:t>
      </w:r>
    </w:p>
    <w:p>
      <w:pPr>
        <w:pStyle w:val="Heading1"/>
      </w:pPr>
      <w:r>
        <w:t>10. Assurance and sampling</w:t>
      </w:r>
    </w:p>
    <w:p>
      <w:r>
        <w:t>Accounts payable samples approved claims each quarter and refers anomalies to internal audit. Sampling is risk-weighted: lines close to a ceiling, lines supported by a manager's declaration rather than a supplier receipt, and lines from travellers with a prior adverse finding are over-represented in the sample.</w:t>
      </w:r>
    </w:p>
    <w:p>
      <w:r>
        <w:t>A traveller whose claim is found on sampling to be materially misstated is required to repay the difference and the matter is reported to the relevant director. Repeated misstatement is a disciplinary matter.</w:t>
      </w:r>
    </w:p>
    <w:p>
      <w:r>
        <w:t>Internal audit reports annually to the Audit Committee on the operation of this policy, including the incidence of rejected lines by cause.</w:t>
      </w:r>
    </w:p>
    <w:p>
      <w:pPr>
        <w:pStyle w:val="Heading1"/>
      </w:pPr>
      <w:r>
        <w:t>11. Exceptions</w:t>
      </w:r>
    </w:p>
    <w:p>
      <w:r>
        <w:t>An exception to this policy may be granted only in writing and only by the Group Finance Director or a delegate named in the delegation of authority schedule. An exception is specific to the claim it names and creates no precedent.</w:t>
      </w:r>
    </w:p>
    <w:p>
      <w:r>
        <w:t>A request for an exception must set out the business reason, the amount at stake and the alternative that was considered. Exceptions are recorded in a register that is reviewed by the Audit Committee.</w:t>
      </w:r>
    </w:p>
    <w:p>
      <w:r>
        <w:t>No exception may be granted after a line has been rejected; the traveller must instead resubmit the line together with the written exception.</w:t>
      </w:r>
    </w:p>
    <w:p>
      <w:pPr>
        <w:pStyle w:val="Heading1"/>
      </w:pPr>
      <w:r>
        <w:t>12. Interpretation and amendment</w:t>
      </w:r>
    </w:p>
    <w:p>
      <w:r>
        <w:t>This policy is amended by publishing a new version. Each version carries an effective date on its first page and takes effect at the start of that date. A version does not have retrospective effect: expenditure incurred before the effective date of a version continues to be judged under the version that was in force when it was incurred, however long afterwards the claim is submitted or settled.</w:t>
      </w:r>
    </w:p>
    <w:p>
      <w:r>
        <w:t>A version that has been superseded is withdrawn from the policy library and retained in the archive so that older expenditure can still be assessed. A version that has been drafted but not approved has no effect of any kind.</w:t>
      </w:r>
    </w:p>
    <w:p>
      <w:r>
        <w:t>Questions of interpretation are settled by Group Finance. Where a question recurs, the answer is folded into the next revision rather than being maintained as a separate note.</w:t>
      </w:r>
    </w:p>
    <w:p>
      <w:pPr>
        <w:pStyle w:val="Heading1"/>
      </w:pPr>
      <w:r>
        <w:t>Appendix A. Nightly accommodation ceilings</w:t>
      </w:r>
    </w:p>
    <w:p>
      <w:r>
        <w:t>The figures below are the nightly ceilings referred to in section 6. They apply to the room charge alone, per traveller per night, and are exclusive of meals taken at the hotel, which are subsistence and are dealt with in section 5.</w:t>
      </w:r>
    </w:p>
    <w:tbl>
      <w:tblPr>
        <w:tblStyle w:val="TableGrid"/>
        <w:tblW w:type="auto" w:w="0"/>
        <w:tblLook w:firstColumn="1" w:firstRow="1" w:lastColumn="0" w:lastRow="0" w:noHBand="0" w:noVBand="1" w:val="04A0"/>
      </w:tblPr>
      <w:tblGrid>
        <w:gridCol w:w="4320"/>
        <w:gridCol w:w="4320"/>
      </w:tblGrid>
      <w:tr>
        <w:tc>
          <w:tcPr>
            <w:tcW w:type="dxa" w:w="4320"/>
          </w:tcPr>
          <w:p>
            <w:r>
              <w:t>Destination</w:t>
            </w:r>
          </w:p>
        </w:tc>
        <w:tc>
          <w:tcPr>
            <w:tcW w:type="dxa" w:w="4320"/>
          </w:tcPr>
          <w:p>
            <w:r>
              <w:t>Nightly accommodation ceiling (GBP)</w:t>
            </w:r>
          </w:p>
        </w:tc>
      </w:tr>
      <w:tr>
        <w:tc>
          <w:tcPr>
            <w:tcW w:type="dxa" w:w="4320"/>
          </w:tcPr>
          <w:p>
            <w:r>
              <w:t>Amsterdam</w:t>
            </w:r>
          </w:p>
        </w:tc>
        <w:tc>
          <w:tcPr>
            <w:tcW w:type="dxa" w:w="4320"/>
          </w:tcPr>
          <w:p>
            <w:r>
              <w:t>156.00</w:t>
            </w:r>
          </w:p>
        </w:tc>
      </w:tr>
      <w:tr>
        <w:tc>
          <w:tcPr>
            <w:tcW w:type="dxa" w:w="4320"/>
          </w:tcPr>
          <w:p>
            <w:r>
              <w:t>Berlin</w:t>
            </w:r>
          </w:p>
        </w:tc>
        <w:tc>
          <w:tcPr>
            <w:tcW w:type="dxa" w:w="4320"/>
          </w:tcPr>
          <w:p>
            <w:r>
              <w:t>144.00</w:t>
            </w:r>
          </w:p>
        </w:tc>
      </w:tr>
      <w:tr>
        <w:tc>
          <w:tcPr>
            <w:tcW w:type="dxa" w:w="4320"/>
          </w:tcPr>
          <w:p>
            <w:r>
              <w:t>Dublin</w:t>
            </w:r>
          </w:p>
        </w:tc>
        <w:tc>
          <w:tcPr>
            <w:tcW w:type="dxa" w:w="4320"/>
          </w:tcPr>
          <w:p>
            <w:r>
              <w:t>172.00</w:t>
            </w:r>
          </w:p>
        </w:tc>
      </w:tr>
      <w:tr>
        <w:tc>
          <w:tcPr>
            <w:tcW w:type="dxa" w:w="4320"/>
          </w:tcPr>
          <w:p>
            <w:r>
              <w:t>Lisbon</w:t>
            </w:r>
          </w:p>
        </w:tc>
        <w:tc>
          <w:tcPr>
            <w:tcW w:type="dxa" w:w="4320"/>
          </w:tcPr>
          <w:p>
            <w:r>
              <w:t>126.00</w:t>
            </w:r>
          </w:p>
        </w:tc>
      </w:tr>
      <w:tr>
        <w:tc>
          <w:tcPr>
            <w:tcW w:type="dxa" w:w="4320"/>
          </w:tcPr>
          <w:p>
            <w:r>
              <w:t>Porto</w:t>
            </w:r>
          </w:p>
        </w:tc>
        <w:tc>
          <w:tcPr>
            <w:tcW w:type="dxa" w:w="4320"/>
          </w:tcPr>
          <w:p>
            <w:r>
              <w:t>131.00</w:t>
            </w:r>
          </w:p>
        </w:tc>
      </w:tr>
      <w:tr>
        <w:tc>
          <w:tcPr>
            <w:tcW w:type="dxa" w:w="4320"/>
          </w:tcPr>
          <w:p>
            <w:r>
              <w:t>Zurich</w:t>
            </w:r>
          </w:p>
        </w:tc>
        <w:tc>
          <w:tcPr>
            <w:tcW w:type="dxa" w:w="4320"/>
          </w:tcPr>
          <w:p>
            <w:r>
              <w:t>198.00</w:t>
            </w:r>
          </w:p>
        </w:tc>
      </w:tr>
      <w:tr>
        <w:tc>
          <w:tcPr>
            <w:tcW w:type="dxa" w:w="4320"/>
          </w:tcPr>
          <w:p>
            <w:r>
              <w:t>All other locations</w:t>
            </w:r>
          </w:p>
        </w:tc>
        <w:tc>
          <w:tcPr>
            <w:tcW w:type="dxa" w:w="4320"/>
          </w:tcPr>
          <w:p>
            <w:r>
              <w:t>119.00</w:t>
            </w:r>
          </w:p>
        </w:tc>
      </w:tr>
    </w:tbl>
    <w:p>
      <w:pPr>
        <w:pStyle w:val="Heading1"/>
      </w:pPr>
      <w:r>
        <w:t>Appendix B. Daily subsistence ceilings</w:t>
      </w:r>
    </w:p>
    <w:p>
      <w:r>
        <w:t>The figures below are the daily ceilings for subsistence described in section 5. They are expressed in sterling and are applied to the settled amount of a line after conversion under section 8. A destination not named here takes the row for all other locations.</w:t>
      </w:r>
    </w:p>
    <w:tbl>
      <w:tblPr>
        <w:tblStyle w:val="TableGrid"/>
        <w:tblW w:type="auto" w:w="0"/>
        <w:tblLook w:firstColumn="1" w:firstRow="1" w:lastColumn="0" w:lastRow="0" w:noHBand="0" w:noVBand="1" w:val="04A0"/>
      </w:tblPr>
      <w:tblGrid>
        <w:gridCol w:w="4320"/>
        <w:gridCol w:w="4320"/>
      </w:tblGrid>
      <w:tr>
        <w:tc>
          <w:tcPr>
            <w:tcW w:type="dxa" w:w="4320"/>
          </w:tcPr>
          <w:p>
            <w:r>
              <w:t>Destination</w:t>
            </w:r>
          </w:p>
        </w:tc>
        <w:tc>
          <w:tcPr>
            <w:tcW w:type="dxa" w:w="4320"/>
          </w:tcPr>
          <w:p>
            <w:r>
              <w:t>Daily subsistence ceiling (GBP)</w:t>
            </w:r>
          </w:p>
        </w:tc>
      </w:tr>
      <w:tr>
        <w:tc>
          <w:tcPr>
            <w:tcW w:type="dxa" w:w="4320"/>
          </w:tcPr>
          <w:p>
            <w:r>
              <w:t>Amsterdam</w:t>
            </w:r>
          </w:p>
        </w:tc>
        <w:tc>
          <w:tcPr>
            <w:tcW w:type="dxa" w:w="4320"/>
          </w:tcPr>
          <w:p>
            <w:r>
              <w:t>62.00</w:t>
            </w:r>
          </w:p>
        </w:tc>
      </w:tr>
      <w:tr>
        <w:tc>
          <w:tcPr>
            <w:tcW w:type="dxa" w:w="4320"/>
          </w:tcPr>
          <w:p>
            <w:r>
              <w:t>Berlin</w:t>
            </w:r>
          </w:p>
        </w:tc>
        <w:tc>
          <w:tcPr>
            <w:tcW w:type="dxa" w:w="4320"/>
          </w:tcPr>
          <w:p>
            <w:r>
              <w:t>58.00</w:t>
            </w:r>
          </w:p>
        </w:tc>
      </w:tr>
      <w:tr>
        <w:tc>
          <w:tcPr>
            <w:tcW w:type="dxa" w:w="4320"/>
          </w:tcPr>
          <w:p>
            <w:r>
              <w:t>Dublin</w:t>
            </w:r>
          </w:p>
        </w:tc>
        <w:tc>
          <w:tcPr>
            <w:tcW w:type="dxa" w:w="4320"/>
          </w:tcPr>
          <w:p>
            <w:r>
              <w:t>71.00</w:t>
            </w:r>
          </w:p>
        </w:tc>
      </w:tr>
      <w:tr>
        <w:tc>
          <w:tcPr>
            <w:tcW w:type="dxa" w:w="4320"/>
          </w:tcPr>
          <w:p>
            <w:r>
              <w:t>Lisbon</w:t>
            </w:r>
          </w:p>
        </w:tc>
        <w:tc>
          <w:tcPr>
            <w:tcW w:type="dxa" w:w="4320"/>
          </w:tcPr>
          <w:p>
            <w:r>
              <w:t>49.00</w:t>
            </w:r>
          </w:p>
        </w:tc>
      </w:tr>
      <w:tr>
        <w:tc>
          <w:tcPr>
            <w:tcW w:type="dxa" w:w="4320"/>
          </w:tcPr>
          <w:p>
            <w:r>
              <w:t>Porto</w:t>
            </w:r>
          </w:p>
        </w:tc>
        <w:tc>
          <w:tcPr>
            <w:tcW w:type="dxa" w:w="4320"/>
          </w:tcPr>
          <w:p>
            <w:r>
              <w:t>54.00</w:t>
            </w:r>
          </w:p>
        </w:tc>
      </w:tr>
      <w:tr>
        <w:tc>
          <w:tcPr>
            <w:tcW w:type="dxa" w:w="4320"/>
          </w:tcPr>
          <w:p>
            <w:r>
              <w:t>Zurich</w:t>
            </w:r>
          </w:p>
        </w:tc>
        <w:tc>
          <w:tcPr>
            <w:tcW w:type="dxa" w:w="4320"/>
          </w:tcPr>
          <w:p>
            <w:r>
              <w:t>88.00</w:t>
            </w:r>
          </w:p>
        </w:tc>
      </w:tr>
      <w:tr>
        <w:tc>
          <w:tcPr>
            <w:tcW w:type="dxa" w:w="4320"/>
          </w:tcPr>
          <w:p>
            <w:r>
              <w:t>All other locations</w:t>
            </w:r>
          </w:p>
        </w:tc>
        <w:tc>
          <w:tcPr>
            <w:tcW w:type="dxa" w:w="4320"/>
          </w:tcPr>
          <w:p>
            <w:r>
              <w:t>44.00</w:t>
            </w:r>
          </w:p>
        </w:tc>
      </w:tr>
    </w:tbl>
    <w:p>
      <w:pPr>
        <w:pStyle w:val="Heading1"/>
      </w:pPr>
      <w:r>
        <w:t>Appendix C. Settlement rates</w:t>
      </w:r>
    </w:p>
    <w:p>
      <w:r>
        <w:t>The rates below convert an amount expressed in the stated currency into sterling. They are fixed for the life of this version of the policy and are not indexed between revisions.</w:t>
      </w:r>
    </w:p>
    <w:tbl>
      <w:tblPr>
        <w:tblStyle w:val="TableGrid"/>
        <w:tblW w:type="auto" w:w="0"/>
        <w:tblLook w:firstColumn="1" w:firstRow="1" w:lastColumn="0" w:lastRow="0" w:noHBand="0" w:noVBand="1" w:val="04A0"/>
      </w:tblPr>
      <w:tblGrid>
        <w:gridCol w:w="4320"/>
        <w:gridCol w:w="4320"/>
      </w:tblGrid>
      <w:tr>
        <w:tc>
          <w:tcPr>
            <w:tcW w:type="dxa" w:w="4320"/>
          </w:tcPr>
          <w:p>
            <w:r>
              <w:t>Currency</w:t>
            </w:r>
          </w:p>
        </w:tc>
        <w:tc>
          <w:tcPr>
            <w:tcW w:type="dxa" w:w="4320"/>
          </w:tcPr>
          <w:p>
            <w:r>
              <w:t>Settlement rate to GBP</w:t>
            </w:r>
          </w:p>
        </w:tc>
      </w:tr>
      <w:tr>
        <w:tc>
          <w:tcPr>
            <w:tcW w:type="dxa" w:w="4320"/>
          </w:tcPr>
          <w:p>
            <w:r>
              <w:t>GBP</w:t>
            </w:r>
          </w:p>
        </w:tc>
        <w:tc>
          <w:tcPr>
            <w:tcW w:type="dxa" w:w="4320"/>
          </w:tcPr>
          <w:p>
            <w:r>
              <w:t>1.0000</w:t>
            </w:r>
          </w:p>
        </w:tc>
      </w:tr>
      <w:tr>
        <w:tc>
          <w:tcPr>
            <w:tcW w:type="dxa" w:w="4320"/>
          </w:tcPr>
          <w:p>
            <w:r>
              <w:t>EUR</w:t>
            </w:r>
          </w:p>
        </w:tc>
        <w:tc>
          <w:tcPr>
            <w:tcW w:type="dxa" w:w="4320"/>
          </w:tcPr>
          <w:p>
            <w:r>
              <w:t>0.9000</w:t>
            </w:r>
          </w:p>
        </w:tc>
      </w:tr>
      <w:tr>
        <w:tc>
          <w:tcPr>
            <w:tcW w:type="dxa" w:w="4320"/>
          </w:tcPr>
          <w:p>
            <w:r>
              <w:t>CHF</w:t>
            </w:r>
          </w:p>
        </w:tc>
        <w:tc>
          <w:tcPr>
            <w:tcW w:type="dxa" w:w="4320"/>
          </w:tcPr>
          <w:p>
            <w:r>
              <w:t>0.8600</w:t>
            </w:r>
          </w:p>
        </w:tc>
      </w:tr>
      <w:tr>
        <w:tc>
          <w:tcPr>
            <w:tcW w:type="dxa" w:w="4320"/>
          </w:tcPr>
          <w:p>
            <w:r>
              <w:t>NOK</w:t>
            </w:r>
          </w:p>
        </w:tc>
        <w:tc>
          <w:tcPr>
            <w:tcW w:type="dxa" w:w="4320"/>
          </w:tcPr>
          <w:p>
            <w:r>
              <w:t>0.0740</w:t>
            </w:r>
          </w:p>
        </w:tc>
      </w:tr>
    </w:tbl>
    <w:p>
      <w:pPr>
        <w:pStyle w:val="Heading1"/>
      </w:pPr>
      <w:r>
        <w:t>Appendix D. Definitions</w:t>
      </w:r>
    </w:p>
    <w:p>
      <w:r>
        <w:t>Settled amount: the amount of a claim line after conversion to sterling under section 8 and rounding to two decimal places.</w:t>
      </w:r>
    </w:p>
    <w:p>
      <w:r>
        <w:t>Traveller: an individual undertaking business travel on the group's behalf, whether or not employed by the group.</w:t>
      </w:r>
    </w:p>
    <w:p>
      <w:r>
        <w:t>Trip: a continuous period of business travel beginning when the traveller leaves their normal place of work or home, whichever is later, and ending on their return.</w:t>
      </w:r>
    </w:p>
    <w:p>
      <w:r>
        <w:t>Travel desk: the contracted booking service named on the intranet, or its successor.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2026-06-29T00:00:00Z</dcterms:created>
  <dcterms:modified xsi:type="dcterms:W3CDTF">2026-06-29T00:00:00Z</dcterms:modified>
  <cp:category/>
</cp:coreProperties>
</file>