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Manual</w:t>
      </w:r>
    </w:p>
    <w:p>
      <w:r>
        <w:t>Effective 1 January 2026. Supersedes all prior editions.</w:t>
      </w:r>
    </w:p>
    <w:p>
      <w:pPr>
        <w:pStyle w:val="Heading1"/>
      </w:pPr>
      <w:r>
        <w:t>1. Purpose and scope</w:t>
      </w:r>
    </w:p>
    <w:p>
      <w:r>
        <w:t>This manual sets out the financial controls that apply to all departments, cost centres and staff who commit or approve expenditure. It covers budgeting, purchasing, supplier onboarding, requisitioning, receipting and the delegated authority limits used to approve spend. It takes effect on 1 January 2026 and supersedes all prior editions; where a local procedure conflicts with this manual, this manual prevails.</w:t>
      </w:r>
    </w:p>
    <w:p>
      <w:pPr>
        <w:pStyle w:val="Heading1"/>
      </w:pPr>
      <w:r>
        <w:t>2. Definitions</w:t>
      </w:r>
    </w:p>
    <w:p>
      <w:r>
        <w:t>Requisition — a formal request to purchase goods or services, raised and approved before any commitment is made to a supplier.</w:t>
      </w:r>
    </w:p>
    <w:p>
      <w:r>
        <w:t>Cost centre — the budget-holding unit (for example RD-200) against which expenditure is recorded and approved.</w:t>
      </w:r>
    </w:p>
    <w:p>
      <w:r>
        <w:t>Framework agreement — a pre-negotiated supplier arrangement whose reference is quoted on the requisition so that agreed pricing and terms apply.</w:t>
      </w:r>
    </w:p>
    <w:p>
      <w:r>
        <w:t>Approver — the person authorised by the delegation matrix to approve a requisition at a given value band.</w:t>
      </w:r>
    </w:p>
    <w:p>
      <w:r>
        <w:t>Value band — the range of value within which a single approval level applies, as set out in the matrix in 7.4.</w:t>
      </w:r>
    </w:p>
    <w:p>
      <w:r>
        <w:t>Combined value — the total value of a group of requisitions that 7.6 treats as one, and the figure against which the value band is determined.</w:t>
      </w:r>
    </w:p>
    <w:p>
      <w:r>
        <w:t>Routing cycle — the run in which the requisitions raised in one reporting period are routed to their approvers.</w:t>
      </w:r>
    </w:p>
    <w:p>
      <w:r>
        <w:t>Records schedule — the retention timetable that sets how long supporting documentation must be kept.</w:t>
      </w:r>
    </w:p>
    <w:p>
      <w:pPr>
        <w:pStyle w:val="Heading1"/>
      </w:pPr>
      <w:r>
        <w:t>3. Budget setting</w:t>
      </w:r>
    </w:p>
    <w:p>
      <w:r>
        <w:t>Budgets are set annually for each cost centre before the start of the financial year and are owned by the relevant cost-centre manager. Expenditure may only be committed against an approved budget with sufficient remaining funds. Material variances are reviewed each quarter with the finance shared service desk, and reforecasts are agreed where needed.</w:t>
      </w:r>
    </w:p>
    <w:p>
      <w:pPr>
        <w:pStyle w:val="Heading1"/>
      </w:pPr>
      <w:r>
        <w:t>4. Purchasing principles</w:t>
      </w:r>
    </w:p>
    <w:p>
      <w:r>
        <w:t>All purchasing must deliver value for money through fair and open competition proportionate to the value and risk of the spend. Staff must declare and manage any conflict of interest, and must not split orders to avoid approval limits. Wherever possible, purchases are made through an existing framework agreement so that agreed pricing and terms apply.</w:t>
      </w:r>
    </w:p>
    <w:p>
      <w:pPr>
        <w:pStyle w:val="Heading1"/>
      </w:pPr>
      <w:r>
        <w:t>5. Supplier onboarding</w:t>
      </w:r>
    </w:p>
    <w:p>
      <w:r>
        <w:t>A supplier must be registered and validated before any order is placed or payment is made. Onboarding confirms the supplier's legal identity, bank details and tax status, and records any framework agreement under which they operate. Changes to bank details are independently re-verified before the next payment to guard against fraud.</w:t>
      </w:r>
    </w:p>
    <w:p>
      <w:pPr>
        <w:pStyle w:val="Heading1"/>
      </w:pPr>
      <w:r>
        <w:t>6. Requisition raising</w:t>
      </w:r>
    </w:p>
    <w:p>
      <w:r>
        <w:t>Every purchase begins with a requisition that records the cost centre, a clear description of the goods or services, the quantity, the price and the relevant supplier or framework reference. Each requisition also carries a status recording how far it has progressed. The requisition is routed for approval under the delegation matrix before any commitment is made to the supplier. Incomplete requisitions are returned to the requester rather than approved.</w:t>
      </w:r>
    </w:p>
    <w:p>
      <w:pPr>
        <w:pStyle w:val="Heading1"/>
      </w:pPr>
      <w:r>
        <w:t>7. Delegation of authority</w:t>
      </w:r>
    </w:p>
    <w:p>
      <w:r>
        <w:t>Approval authority is delegated by value band and cost centre. 7.1 to 7.3 set which requisitions a routing cycle covers, 7.4 sets the approver for operating expenditure, 7.5 sets how the value band is recorded, 7.6 governs splitting and self-approval, and 7.7 sets out the routing log the cycle produces. Capital expenditure follows the separate matrix in 9.1.</w:t>
      </w:r>
    </w:p>
    <w:p>
      <w:pPr>
        <w:pStyle w:val="Heading2"/>
      </w:pPr>
      <w:r>
        <w:t>7.1 Routing cycle and reporting period</w:t>
      </w:r>
    </w:p>
    <w:p>
      <w:r>
        <w:t>Requisitions are routed in cycles, one per reporting period. Every cycle has a name, such as 2026 Cycle 1, and that name together with its start and end dates is recorded in period.txt at the root of the finance workspace; both dates are within the period. A requisition raised outside that period is not part of the named cycle. It is neither routed nor counted anywhere in this section, and is left for the cycle that covers the period it falls in.</w:t>
      </w:r>
    </w:p>
    <w:p>
      <w:pPr>
        <w:pStyle w:val="Heading2"/>
      </w:pPr>
      <w:r>
        <w:t>7.2 Requisition status</w:t>
      </w:r>
    </w:p>
    <w:p>
      <w:r>
        <w:t>Only requisitions with a status of open or resubmitted are routed. A requisition carrying any other status, including draft, on-hold, rejected and cancelled, is not routed. Its value is also disregarded everywhere in this section, so it never contributes to a combined value under 7.6.</w:t>
      </w:r>
    </w:p>
    <w:p>
      <w:pPr>
        <w:pStyle w:val="Heading2"/>
      </w:pPr>
      <w:r>
        <w:t>7.3 Requisitions with no cost centre</w:t>
      </w:r>
    </w:p>
    <w:p>
      <w:r>
        <w:t>A requisition is approved against the cost centre it records. A requisition that records no cost centre cannot be routed to an approver: it is held for review by the finance shared service desk, and the routing log records HOLD in place of an approver. Its value band is still determined and recorded in the ordinary way, and its value still counts towards a combined value under 7.6. An approver must never be inferred for such a requisition from the requester, the supplier or any other cost centre.</w:t>
      </w:r>
    </w:p>
    <w:p>
      <w:pPr>
        <w:pStyle w:val="Heading2"/>
      </w:pPr>
      <w:r>
        <w:t>7.4 Approval matrix — operating expenditure</w:t>
      </w:r>
    </w:p>
    <w:p>
      <w:r>
        <w:t>Every requisition is approved at the level its combined value falls into. A band runs from its own lower bound up to, but not including, the lower bound of the band above it, so every amount falls in exactly one band; the VP band has no upper limit. Approvers are listed by cost centre below.</w:t>
      </w:r>
    </w:p>
    <w:p>
      <w:r>
        <w:t>A requisition whose cost centre does not appear in this table is approved by the Director of FI-400.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Cost centre</w:t>
            </w:r>
          </w:p>
        </w:tc>
        <w:tc>
          <w:tcPr>
            <w:tcW w:type="dxa" w:w="1728"/>
          </w:tcPr>
          <w:p>
            <w:r>
              <w:t>Team Lead (0–999.99)</w:t>
            </w:r>
          </w:p>
        </w:tc>
        <w:tc>
          <w:tcPr>
            <w:tcW w:type="dxa" w:w="1728"/>
          </w:tcPr>
          <w:p>
            <w:r>
              <w:t>Manager (1,000–9,999.99)</w:t>
            </w:r>
          </w:p>
        </w:tc>
        <w:tc>
          <w:tcPr>
            <w:tcW w:type="dxa" w:w="1728"/>
          </w:tcPr>
          <w:p>
            <w:r>
              <w:t>Director (10,000–49,999.99)</w:t>
            </w:r>
          </w:p>
        </w:tc>
        <w:tc>
          <w:tcPr>
            <w:tcW w:type="dxa" w:w="1728"/>
          </w:tcPr>
          <w:p>
            <w:r>
              <w:t>VP (50,000 and above)</w:t>
            </w:r>
          </w:p>
        </w:tc>
      </w:tr>
      <w:tr>
        <w:tc>
          <w:tcPr>
            <w:tcW w:type="dxa" w:w="1728"/>
          </w:tcPr>
          <w:p>
            <w:r>
              <w:t>RD-200</w:t>
            </w:r>
          </w:p>
        </w:tc>
        <w:tc>
          <w:tcPr>
            <w:tcW w:type="dxa" w:w="1728"/>
          </w:tcPr>
          <w:p>
            <w:r>
              <w:t>Grace Beaumont</w:t>
            </w:r>
          </w:p>
        </w:tc>
        <w:tc>
          <w:tcPr>
            <w:tcW w:type="dxa" w:w="1728"/>
          </w:tcPr>
          <w:p>
            <w:r>
              <w:t>Farid Mensah</w:t>
            </w:r>
          </w:p>
        </w:tc>
        <w:tc>
          <w:tcPr>
            <w:tcW w:type="dxa" w:w="1728"/>
          </w:tcPr>
          <w:p>
            <w:r>
              <w:t>Jonas Mensah</w:t>
            </w:r>
          </w:p>
        </w:tc>
        <w:tc>
          <w:tcPr>
            <w:tcW w:type="dxa" w:w="1728"/>
          </w:tcPr>
          <w:p>
            <w:r>
              <w:t>Lena Okafor</w:t>
            </w:r>
          </w:p>
        </w:tc>
      </w:tr>
      <w:tr>
        <w:tc>
          <w:tcPr>
            <w:tcW w:type="dxa" w:w="1728"/>
          </w:tcPr>
          <w:p>
            <w:r>
              <w:t>MK-100</w:t>
            </w:r>
          </w:p>
        </w:tc>
        <w:tc>
          <w:tcPr>
            <w:tcW w:type="dxa" w:w="1728"/>
          </w:tcPr>
          <w:p>
            <w:r>
              <w:t>Priya Ferraro</w:t>
            </w:r>
          </w:p>
        </w:tc>
        <w:tc>
          <w:tcPr>
            <w:tcW w:type="dxa" w:w="1728"/>
          </w:tcPr>
          <w:p>
            <w:r>
              <w:t>Nadia Haddad</w:t>
            </w:r>
          </w:p>
        </w:tc>
        <w:tc>
          <w:tcPr>
            <w:tcW w:type="dxa" w:w="1728"/>
          </w:tcPr>
          <w:p>
            <w:r>
              <w:t>Hugo Ibrahim</w:t>
            </w:r>
          </w:p>
        </w:tc>
        <w:tc>
          <w:tcPr>
            <w:tcW w:type="dxa" w:w="1728"/>
          </w:tcPr>
          <w:p>
            <w:r>
              <w:t>Omar Costa</w:t>
            </w:r>
          </w:p>
        </w:tc>
      </w:tr>
      <w:tr>
        <w:tc>
          <w:tcPr>
            <w:tcW w:type="dxa" w:w="1728"/>
          </w:tcPr>
          <w:p>
            <w:r>
              <w:t>OP-300</w:t>
            </w:r>
          </w:p>
        </w:tc>
        <w:tc>
          <w:tcPr>
            <w:tcW w:type="dxa" w:w="1728"/>
          </w:tcPr>
          <w:p>
            <w:r>
              <w:t>Iris Sato</w:t>
            </w:r>
          </w:p>
        </w:tc>
        <w:tc>
          <w:tcPr>
            <w:tcW w:type="dxa" w:w="1728"/>
          </w:tcPr>
          <w:p>
            <w:r>
              <w:t>Farid Costa</w:t>
            </w:r>
          </w:p>
        </w:tc>
        <w:tc>
          <w:tcPr>
            <w:tcW w:type="dxa" w:w="1728"/>
          </w:tcPr>
          <w:p>
            <w:r>
              <w:t>Farid Okafor</w:t>
            </w:r>
          </w:p>
        </w:tc>
        <w:tc>
          <w:tcPr>
            <w:tcW w:type="dxa" w:w="1728"/>
          </w:tcPr>
          <w:p>
            <w:r>
              <w:t>Alice Beaumont</w:t>
            </w:r>
          </w:p>
        </w:tc>
      </w:tr>
      <w:tr>
        <w:tc>
          <w:tcPr>
            <w:tcW w:type="dxa" w:w="1728"/>
          </w:tcPr>
          <w:p>
            <w:r>
              <w:t>FI-400</w:t>
            </w:r>
          </w:p>
        </w:tc>
        <w:tc>
          <w:tcPr>
            <w:tcW w:type="dxa" w:w="1728"/>
          </w:tcPr>
          <w:p>
            <w:r>
              <w:t>Chidi Novak</w:t>
            </w:r>
          </w:p>
        </w:tc>
        <w:tc>
          <w:tcPr>
            <w:tcW w:type="dxa" w:w="1728"/>
          </w:tcPr>
          <w:p>
            <w:r>
              <w:t>Farid Ferraro</w:t>
            </w:r>
          </w:p>
        </w:tc>
        <w:tc>
          <w:tcPr>
            <w:tcW w:type="dxa" w:w="1728"/>
          </w:tcPr>
          <w:p>
            <w:r>
              <w:t>Marco Novak</w:t>
            </w:r>
          </w:p>
        </w:tc>
        <w:tc>
          <w:tcPr>
            <w:tcW w:type="dxa" w:w="1728"/>
          </w:tcPr>
          <w:p>
            <w:r>
              <w:t>Iris Haddad</w:t>
            </w:r>
          </w:p>
        </w:tc>
      </w:tr>
    </w:tbl>
    <w:p>
      <w:pPr>
        <w:pStyle w:val="Heading2"/>
      </w:pPr>
      <w:r>
        <w:t>7.5 Recording the value band</w:t>
      </w:r>
    </w:p>
    <w:p>
      <w:r>
        <w:t>The value band recorded against a requisition is always the band its combined value falls into under 7.4. It describes the value, not the person who ends up approving, so it does not change when approval passes to someone else under 7.6, and it is recorded in the same way for a requisition approved under the fallback in 7.4 or held under 7.3.</w:t>
      </w:r>
    </w:p>
    <w:p>
      <w:pPr>
        <w:pStyle w:val="Heading2"/>
      </w:pPr>
      <w:r>
        <w:t>7.6 Splitting and self-approval</w:t>
      </w:r>
    </w:p>
    <w:p>
      <w:r>
        <w:t>Requisitions raised by the same requester against the same supplier are treated as a single requisition for the purpose of determining the approval band. Two requisitions are linked where they are raised seven calendar days or fewer apart, and linkage carries: where A is linked to B and B is linked to C, all three belong to one group even if A and C are further than seven days apart. The combined value of the whole group governs the band of every requisition in it.</w:t>
      </w:r>
    </w:p>
    <w:p>
      <w:r>
        <w:t>A group is formed on requester and supplier alone. Requisitions charged to different cost centres still form one group, and each requisition in it is then approved by the person its own cost centre designates at the group's band. Only requisitions that 7.1 and 7.2 bring into the cycle can join a group.</w:t>
      </w:r>
    </w:p>
    <w:p>
      <w:r>
        <w:t>No person may approve their own requisition. Where the matrix designates the requester, approval passes one level higher.</w:t>
      </w:r>
    </w:p>
    <w:p>
      <w:r>
        <w:t>Where the matrix designates the requester at the VP band there is no level above, and approval passes to the Board.</w:t>
      </w:r>
    </w:p>
    <w:p>
      <w:r>
        <w:t>Cost centre RD-200 operates under a research delegation: where escalation would otherwise apply, approval passes instead to the research delegate, Marco Haddad, who sits below the designated level.</w:t>
      </w:r>
    </w:p>
    <w:p>
      <w:r>
        <w:t>Where a requisition is approved under the fallback in 7.4 because its cost centre is not in the matrix, and that fallback approver is the requester, approval passes to the VP of FI-400.</w:t>
      </w:r>
    </w:p>
    <w:p>
      <w:pPr>
        <w:pStyle w:val="Heading2"/>
      </w:pPr>
      <w:r>
        <w:t>7.7 The routing log</w:t>
      </w:r>
    </w:p>
    <w:p>
      <w:r>
        <w:t>Each cycle produces a routing log: a workbook named routing_log.xlsx, saved at the root of the finance workspace, holding a sheet named Routing. The first row of that sheet carries the headings Ref, Approver and Band, in that order. Below it sits one row for every requisition the cycle covers under 7.1 and 7.2, one row each and no others. Approver holds the name the matrix designates once 7.6 has been applied, or HOLD where 7.3 applies; Band holds the value band recorded under 7.5. Every cell is written as a literal value rather than a formula, so that the log can be read without recalculation.</w:t>
      </w:r>
    </w:p>
    <w:p>
      <w:pPr>
        <w:pStyle w:val="Heading1"/>
      </w:pPr>
      <w:r>
        <w:t>8. Receipting</w:t>
      </w:r>
    </w:p>
    <w:p>
      <w:r>
        <w:t>Goods and services must be receipted in the system by the department that ordered them once they have been delivered or performed. Payment is released only on a successful three-way match between the requisition, the receipt and the supplier invoice. Any discrepancy is resolved with the supplier before the invoice is paid.</w:t>
      </w:r>
    </w:p>
    <w:p>
      <w:pPr>
        <w:pStyle w:val="Heading1"/>
      </w:pPr>
      <w:r>
        <w:t>9. Capital expenditure</w:t>
      </w:r>
    </w:p>
    <w:p>
      <w:pPr>
        <w:pStyle w:val="Heading2"/>
      </w:pPr>
      <w:r>
        <w:t>9.1 Approval matrix — capital expenditure</w:t>
      </w:r>
    </w:p>
    <w:p>
      <w:r>
        <w:t>Capital items follow a separate delegation.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Cost centre</w:t>
            </w:r>
          </w:p>
        </w:tc>
        <w:tc>
          <w:tcPr>
            <w:tcW w:type="dxa" w:w="2880"/>
          </w:tcPr>
          <w:p>
            <w:r>
              <w:t>Up to 250,000</w:t>
            </w:r>
          </w:p>
        </w:tc>
        <w:tc>
          <w:tcPr>
            <w:tcW w:type="dxa" w:w="2880"/>
          </w:tcPr>
          <w:p>
            <w:r>
              <w:t>Above 250,000</w:t>
            </w:r>
          </w:p>
        </w:tc>
      </w:tr>
      <w:tr>
        <w:tc>
          <w:tcPr>
            <w:tcW w:type="dxa" w:w="2880"/>
          </w:tcPr>
          <w:p>
            <w:r>
              <w:t>RD-200</w:t>
            </w:r>
          </w:p>
        </w:tc>
        <w:tc>
          <w:tcPr>
            <w:tcW w:type="dxa" w:w="2880"/>
          </w:tcPr>
          <w:p>
            <w:r>
              <w:t>Lena Okafor</w:t>
            </w:r>
          </w:p>
        </w:tc>
        <w:tc>
          <w:tcPr>
            <w:tcW w:type="dxa" w:w="2880"/>
          </w:tcPr>
          <w:p>
            <w:r>
              <w:t>Board</w:t>
            </w:r>
          </w:p>
        </w:tc>
      </w:tr>
      <w:tr>
        <w:tc>
          <w:tcPr>
            <w:tcW w:type="dxa" w:w="2880"/>
          </w:tcPr>
          <w:p>
            <w:r>
              <w:t>MK-100</w:t>
            </w:r>
          </w:p>
        </w:tc>
        <w:tc>
          <w:tcPr>
            <w:tcW w:type="dxa" w:w="2880"/>
          </w:tcPr>
          <w:p>
            <w:r>
              <w:t>Omar Costa</w:t>
            </w:r>
          </w:p>
        </w:tc>
        <w:tc>
          <w:tcPr>
            <w:tcW w:type="dxa" w:w="2880"/>
          </w:tcPr>
          <w:p>
            <w:r>
              <w:t>Board</w:t>
            </w:r>
          </w:p>
        </w:tc>
      </w:tr>
      <w:tr>
        <w:tc>
          <w:tcPr>
            <w:tcW w:type="dxa" w:w="2880"/>
          </w:tcPr>
          <w:p>
            <w:r>
              <w:t>OP-300</w:t>
            </w:r>
          </w:p>
        </w:tc>
        <w:tc>
          <w:tcPr>
            <w:tcW w:type="dxa" w:w="2880"/>
          </w:tcPr>
          <w:p>
            <w:r>
              <w:t>Alice Beaumont</w:t>
            </w:r>
          </w:p>
        </w:tc>
        <w:tc>
          <w:tcPr>
            <w:tcW w:type="dxa" w:w="2880"/>
          </w:tcPr>
          <w:p>
            <w:r>
              <w:t>Board</w:t>
            </w:r>
          </w:p>
        </w:tc>
      </w:tr>
      <w:tr>
        <w:tc>
          <w:tcPr>
            <w:tcW w:type="dxa" w:w="2880"/>
          </w:tcPr>
          <w:p>
            <w:r>
              <w:t>FI-400</w:t>
            </w:r>
          </w:p>
        </w:tc>
        <w:tc>
          <w:tcPr>
            <w:tcW w:type="dxa" w:w="2880"/>
          </w:tcPr>
          <w:p>
            <w:r>
              <w:t>Iris Haddad</w:t>
            </w:r>
          </w:p>
        </w:tc>
        <w:tc>
          <w:tcPr>
            <w:tcW w:type="dxa" w:w="2880"/>
          </w:tcPr>
          <w:p>
            <w:r>
              <w:t>Board</w:t>
            </w:r>
          </w:p>
        </w:tc>
      </w:tr>
    </w:tbl>
    <w:p>
      <w:pPr>
        <w:pStyle w:val="Heading2"/>
      </w:pPr>
      <w:r>
        <w:t>9.2 Business case and asset life</w:t>
      </w:r>
    </w:p>
    <w:p>
      <w:r>
        <w:t>Capital expenditure covers assets that deliver benefit over more than one year and is planned separately from day-to-day operating costs. Each capital request is supported by a business case setting out the cost, the expected benefit and the asset life before it enters the approval route above. Amounts above the cost-centre limit are reserved for Board approval.</w:t>
      </w:r>
    </w:p>
    <w:p>
      <w:pPr>
        <w:pStyle w:val="Heading1"/>
      </w:pPr>
      <w:r>
        <w:t>10. Appendix 1</w:t>
      </w:r>
    </w:p>
    <w:p>
      <w:r>
        <w:t>Records retention schedule: the minimum retention period for each type of financial record, supporting the documentation requirements set out in this manual.</w:t>
      </w:r>
    </w:p>
    <w:p>
      <w:pPr>
        <w:pStyle w:val="Heading1"/>
      </w:pPr>
      <w:r>
        <w:t>11. Appendix 2</w:t>
      </w:r>
    </w:p>
    <w:p>
      <w:r>
        <w:t>Requisition template: the mandatory fields for a requisition, with a worked example of a completed request.</w:t>
      </w:r>
    </w:p>
    <w:p>
      <w:pPr>
        <w:pStyle w:val="Heading1"/>
      </w:pPr>
      <w:r>
        <w:t>12. Appendix 3</w:t>
      </w:r>
    </w:p>
    <w:p>
      <w:r>
        <w:t>Supplier onboarding checklist: the evidence required to register and validate a new supplier before the first order.</w:t>
      </w:r>
    </w:p>
    <w:p>
      <w:pPr>
        <w:pStyle w:val="Heading1"/>
      </w:pPr>
      <w:r>
        <w:t>13. Appendix 4</w:t>
      </w:r>
    </w:p>
    <w:p>
      <w:r>
        <w:t>Cost-centre directory: each cost-centre code mapped to its department and budget holder.</w:t>
      </w:r>
    </w:p>
    <w:p>
      <w:pPr>
        <w:pStyle w:val="Heading1"/>
      </w:pPr>
      <w:r>
        <w:t>14. Appendix 5</w:t>
      </w:r>
    </w:p>
    <w:p>
      <w:r>
        <w:t>Standard purchase-order terms: the terms and conditions applied to purchase orders unless a framework agreement states otherwise.</w:t>
      </w:r>
    </w:p>
    <w:p>
      <w:pPr>
        <w:pStyle w:val="Heading1"/>
      </w:pPr>
      <w:r>
        <w:t>15. Appendix 6</w:t>
      </w:r>
    </w:p>
    <w:p>
      <w:r>
        <w:t>Expense categories: the categories used for coding and reporting expenditure.</w:t>
      </w:r>
    </w:p>
    <w:p>
      <w:pPr>
        <w:pStyle w:val="Heading1"/>
      </w:pPr>
      <w:r>
        <w:t>16. Appendix 7</w:t>
      </w:r>
    </w:p>
    <w:p>
      <w:r>
        <w:t>Finance shared service desk: contact routes and service hours for finance queries and approval support.</w:t>
      </w:r>
    </w:p>
    <w:p>
      <w:pPr>
        <w:pStyle w:val="Heading1"/>
      </w:pPr>
      <w:r>
        <w:t>17. Appendix 8</w:t>
      </w:r>
    </w:p>
    <w:p>
      <w:r>
        <w:t>Payment methods and timetable: the approved payment methods and the standard payment-run schedule.</w:t>
      </w:r>
    </w:p>
    <w:p>
      <w:pPr>
        <w:pStyle w:val="Heading1"/>
      </w:pPr>
      <w:r>
        <w:t>18. Appendix 9</w:t>
      </w:r>
    </w:p>
    <w:p>
      <w:r>
        <w:t>Revision history: changes between editions of this manual, including this January 2026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