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8"/>
          <w:sz w:val="36"/>
          <w:szCs w:val="36"/>
        </w:rPr>
        <w:t xml:space="preserve">ClaimGuard — Denial Reference Knowledge Base</w:t>
      </w:r>
    </w:p>
    <w:p>
      <w:pPr>
        <w:spacing w:after="240"/>
      </w:pPr>
      <w:r>
        <w:rPr>
          <w:i/>
          <w:iCs/>
          <w:color w:val="595959"/>
          <w:sz w:val="22"/>
          <w:szCs w:val="22"/>
        </w:rPr>
        <w:t xml:space="preserve">Domain reference for a medical claim scrubbing and denial-prediction agent</w:t>
      </w:r>
    </w:p>
    <w:p>
      <w:pPr>
        <w:pStyle w:val="Heading1"/>
      </w:pPr>
      <w:r>
        <w:t xml:space="preserve">Purpose of this document</w:t>
      </w:r>
    </w:p>
    <w:p>
      <w:pPr>
        <w:spacing w:after="140" w:line="276"/>
      </w:pPr>
      <w:r>
        <w:t xml:space="preserve">This reference explains the logic a claim scrubbing agent uses to predict denials before a claim is submitted to an insurer. It describes how medical claims are coded, what makes a claim 'clean', and the most common reasons claims are denied. It is written so the agent can ground its explanations in clear domain reasoning rather than reciting rules without context.</w:t>
      </w:r>
    </w:p>
    <w:p>
      <w:pPr>
        <w:spacing w:after="140" w:line="276"/>
      </w:pPr>
      <w:r>
        <w:rPr>
          <w:i/>
          <w:iCs/>
          <w:color w:val="595959"/>
        </w:rPr>
        <w:t xml:space="preserve">All claim data used with this agent is synthetic. The document references procedure and diagnosis codes only illustratively and contains no proprietary code lists.</w:t>
      </w:r>
    </w:p>
    <w:p>
      <w:pPr>
        <w:pStyle w:val="Heading1"/>
      </w:pPr>
      <w:r>
        <w:t xml:space="preserve">How a medical claim is coded</w:t>
      </w:r>
    </w:p>
    <w:p>
      <w:pPr>
        <w:spacing w:after="140" w:line="276"/>
      </w:pPr>
      <w:r>
        <w:t xml:space="preserve">Every claim answers two questions using two different code systems. The diagnosis code (ICD-10) states what condition the patient has — the 'why'. The procedure code (CPT) states what service was performed — the 'what'. A claim is only payable when these two agree: the diagnosis must justify the procedure.</w:t>
      </w:r>
    </w:p>
    <w:p>
      <w:pPr>
        <w:spacing w:after="140" w:line="276"/>
      </w:pPr>
      <w:r>
        <w:t xml:space="preserve">This pairing is the foundation of 'medical necessity'. For example, a problem-focused office visit is justified when the diagnosis describes an actual problem (such as a chronic condition being managed). The same visit billed with only a routine-exam diagnosis will be denied, because nothing on the claim shows the visit was medically necessary.</w:t>
      </w:r>
    </w:p>
    <w:p>
      <w:pPr>
        <w:pStyle w:val="Heading2"/>
      </w:pPr>
      <w:r>
        <w:t xml:space="preserve">The two-code system at a glance</w:t>
      </w:r>
    </w:p>
    <w:p>
      <w:pPr>
        <w:pStyle w:val="ListParagraph"/>
        <w:numPr>
          <w:ilvl w:val="0"/>
          <w:numId w:val="2"/>
        </w:numPr>
        <w:spacing w:after="80" w:line="276"/>
      </w:pPr>
      <w:r>
        <w:t xml:space="preserve">Diagnosis (ICD-10): the patient's condition. Establishes why the service was needed.</w:t>
      </w:r>
    </w:p>
    <w:p>
      <w:pPr>
        <w:pStyle w:val="ListParagraph"/>
        <w:numPr>
          <w:ilvl w:val="0"/>
          <w:numId w:val="2"/>
        </w:numPr>
        <w:spacing w:after="80" w:line="276"/>
      </w:pPr>
      <w:r>
        <w:t xml:space="preserve">Procedure (CPT): the service performed. Describes what was done.</w:t>
      </w:r>
    </w:p>
    <w:p>
      <w:pPr>
        <w:pStyle w:val="ListParagraph"/>
        <w:numPr>
          <w:ilvl w:val="0"/>
          <w:numId w:val="2"/>
        </w:numPr>
        <w:spacing w:after="80" w:line="276"/>
      </w:pPr>
      <w:r>
        <w:t xml:space="preserve">Modifiers: short add-ons to a procedure code that clarify circumstances (for example, that a visit was a separate service from a procedure done the same day).</w:t>
      </w:r>
    </w:p>
    <w:p>
      <w:pPr>
        <w:pStyle w:val="ListParagraph"/>
        <w:numPr>
          <w:ilvl w:val="0"/>
          <w:numId w:val="2"/>
        </w:numPr>
        <w:spacing w:after="80" w:line="276"/>
      </w:pPr>
      <w:r>
        <w:t xml:space="preserve">The diagnosis and procedure must support each other, or the claim is at risk of a medical-necessity denial.</w:t>
      </w:r>
    </w:p>
    <w:p>
      <w:pPr>
        <w:pStyle w:val="Heading1"/>
      </w:pPr>
      <w:r>
        <w:t xml:space="preserve">The nine common denial categories</w:t>
      </w:r>
    </w:p>
    <w:p>
      <w:pPr>
        <w:spacing w:after="140" w:line="276"/>
      </w:pPr>
      <w:r>
        <w:t xml:space="preserve">The agent checks each claim against the categories below, in order. Most real-world denials fall into one of these buckets, and most are preventable at submission — which is the entire value of scrubbing a claim before it goes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560"/>
        <w:gridCol w:w="1900"/>
      </w:tblGrid>
      <w:tr>
        <w:trPr>
          <w:tblHeader/>
        </w:trPr>
        <w:tc>
          <w:tcPr>
            <w:tcW w:type="dxa" w:w="19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Denial category</w:t>
            </w:r>
          </w:p>
        </w:tc>
        <w:tc>
          <w:tcPr>
            <w:tcW w:type="dxa" w:w="5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Why the claim denies</w:t>
            </w:r>
          </w:p>
        </w:tc>
        <w:tc>
          <w:tcPr>
            <w:tcW w:type="dxa" w:w="19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0"/>
                <w:szCs w:val="20"/>
              </w:rPr>
              <w:t xml:space="preserve">Typical fix</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Eligibility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service date must fall within the patient's active coverage window. If coverage lapsed or had not started on the date of service, the payer denies the claim.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Verify coverage before the visit; bill the correct payer or the patient.</w:t>
            </w:r>
          </w:p>
        </w:tc>
      </w:tr>
      <w:tr>
        <w:tc>
          <w:tcPr>
            <w:tcW w:type="dxa" w:w="19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Prior authorization</w:t>
            </w:r>
          </w:p>
        </w:tc>
        <w:tc>
          <w:tcPr>
            <w:tcW w:type="dxa" w:w="5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Certain higher-cost procedures (e.g. advanced imaging such as MRI/CT) require the payer's approval in advance. A required authorization number must be present on the claim.</w:t>
            </w:r>
          </w:p>
        </w:tc>
        <w:tc>
          <w:tcPr>
            <w:tcW w:type="dxa" w:w="19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Obtain and attach the authorization before submission.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Code validity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Every procedure code must be a real, current code. Retired or non-existent codes are rejected outright.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Replace with the correct current code for the documented service.</w:t>
            </w:r>
          </w:p>
        </w:tc>
      </w:tr>
      <w:tr>
        <w:tc>
          <w:tcPr>
            <w:tcW w:type="dxa" w:w="19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Medical necessity</w:t>
            </w:r>
          </w:p>
        </w:tc>
        <w:tc>
          <w:tcPr>
            <w:tcW w:type="dxa" w:w="5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The diagnosis must justify the procedure. A routine-exam diagnosis cannot support a problem-focused visit, because nothing on the claim establishes why the service was needed.</w:t>
            </w:r>
          </w:p>
        </w:tc>
        <w:tc>
          <w:tcPr>
            <w:tcW w:type="dxa" w:w="19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Attach the problem-oriented diagnosis from the encounter, or recode the visit.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Modifier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When an evaluation-and-management visit is billed on the same day as a procedure, a modifier signals that the visit was a separate, identifiable service. Without it, the payer assumes the visit is part of the procedure and denies it.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Append the correct modifier when documentation supports a distinct service.</w:t>
            </w:r>
          </w:p>
        </w:tc>
      </w:tr>
      <w:tr>
        <w:tc>
          <w:tcPr>
            <w:tcW w:type="dxa" w:w="19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Bundling (NCCI)</w:t>
            </w:r>
          </w:p>
        </w:tc>
        <w:tc>
          <w:tcPr>
            <w:tcW w:type="dxa" w:w="5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Some services are considered components of a larger service and should not be billed separately. Billing both the component and the comprehensive service is 'unbundling'.</w:t>
            </w:r>
          </w:p>
        </w:tc>
        <w:tc>
          <w:tcPr>
            <w:tcW w:type="dxa" w:w="19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Bill the comprehensive service only; remove the bundled component.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Timely filing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Every payer sets a deadline (counted from the service date) by which a claim must be received. Claims submitted after the window are denied regardless of validity.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Submit within the deadline; if missed, file an appeal with justification.</w:t>
            </w:r>
          </w:p>
        </w:tc>
      </w:tr>
      <w:tr>
        <w:tc>
          <w:tcPr>
            <w:tcW w:type="dxa" w:w="19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Duplicate</w:t>
            </w:r>
          </w:p>
        </w:tc>
        <w:tc>
          <w:tcPr>
            <w:tcW w:type="dxa" w:w="55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The same service for the same patient on the same date, submitted more than once, is treated as a duplicate and denied.</w:t>
            </w:r>
          </w:p>
        </w:tc>
        <w:tc>
          <w:tcPr>
            <w:tcW w:type="dxa" w:w="19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sz w:val="20"/>
                <w:szCs w:val="20"/>
              </w:rPr>
              <w:t xml:space="preserve">Reconcile against the original claim instead of resubmitting.</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Coordination of benefits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When a patient has more than one plan, the primary plan must be billed first. Billing the secondary plan out of order causes a denial.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Confirm the primary payer and bill in the correct order.</w:t>
            </w:r>
          </w:p>
        </w:tc>
      </w:tr>
    </w:tbl>
    <w:p>
      <w:pPr>
        <w:pStyle w:val="Heading1"/>
      </w:pPr>
      <w:r>
        <w:t xml:space="preserve">Why catching denials early matters financially</w:t>
      </w:r>
    </w:p>
    <w:p>
      <w:pPr>
        <w:spacing w:after="140" w:line="276"/>
      </w:pPr>
      <w:r>
        <w:t xml:space="preserve">A denied claim is not just an administrative problem — it is trapped cash. When a claim is denied, the revenue it represents is delayed while the claim is reworked and resubmitted, and each rework carries a staff cost. Catching the same issue before submission means the claim is paid on the first pass instead.</w:t>
      </w:r>
    </w:p>
    <w:p>
      <w:pPr>
        <w:spacing w:after="140" w:line="276"/>
      </w:pPr>
      <w:r>
        <w:t xml:space="preserve">A useful way to frame the impact of each flagged claim is therefore threefold: the charge amount at risk, the time that amount would sit unpaid in accounts receivable if denied, and the rework cost avoided by fixing it up front. Presenting denial prevention in these terms — cash protected rather than codes corrected — is what makes the analysis meaningful to a finance leader.</w:t>
      </w:r>
    </w:p>
    <w:p>
      <w:pPr>
        <w:pStyle w:val="Heading2"/>
      </w:pPr>
      <w:r>
        <w:t xml:space="preserve">Regional note</w:t>
      </w:r>
    </w:p>
    <w:p>
      <w:pPr>
        <w:spacing w:after="140" w:line="276"/>
      </w:pPr>
      <w:r>
        <w:t xml:space="preserve">In Oman, the national health-insurance platform (Dhamani) adopted the CPT procedure-coding standard and requires insurers to respond to a submitted claim within a defined window (45 days). This makes a 45-day figure a reasonable, locally grounded assumption for how long a denied claim's value remains unresolved, compared with a much faster turnaround for a clean claim.</w:t>
      </w:r>
    </w:p>
    <w:p>
      <w:pPr>
        <w:pStyle w:val="Heading1"/>
      </w:pPr>
      <w:r>
        <w:t xml:space="preserve">Scope and limitations</w:t>
      </w:r>
    </w:p>
    <w:p>
      <w:pPr>
        <w:pStyle w:val="ListParagraph"/>
        <w:numPr>
          <w:ilvl w:val="0"/>
          <w:numId w:val="2"/>
        </w:numPr>
        <w:spacing w:after="80" w:line="276"/>
      </w:pPr>
      <w:r>
        <w:t xml:space="preserve">This agent reviews a fixed, synthetic set of claims for demonstration. It does not connect to a live payer or electronic health record system.</w:t>
      </w:r>
    </w:p>
    <w:p>
      <w:pPr>
        <w:pStyle w:val="ListParagraph"/>
        <w:numPr>
          <w:ilvl w:val="0"/>
          <w:numId w:val="2"/>
        </w:numPr>
        <w:spacing w:after="80" w:line="276"/>
      </w:pPr>
      <w:r>
        <w:t xml:space="preserve">It reasons only from the rules and data provided to it and does not invent codes or payer policies.</w:t>
      </w:r>
    </w:p>
    <w:p>
      <w:pPr>
        <w:pStyle w:val="ListParagraph"/>
        <w:numPr>
          <w:ilvl w:val="0"/>
          <w:numId w:val="2"/>
        </w:numPr>
        <w:spacing w:after="80" w:line="276"/>
      </w:pPr>
      <w:r>
        <w:t xml:space="preserve">Code sets are updated regularly; any specific code should be validated against a current source before being relied upon in production.</w:t>
      </w:r>
    </w:p>
    <w:p>
      <w:pPr>
        <w:pStyle w:val="ListParagraph"/>
        <w:numPr>
          <w:ilvl w:val="0"/>
          <w:numId w:val="2"/>
        </w:numPr>
        <w:spacing w:after="80" w:line="276"/>
      </w:pPr>
      <w:r>
        <w:t xml:space="preserve">In a production setting, the same reasoning would be applied to live claims with appropriate data-protection safeguards and proper code-set licensing.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8"/>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F4E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2026-06-14T11:56:05.432Z</dcterms:created>
  <dcterms:modified xsi:type="dcterms:W3CDTF">2026-06-14T11:56:05.432Z</dcterms:modified>
</cp:coreProperties>
</file>

<file path=docProps/custom.xml><?xml version="1.0" encoding="utf-8"?>
<Properties xmlns="http://schemas.openxmlformats.org/officeDocument/2006/custom-properties" xmlns:vt="http://schemas.openxmlformats.org/officeDocument/2006/docPropsVTypes"/>
</file>