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word/_rels/document.xml.rels" ContentType="application/vnd.openxmlformats-package.relationship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officeDocument" Target="word/document.xml"/><Relationship Id="rId2" Type="http://schemas.openxmlformats.org/officeDocument/2006/relationships/extended-properties" Target="docProps/app.xml"/><Relationship Id="rId1"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rFonts w:eastAsia="Times New Roman" w:cs="Times New Roman"/>
          <w:b/>
          <w:bCs/>
          <w:color w:val="000000"/>
          <w:sz w:val="26"/>
          <w:szCs w:val="26"/>
        </w:rPr>
        <w:t>Ghulam Ishaq Khan Institute of Engineering Sciences and Technology</w:t>
      </w:r>
    </w:p>
    <w:p>
      <w:pPr>
        <w:pStyle w:val="Normal"/>
        <w:spacing w:before="0" w:after="20"/>
        <w:jc w:val="center"/>
        <w:rPr>
          <w:rFonts w:ascii="Times New Roman" w:hAnsi="Times New Roman" w:eastAsia="Times New Roman" w:cs="Times New Roman"/>
          <w:b w:val="false"/>
          <w:bCs w:val="false"/>
          <w:color w:val="000000"/>
          <w:sz w:val="22"/>
          <w:szCs w:val="22"/>
        </w:rPr>
      </w:pPr>
      <w:r>
        <w:rPr/>
      </w:r>
    </w:p>
    <w:p>
      <w:pPr>
        <w:pStyle w:val="Normal"/>
        <w:spacing w:before="0" w:after="20"/>
        <w:jc w:val="center"/>
        <w:rPr/>
      </w:pPr>
      <w:r>
        <w:rPr>
          <w:rFonts w:eastAsia="Times New Roman" w:cs="Times New Roman"/>
          <w:b/>
          <w:bCs/>
          <w:color w:val="000000"/>
          <w:sz w:val="22"/>
          <w:szCs w:val="22"/>
        </w:rPr>
        <w:t>Group Members</w:t>
      </w:r>
    </w:p>
    <w:p>
      <w:pPr>
        <w:pStyle w:val="Normal"/>
        <w:spacing w:before="0" w:after="10"/>
        <w:jc w:val="center"/>
        <w:rPr/>
      </w:pPr>
      <w:r>
        <w:rPr>
          <w:rFonts w:eastAsia="Times New Roman" w:cs="Times New Roman"/>
          <w:b w:val="false"/>
          <w:bCs w:val="false"/>
          <w:color w:val="000000"/>
          <w:sz w:val="21"/>
          <w:szCs w:val="21"/>
        </w:rPr>
        <w:t>Haider Iqbal  |  Reg. No. 2023416</w:t>
      </w:r>
    </w:p>
    <w:p>
      <w:pPr>
        <w:pStyle w:val="Normal"/>
        <w:spacing w:before="0" w:after="120"/>
        <w:jc w:val="center"/>
        <w:rPr/>
      </w:pPr>
      <w:r>
        <w:rPr>
          <w:rFonts w:eastAsia="Times New Roman" w:cs="Times New Roman"/>
          <w:b w:val="false"/>
          <w:bCs w:val="false"/>
          <w:color w:val="000000"/>
          <w:sz w:val="21"/>
          <w:szCs w:val="21"/>
        </w:rPr>
        <w:t>Shehroz Majeed  |  Reg. No. 2023649</w:t>
      </w:r>
    </w:p>
    <w:p>
      <w:pPr>
        <w:pStyle w:val="Normal"/>
        <w:pBdr>
          <w:bottom w:val="single" w:sz="8" w:space="1" w:color="000000"/>
        </w:pBdr>
        <w:spacing w:before="0" w:after="0"/>
        <w:rPr/>
      </w:pPr>
      <w:r>
        <w:rPr/>
      </w:r>
    </w:p>
    <w:p>
      <w:pPr>
        <w:pStyle w:val="Normal"/>
        <w:spacing w:before="140" w:after="60"/>
        <w:jc w:val="center"/>
        <w:rPr/>
      </w:pPr>
      <w:r>
        <w:rPr>
          <w:rFonts w:eastAsia="Times New Roman" w:cs="Times New Roman"/>
          <w:b/>
          <w:bCs/>
          <w:color w:val="000000"/>
          <w:sz w:val="22"/>
          <w:szCs w:val="22"/>
        </w:rPr>
        <w:t>Project Title:</w:t>
      </w:r>
    </w:p>
    <w:p>
      <w:pPr>
        <w:pStyle w:val="Normal"/>
        <w:spacing w:before="0" w:after="60"/>
        <w:jc w:val="center"/>
        <w:rPr/>
      </w:pPr>
      <w:r>
        <w:rPr>
          <w:rFonts w:eastAsia="Times New Roman" w:cs="Times New Roman"/>
          <w:b/>
          <w:bCs/>
          <w:color w:val="000000"/>
          <w:sz w:val="26"/>
          <w:szCs w:val="26"/>
        </w:rPr>
        <w:t>Resilient Disaster Recovery Framework for Cloud-Assisted</w:t>
      </w:r>
    </w:p>
    <w:p>
      <w:pPr>
        <w:pStyle w:val="Normal"/>
        <w:spacing w:before="0" w:after="60"/>
        <w:jc w:val="center"/>
        <w:rPr/>
      </w:pPr>
      <w:r>
        <w:rPr>
          <w:rFonts w:eastAsia="Times New Roman" w:cs="Times New Roman"/>
          <w:b/>
          <w:bCs/>
          <w:color w:val="000000"/>
          <w:sz w:val="26"/>
          <w:szCs w:val="26"/>
        </w:rPr>
        <w:t>Multi-Access Edge Computing Networks</w:t>
      </w:r>
    </w:p>
    <w:p>
      <w:pPr>
        <w:pStyle w:val="Normal"/>
        <w:spacing w:before="0" w:after="160"/>
        <w:jc w:val="center"/>
        <w:rPr>
          <w:rFonts w:ascii="Times New Roman" w:hAnsi="Times New Roman" w:eastAsia="Times New Roman" w:cs="Times New Roman"/>
          <w:b w:val="false"/>
          <w:bCs w:val="false"/>
          <w:color w:val="000000"/>
          <w:sz w:val="20"/>
          <w:szCs w:val="20"/>
        </w:rPr>
      </w:pPr>
      <w:r>
        <w:rPr/>
      </w:r>
    </w:p>
    <w:p>
      <w:pPr>
        <w:pStyle w:val="Normal"/>
        <w:pBdr>
          <w:bottom w:val="single" w:sz="4" w:space="1" w:color="000000"/>
        </w:pBdr>
        <w:spacing w:before="0" w:after="160"/>
        <w:rPr/>
      </w:pPr>
      <w:r>
        <w:rPr/>
      </w:r>
    </w:p>
    <w:p>
      <w:pPr>
        <w:pStyle w:val="Normal"/>
        <w:pBdr>
          <w:bottom w:val="single" w:sz="4" w:space="2" w:color="000000"/>
        </w:pBdr>
        <w:spacing w:before="160" w:after="60"/>
        <w:jc w:val="left"/>
        <w:rPr/>
      </w:pPr>
      <w:r>
        <w:rPr>
          <w:rFonts w:eastAsia="Times New Roman" w:cs="Times New Roman"/>
          <w:b/>
          <w:bCs/>
          <w:color w:val="000000"/>
          <w:sz w:val="22"/>
          <w:szCs w:val="22"/>
        </w:rPr>
        <w:t>1.  Introduction</w:t>
      </w:r>
    </w:p>
    <w:p>
      <w:pPr>
        <w:pStyle w:val="Normal"/>
        <w:spacing w:before="40" w:after="40"/>
        <w:jc w:val="both"/>
        <w:rPr/>
      </w:pPr>
      <w:r>
        <w:rPr>
          <w:rFonts w:eastAsia="Times New Roman" w:cs="Times New Roman"/>
          <w:b w:val="false"/>
          <w:bCs w:val="false"/>
          <w:color w:val="000000"/>
          <w:sz w:val="21"/>
          <w:szCs w:val="21"/>
        </w:rPr>
        <w:t>Modern critical services such as banking, healthcare, and emergency communications rely on centralized cloud infrastructure for real-time processing. The growing deployment of Multi-Access Edge Computing (MEC) aims to reduce latency by bringing computation closer to end users. However, both cloud data centers and edge nodes remain vulnerable to physical disasters, cyberattacks, power failures, and infrastructure damage — events that can instantly disrupt services for millions of users. Existing MEC architectures lack robust, autonomous disaster recovery mechanisms that can maintain continuity of service when primary cloud or edge infrastructure becomes unavailable.</w:t>
      </w:r>
    </w:p>
    <w:p>
      <w:pPr>
        <w:pStyle w:val="Normal"/>
        <w:pBdr>
          <w:bottom w:val="single" w:sz="4" w:space="2" w:color="000000"/>
        </w:pBdr>
        <w:spacing w:before="160" w:after="60"/>
        <w:jc w:val="left"/>
        <w:rPr/>
      </w:pPr>
      <w:r>
        <w:rPr>
          <w:rFonts w:eastAsia="Times New Roman" w:cs="Times New Roman"/>
          <w:b/>
          <w:bCs/>
          <w:color w:val="000000"/>
          <w:sz w:val="22"/>
          <w:szCs w:val="22"/>
        </w:rPr>
        <w:t>2.  Problem Statement</w:t>
      </w:r>
    </w:p>
    <w:p>
      <w:pPr>
        <w:pStyle w:val="Normal"/>
        <w:spacing w:before="40" w:after="40"/>
        <w:jc w:val="both"/>
        <w:rPr/>
      </w:pPr>
      <w:r>
        <w:rPr>
          <w:rFonts w:eastAsia="Times New Roman" w:cs="Times New Roman"/>
          <w:b w:val="false"/>
          <w:bCs w:val="false"/>
          <w:color w:val="000000"/>
          <w:sz w:val="21"/>
          <w:szCs w:val="21"/>
        </w:rPr>
        <w:t>Current disaster recovery approaches for cloud-MEC systems suffer from three critical limitations. First, failover mechanisms are reactive — they act only after failure has occurred, introducing service gaps of several hundred milliseconds or more. Second, recovery algorithms assume that backup infrastructure is always pre-provisioned and connected, which is not the case in disaster scenarios involving physical destruction of servers or communication links. Third, the optimization models governing task offloading and resource reallocation during recovery are computationally intractable for real-time deployment, with complexity of order O(N³) in the number of edge nodes.</w:t>
      </w:r>
    </w:p>
    <w:p>
      <w:pPr>
        <w:pStyle w:val="Normal"/>
        <w:pBdr>
          <w:bottom w:val="single" w:sz="4" w:space="2" w:color="000000"/>
        </w:pBdr>
        <w:spacing w:before="160" w:after="60"/>
        <w:jc w:val="left"/>
        <w:rPr/>
      </w:pPr>
      <w:r>
        <w:rPr>
          <w:rFonts w:eastAsia="Times New Roman" w:cs="Times New Roman"/>
          <w:b/>
          <w:bCs/>
          <w:color w:val="000000"/>
          <w:sz w:val="22"/>
          <w:szCs w:val="22"/>
        </w:rPr>
        <w:t>3.  Research Gap</w:t>
      </w:r>
    </w:p>
    <w:p>
      <w:pPr>
        <w:pStyle w:val="Normal"/>
        <w:spacing w:before="40" w:after="40"/>
        <w:jc w:val="both"/>
        <w:rPr/>
      </w:pPr>
      <w:r>
        <w:rPr>
          <w:rFonts w:eastAsia="Times New Roman" w:cs="Times New Roman"/>
          <w:b w:val="false"/>
          <w:bCs w:val="false"/>
          <w:color w:val="000000"/>
          <w:sz w:val="21"/>
          <w:szCs w:val="21"/>
        </w:rPr>
        <w:t>A systematic review of existing literature identifies the following unaddressed gaps:</w:t>
      </w:r>
    </w:p>
    <w:p>
      <w:pPr>
        <w:pStyle w:val="ListParagraph"/>
        <w:numPr>
          <w:ilvl w:val="0"/>
          <w:numId w:val="3"/>
        </w:numPr>
        <w:spacing w:before="30" w:after="30"/>
        <w:rPr/>
      </w:pPr>
      <w:r>
        <w:rPr>
          <w:rFonts w:eastAsia="Times New Roman" w:cs="Times New Roman"/>
          <w:b w:val="false"/>
          <w:bCs w:val="false"/>
          <w:color w:val="000000"/>
          <w:sz w:val="21"/>
          <w:szCs w:val="21"/>
        </w:rPr>
        <w:t>No proactive failure prediction model exists for cloud-MEC systems that triggers recovery before service interruption occurs.</w:t>
      </w:r>
    </w:p>
    <w:p>
      <w:pPr>
        <w:pStyle w:val="ListParagraph"/>
        <w:numPr>
          <w:ilvl w:val="0"/>
          <w:numId w:val="1"/>
        </w:numPr>
        <w:spacing w:before="30" w:after="30"/>
        <w:rPr/>
      </w:pPr>
      <w:r>
        <w:rPr>
          <w:rFonts w:eastAsia="Times New Roman" w:cs="Times New Roman"/>
          <w:b w:val="false"/>
          <w:bCs w:val="false"/>
          <w:color w:val="000000"/>
          <w:sz w:val="21"/>
          <w:szCs w:val="21"/>
        </w:rPr>
        <w:t>Disaster recovery frameworks do not jointly model wireless link degradation and edge resource reallocation in a unified optimization problem.</w:t>
      </w:r>
    </w:p>
    <w:p>
      <w:pPr>
        <w:pStyle w:val="ListParagraph"/>
        <w:numPr>
          <w:ilvl w:val="0"/>
          <w:numId w:val="1"/>
        </w:numPr>
        <w:spacing w:before="30" w:after="30"/>
        <w:rPr/>
      </w:pPr>
      <w:r>
        <w:rPr>
          <w:rFonts w:eastAsia="Times New Roman" w:cs="Times New Roman"/>
          <w:b w:val="false"/>
          <w:bCs w:val="false"/>
          <w:color w:val="000000"/>
          <w:sz w:val="21"/>
          <w:szCs w:val="21"/>
        </w:rPr>
        <w:t>Simplified, closed-form recovery decision algorithms with provable performance bounds are absent from the literature.</w:t>
      </w:r>
    </w:p>
    <w:p>
      <w:pPr>
        <w:pStyle w:val="ListParagraph"/>
        <w:numPr>
          <w:ilvl w:val="0"/>
          <w:numId w:val="1"/>
        </w:numPr>
        <w:spacing w:before="30" w:after="30"/>
        <w:rPr/>
      </w:pPr>
      <w:r>
        <w:rPr>
          <w:rFonts w:eastAsia="Times New Roman" w:cs="Times New Roman"/>
          <w:b w:val="false"/>
          <w:bCs w:val="false"/>
          <w:color w:val="000000"/>
          <w:sz w:val="21"/>
          <w:szCs w:val="21"/>
        </w:rPr>
        <w:t>The scenario of simultaneous cloud and partial edge node failure — as occurs in physical infrastructure attacks — has not been systematically studied.</w:t>
      </w:r>
    </w:p>
    <w:p>
      <w:pPr>
        <w:pStyle w:val="Normal"/>
        <w:pBdr>
          <w:bottom w:val="single" w:sz="4" w:space="2" w:color="000000"/>
        </w:pBdr>
        <w:spacing w:before="160" w:after="60"/>
        <w:jc w:val="left"/>
        <w:rPr/>
      </w:pPr>
      <w:r>
        <w:rPr>
          <w:rFonts w:eastAsia="Times New Roman" w:cs="Times New Roman"/>
          <w:b/>
          <w:bCs/>
          <w:color w:val="000000"/>
          <w:sz w:val="22"/>
          <w:szCs w:val="22"/>
        </w:rPr>
        <w:t>4.  Proposed Framework</w:t>
      </w:r>
    </w:p>
    <w:p>
      <w:pPr>
        <w:pStyle w:val="Normal"/>
        <w:spacing w:before="40" w:after="40"/>
        <w:jc w:val="both"/>
        <w:rPr/>
      </w:pPr>
      <w:r>
        <w:rPr>
          <w:rFonts w:eastAsia="Times New Roman" w:cs="Times New Roman"/>
          <w:b w:val="false"/>
          <w:bCs w:val="false"/>
          <w:color w:val="000000"/>
          <w:sz w:val="21"/>
          <w:szCs w:val="21"/>
        </w:rPr>
        <w:t>This project proposes a Resilient Disaster Recovery (RDR) framework for cloud-assisted MEC networks, consisting of three integrated modules:</w:t>
      </w:r>
    </w:p>
    <w:tbl>
      <w:tblPr>
        <w:tblW w:w="9360" w:type="dxa"/>
        <w:jc w:val="left"/>
        <w:tblInd w:w="0" w:type="dxa"/>
        <w:tblLayout w:type="fixed"/>
        <w:tblCellMar>
          <w:top w:w="60" w:type="dxa"/>
          <w:left w:w="100" w:type="dxa"/>
          <w:bottom w:w="60" w:type="dxa"/>
          <w:right w:w="100" w:type="dxa"/>
        </w:tblCellMar>
      </w:tblPr>
      <w:tblGrid>
        <w:gridCol w:w="1999"/>
        <w:gridCol w:w="7360"/>
      </w:tblGrid>
      <w:tr>
        <w:trPr/>
        <w:tc>
          <w:tcPr>
            <w:tcW w:w="1999" w:type="dxa"/>
            <w:tcBorders>
              <w:top w:val="single" w:sz="2" w:space="0" w:color="AAAAAA"/>
              <w:left w:val="single" w:sz="2" w:space="0" w:color="AAAAAA"/>
              <w:bottom w:val="single" w:sz="2" w:space="0" w:color="AAAAAA"/>
              <w:right w:val="single" w:sz="2" w:space="0" w:color="AAAAAA"/>
            </w:tcBorders>
            <w:shd w:fill="DDDDDD" w:val="clear"/>
            <w:vAlign w:val="center"/>
          </w:tcPr>
          <w:p>
            <w:pPr>
              <w:pStyle w:val="Normal"/>
              <w:jc w:val="center"/>
              <w:rPr/>
            </w:pPr>
            <w:r>
              <w:rPr>
                <w:rFonts w:eastAsia="Times New Roman" w:cs="Times New Roman"/>
                <w:b/>
                <w:bCs/>
                <w:color w:val="000000"/>
                <w:sz w:val="20"/>
                <w:szCs w:val="20"/>
              </w:rPr>
              <w:t>Module</w:t>
            </w:r>
          </w:p>
        </w:tc>
        <w:tc>
          <w:tcPr>
            <w:tcW w:w="7360" w:type="dxa"/>
            <w:tcBorders>
              <w:top w:val="single" w:sz="2" w:space="0" w:color="AAAAAA"/>
              <w:left w:val="single" w:sz="2" w:space="0" w:color="AAAAAA"/>
              <w:bottom w:val="single" w:sz="2" w:space="0" w:color="AAAAAA"/>
              <w:right w:val="single" w:sz="2" w:space="0" w:color="AAAAAA"/>
            </w:tcBorders>
            <w:shd w:fill="DDDDDD" w:val="clear"/>
            <w:vAlign w:val="center"/>
          </w:tcPr>
          <w:p>
            <w:pPr>
              <w:pStyle w:val="Normal"/>
              <w:jc w:val="center"/>
              <w:rPr/>
            </w:pPr>
            <w:r>
              <w:rPr>
                <w:rFonts w:eastAsia="Times New Roman" w:cs="Times New Roman"/>
                <w:b/>
                <w:bCs/>
                <w:color w:val="000000"/>
                <w:sz w:val="20"/>
                <w:szCs w:val="20"/>
              </w:rPr>
              <w:t>Description</w:t>
            </w:r>
          </w:p>
        </w:tc>
      </w:tr>
      <w:tr>
        <w:trPr/>
        <w:tc>
          <w:tcPr>
            <w:tcW w:w="19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bCs/>
                <w:color w:val="000000"/>
                <w:sz w:val="20"/>
                <w:szCs w:val="20"/>
              </w:rPr>
              <w:t>Predictive Failure Detection</w:t>
            </w:r>
          </w:p>
        </w:tc>
        <w:tc>
          <w:tcPr>
            <w:tcW w:w="73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An LSTM-based model monitors wireless SINR and cloud latency metrics, predicting node failure 100–500 ms in advance to enable proactive recovery.</w:t>
            </w:r>
          </w:p>
        </w:tc>
      </w:tr>
      <w:tr>
        <w:trPr/>
        <w:tc>
          <w:tcPr>
            <w:tcW w:w="19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bCs/>
                <w:color w:val="000000"/>
                <w:sz w:val="20"/>
                <w:szCs w:val="20"/>
              </w:rPr>
              <w:t>Simplified Recovery Algorithm</w:t>
            </w:r>
          </w:p>
        </w:tc>
        <w:tc>
          <w:tcPr>
            <w:tcW w:w="73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A closed-form task offloading equation derived from the non-convex MEC optimization problem, achieving near-optimal recovery decisions with O(N) complexity.</w:t>
            </w:r>
          </w:p>
        </w:tc>
      </w:tr>
      <w:tr>
        <w:trPr/>
        <w:tc>
          <w:tcPr>
            <w:tcW w:w="19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bCs/>
                <w:color w:val="000000"/>
                <w:sz w:val="20"/>
                <w:szCs w:val="20"/>
              </w:rPr>
              <w:t>Dynamic Edge Re-clustering</w:t>
            </w:r>
          </w:p>
        </w:tc>
        <w:tc>
          <w:tcPr>
            <w:tcW w:w="73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A distributed protocol for surviving edge nodes to autonomously re-form cooperative clusters and redistribute workloads without central cloud coordination.</w:t>
            </w:r>
          </w:p>
        </w:tc>
      </w:tr>
    </w:tbl>
    <w:p>
      <w:pPr>
        <w:pStyle w:val="Normal"/>
        <w:pBdr>
          <w:bottom w:val="single" w:sz="4" w:space="2" w:color="000000"/>
        </w:pBdr>
        <w:spacing w:before="160" w:after="60"/>
        <w:jc w:val="left"/>
        <w:rPr/>
      </w:pPr>
      <w:r>
        <w:rPr>
          <w:rFonts w:eastAsia="Times New Roman" w:cs="Times New Roman"/>
          <w:b/>
          <w:bCs/>
          <w:color w:val="000000"/>
          <w:sz w:val="22"/>
          <w:szCs w:val="22"/>
        </w:rPr>
        <w:t>5.  Objectives</w:t>
      </w:r>
    </w:p>
    <w:p>
      <w:pPr>
        <w:pStyle w:val="ListParagraph"/>
        <w:numPr>
          <w:ilvl w:val="0"/>
          <w:numId w:val="1"/>
        </w:numPr>
        <w:spacing w:before="30" w:after="30"/>
        <w:rPr/>
      </w:pPr>
      <w:r>
        <w:rPr>
          <w:rFonts w:eastAsia="Times New Roman" w:cs="Times New Roman"/>
          <w:b w:val="false"/>
          <w:bCs w:val="false"/>
          <w:color w:val="000000"/>
          <w:sz w:val="21"/>
          <w:szCs w:val="21"/>
        </w:rPr>
        <w:t>Conduct a systematic literature review of 50 papers on MEC, cloud resilience, and disaster recovery.</w:t>
      </w:r>
    </w:p>
    <w:p>
      <w:pPr>
        <w:pStyle w:val="ListParagraph"/>
        <w:numPr>
          <w:ilvl w:val="0"/>
          <w:numId w:val="1"/>
        </w:numPr>
        <w:spacing w:before="30" w:after="30"/>
        <w:rPr/>
      </w:pPr>
      <w:r>
        <w:rPr>
          <w:rFonts w:eastAsia="Times New Roman" w:cs="Times New Roman"/>
          <w:b w:val="false"/>
          <w:bCs w:val="false"/>
          <w:color w:val="000000"/>
          <w:sz w:val="21"/>
          <w:szCs w:val="21"/>
        </w:rPr>
        <w:t>Formulate and simplify the joint optimization problem for disaster recovery in cloud-MEC systems.</w:t>
      </w:r>
    </w:p>
    <w:p>
      <w:pPr>
        <w:pStyle w:val="ListParagraph"/>
        <w:numPr>
          <w:ilvl w:val="0"/>
          <w:numId w:val="1"/>
        </w:numPr>
        <w:spacing w:before="30" w:after="30"/>
        <w:rPr/>
      </w:pPr>
      <w:r>
        <w:rPr>
          <w:rFonts w:eastAsia="Times New Roman" w:cs="Times New Roman"/>
          <w:b w:val="false"/>
          <w:bCs w:val="false"/>
          <w:color w:val="000000"/>
          <w:sz w:val="21"/>
          <w:szCs w:val="21"/>
        </w:rPr>
        <w:t>Design and simulate the predictive failure detection module using MATLAB or Python.</w:t>
      </w:r>
    </w:p>
    <w:p>
      <w:pPr>
        <w:pStyle w:val="ListParagraph"/>
        <w:numPr>
          <w:ilvl w:val="0"/>
          <w:numId w:val="1"/>
        </w:numPr>
        <w:spacing w:before="30" w:after="30"/>
        <w:rPr/>
      </w:pPr>
      <w:r>
        <w:rPr>
          <w:rFonts w:eastAsia="Times New Roman" w:cs="Times New Roman"/>
          <w:b w:val="false"/>
          <w:bCs w:val="false"/>
          <w:color w:val="000000"/>
          <w:sz w:val="21"/>
          <w:szCs w:val="21"/>
        </w:rPr>
        <w:t>Validate the RDR framework against state-of-the-art benchmarks under simulated disaster scenarios.</w:t>
      </w:r>
    </w:p>
    <w:p>
      <w:pPr>
        <w:pStyle w:val="ListParagraph"/>
        <w:numPr>
          <w:ilvl w:val="0"/>
          <w:numId w:val="1"/>
        </w:numPr>
        <w:spacing w:before="30" w:after="30"/>
        <w:rPr/>
      </w:pPr>
      <w:r>
        <w:rPr>
          <w:rFonts w:eastAsia="Times New Roman" w:cs="Times New Roman"/>
          <w:b w:val="false"/>
          <w:bCs w:val="false"/>
          <w:color w:val="000000"/>
          <w:sz w:val="21"/>
          <w:szCs w:val="21"/>
        </w:rPr>
        <w:t>Demonstrate service latency below 100 ms during complete cloud outage events.</w:t>
      </w:r>
    </w:p>
    <w:p>
      <w:pPr>
        <w:pStyle w:val="Normal"/>
        <w:pBdr>
          <w:bottom w:val="single" w:sz="4" w:space="2" w:color="000000"/>
        </w:pBdr>
        <w:spacing w:before="160" w:after="60"/>
        <w:jc w:val="left"/>
        <w:rPr/>
      </w:pPr>
      <w:r>
        <w:rPr>
          <w:rFonts w:eastAsia="Times New Roman" w:cs="Times New Roman"/>
          <w:b/>
          <w:bCs/>
          <w:color w:val="000000"/>
          <w:sz w:val="22"/>
          <w:szCs w:val="22"/>
        </w:rPr>
        <w:t>6.  Methodology &amp; Timeline</w:t>
      </w:r>
    </w:p>
    <w:tbl>
      <w:tblPr>
        <w:tblW w:w="9360" w:type="dxa"/>
        <w:jc w:val="left"/>
        <w:tblInd w:w="0" w:type="dxa"/>
        <w:tblLayout w:type="fixed"/>
        <w:tblCellMar>
          <w:top w:w="60" w:type="dxa"/>
          <w:left w:w="100" w:type="dxa"/>
          <w:bottom w:w="60" w:type="dxa"/>
          <w:right w:w="100" w:type="dxa"/>
        </w:tblCellMar>
      </w:tblPr>
      <w:tblGrid>
        <w:gridCol w:w="1799"/>
        <w:gridCol w:w="4560"/>
        <w:gridCol w:w="3001"/>
      </w:tblGrid>
      <w:tr>
        <w:trPr/>
        <w:tc>
          <w:tcPr>
            <w:tcW w:w="1799" w:type="dxa"/>
            <w:tcBorders>
              <w:top w:val="single" w:sz="2" w:space="0" w:color="AAAAAA"/>
              <w:left w:val="single" w:sz="2" w:space="0" w:color="AAAAAA"/>
              <w:bottom w:val="single" w:sz="2" w:space="0" w:color="AAAAAA"/>
              <w:right w:val="single" w:sz="2" w:space="0" w:color="AAAAAA"/>
            </w:tcBorders>
            <w:shd w:fill="DDDDDD" w:val="clear"/>
            <w:vAlign w:val="center"/>
          </w:tcPr>
          <w:p>
            <w:pPr>
              <w:pStyle w:val="Normal"/>
              <w:jc w:val="center"/>
              <w:rPr/>
            </w:pPr>
            <w:r>
              <w:rPr>
                <w:rFonts w:eastAsia="Times New Roman" w:cs="Times New Roman"/>
                <w:b/>
                <w:bCs/>
                <w:color w:val="000000"/>
                <w:sz w:val="20"/>
                <w:szCs w:val="20"/>
              </w:rPr>
              <w:t>Phase</w:t>
            </w:r>
          </w:p>
        </w:tc>
        <w:tc>
          <w:tcPr>
            <w:tcW w:w="4560" w:type="dxa"/>
            <w:tcBorders>
              <w:top w:val="single" w:sz="2" w:space="0" w:color="AAAAAA"/>
              <w:left w:val="single" w:sz="2" w:space="0" w:color="AAAAAA"/>
              <w:bottom w:val="single" w:sz="2" w:space="0" w:color="AAAAAA"/>
              <w:right w:val="single" w:sz="2" w:space="0" w:color="AAAAAA"/>
            </w:tcBorders>
            <w:shd w:fill="DDDDDD" w:val="clear"/>
            <w:vAlign w:val="center"/>
          </w:tcPr>
          <w:p>
            <w:pPr>
              <w:pStyle w:val="Normal"/>
              <w:jc w:val="center"/>
              <w:rPr/>
            </w:pPr>
            <w:r>
              <w:rPr>
                <w:rFonts w:eastAsia="Times New Roman" w:cs="Times New Roman"/>
                <w:b/>
                <w:bCs/>
                <w:color w:val="000000"/>
                <w:sz w:val="20"/>
                <w:szCs w:val="20"/>
              </w:rPr>
              <w:t>Activity</w:t>
            </w:r>
          </w:p>
        </w:tc>
        <w:tc>
          <w:tcPr>
            <w:tcW w:w="3001" w:type="dxa"/>
            <w:tcBorders>
              <w:top w:val="single" w:sz="2" w:space="0" w:color="AAAAAA"/>
              <w:left w:val="single" w:sz="2" w:space="0" w:color="AAAAAA"/>
              <w:bottom w:val="single" w:sz="2" w:space="0" w:color="AAAAAA"/>
              <w:right w:val="single" w:sz="2" w:space="0" w:color="AAAAAA"/>
            </w:tcBorders>
            <w:shd w:fill="DDDDDD" w:val="clear"/>
            <w:vAlign w:val="center"/>
          </w:tcPr>
          <w:p>
            <w:pPr>
              <w:pStyle w:val="Normal"/>
              <w:jc w:val="center"/>
              <w:rPr/>
            </w:pPr>
            <w:r>
              <w:rPr>
                <w:rFonts w:eastAsia="Times New Roman" w:cs="Times New Roman"/>
                <w:b/>
                <w:bCs/>
                <w:color w:val="000000"/>
                <w:sz w:val="20"/>
                <w:szCs w:val="20"/>
              </w:rPr>
              <w:t>Duration</w:t>
            </w:r>
          </w:p>
        </w:tc>
      </w:tr>
      <w:tr>
        <w:trPr/>
        <w:tc>
          <w:tcPr>
            <w:tcW w:w="17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bCs/>
                <w:color w:val="000000"/>
                <w:sz w:val="20"/>
                <w:szCs w:val="20"/>
              </w:rPr>
              <w:t>Phase 1</w:t>
            </w:r>
          </w:p>
        </w:tc>
        <w:tc>
          <w:tcPr>
            <w:tcW w:w="45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Literature review; gap extraction; assumption mapping across 50 papers</w:t>
            </w:r>
          </w:p>
        </w:tc>
        <w:tc>
          <w:tcPr>
            <w:tcW w:w="30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Weeks 1–4</w:t>
            </w:r>
          </w:p>
        </w:tc>
      </w:tr>
      <w:tr>
        <w:trPr/>
        <w:tc>
          <w:tcPr>
            <w:tcW w:w="17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bCs/>
                <w:color w:val="000000"/>
                <w:sz w:val="20"/>
                <w:szCs w:val="20"/>
              </w:rPr>
              <w:t>Phase 2</w:t>
            </w:r>
          </w:p>
        </w:tc>
        <w:tc>
          <w:tcPr>
            <w:tcW w:w="45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System model formulation; mathematical derivation of simplified recovery algorithm</w:t>
            </w:r>
          </w:p>
        </w:tc>
        <w:tc>
          <w:tcPr>
            <w:tcW w:w="30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Weeks 5–8</w:t>
            </w:r>
          </w:p>
        </w:tc>
      </w:tr>
      <w:tr>
        <w:trPr/>
        <w:tc>
          <w:tcPr>
            <w:tcW w:w="17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bCs/>
                <w:color w:val="000000"/>
                <w:sz w:val="20"/>
                <w:szCs w:val="20"/>
              </w:rPr>
              <w:t>Phase 3</w:t>
            </w:r>
          </w:p>
        </w:tc>
        <w:tc>
          <w:tcPr>
            <w:tcW w:w="45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Simulation in MATLAB/Python; performance benchmarking and validation</w:t>
            </w:r>
          </w:p>
        </w:tc>
        <w:tc>
          <w:tcPr>
            <w:tcW w:w="30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Weeks 9–14</w:t>
            </w:r>
          </w:p>
        </w:tc>
      </w:tr>
      <w:tr>
        <w:trPr/>
        <w:tc>
          <w:tcPr>
            <w:tcW w:w="1799"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bCs/>
                <w:color w:val="000000"/>
                <w:sz w:val="20"/>
                <w:szCs w:val="20"/>
              </w:rPr>
              <w:t>Phase 4</w:t>
            </w:r>
          </w:p>
        </w:tc>
        <w:tc>
          <w:tcPr>
            <w:tcW w:w="4560"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Technical report writing; paper draft; final presentation</w:t>
            </w:r>
          </w:p>
        </w:tc>
        <w:tc>
          <w:tcPr>
            <w:tcW w:w="3001" w:type="dxa"/>
            <w:tcBorders>
              <w:top w:val="single" w:sz="2" w:space="0" w:color="AAAAAA"/>
              <w:left w:val="single" w:sz="2" w:space="0" w:color="AAAAAA"/>
              <w:bottom w:val="single" w:sz="2" w:space="0" w:color="AAAAAA"/>
              <w:right w:val="single" w:sz="2" w:space="0" w:color="AAAAAA"/>
            </w:tcBorders>
            <w:vAlign w:val="center"/>
          </w:tcPr>
          <w:p>
            <w:pPr>
              <w:pStyle w:val="Normal"/>
              <w:jc w:val="left"/>
              <w:rPr/>
            </w:pPr>
            <w:r>
              <w:rPr>
                <w:rFonts w:eastAsia="Times New Roman" w:cs="Times New Roman"/>
                <w:b w:val="false"/>
                <w:bCs w:val="false"/>
                <w:color w:val="000000"/>
                <w:sz w:val="20"/>
                <w:szCs w:val="20"/>
              </w:rPr>
              <w:t>Weeks 15–16</w:t>
            </w:r>
          </w:p>
        </w:tc>
      </w:tr>
    </w:tbl>
    <w:p>
      <w:pPr>
        <w:pStyle w:val="Normal"/>
        <w:pBdr>
          <w:bottom w:val="single" w:sz="4" w:space="2" w:color="000000"/>
        </w:pBdr>
        <w:spacing w:before="160" w:after="60"/>
        <w:jc w:val="left"/>
        <w:rPr/>
      </w:pPr>
      <w:r>
        <w:rPr>
          <w:rFonts w:eastAsia="Times New Roman" w:cs="Times New Roman"/>
          <w:b/>
          <w:bCs/>
          <w:color w:val="000000"/>
          <w:sz w:val="22"/>
          <w:szCs w:val="22"/>
        </w:rPr>
        <w:t>7.  Expected Outcomes</w:t>
      </w:r>
    </w:p>
    <w:p>
      <w:pPr>
        <w:pStyle w:val="ListParagraph"/>
        <w:numPr>
          <w:ilvl w:val="0"/>
          <w:numId w:val="1"/>
        </w:numPr>
        <w:spacing w:before="30" w:after="30"/>
        <w:rPr/>
      </w:pPr>
      <w:r>
        <w:rPr>
          <w:rFonts w:eastAsia="Times New Roman" w:cs="Times New Roman"/>
          <w:b w:val="false"/>
          <w:bCs w:val="false"/>
          <w:color w:val="000000"/>
          <w:sz w:val="21"/>
          <w:szCs w:val="21"/>
        </w:rPr>
        <w:t>A simplified, real-time disaster recovery decision algorithm for cloud-MEC systems.</w:t>
      </w:r>
    </w:p>
    <w:p>
      <w:pPr>
        <w:pStyle w:val="ListParagraph"/>
        <w:numPr>
          <w:ilvl w:val="0"/>
          <w:numId w:val="1"/>
        </w:numPr>
        <w:spacing w:before="30" w:after="30"/>
        <w:rPr>
          <w:rFonts w:ascii="Times New Roman" w:hAnsi="Times New Roman" w:eastAsia="Times New Roman" w:cs="Times New Roman"/>
          <w:b w:val="false"/>
          <w:bCs w:val="false"/>
          <w:color w:val="000000"/>
          <w:sz w:val="21"/>
          <w:szCs w:val="21"/>
        </w:rPr>
      </w:pPr>
      <w:r>
        <w:rPr>
          <w:rFonts w:eastAsia="Times New Roman" w:cs="Times New Roman"/>
          <w:b w:val="false"/>
          <w:bCs w:val="false"/>
          <w:color w:val="000000"/>
          <w:sz w:val="21"/>
          <w:szCs w:val="21"/>
        </w:rPr>
        <w:t>A predictive failure detection model with demonstrated accuracy above 90%.</w:t>
      </w:r>
    </w:p>
    <w:sectPr>
      <w:type w:val="nextPage"/>
      <w:pgSz w:w="12240" w:h="15840"/>
      <w:pgMar w:left="1080" w:right="1080" w:gutter="0" w:header="0" w:top="1080" w:footer="0" w:bottom="1080"/>
      <w:pgNumType w:fmt="decimal"/>
      <w:formProt w:val="false"/>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ans">
    <w:altName w:val="Arial"/>
    <w:charset w:val="01"/>
    <w:family w:val="roman"/>
    <w:pitch w:val="variable"/>
  </w:font>
  <w:font w:name="Times New Roman">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60" w:hanging="28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4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Liberation Sans"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D7DB18DCBC304299E9F809C49A82E4" ma:contentTypeVersion="3" ma:contentTypeDescription="Create a new document." ma:contentTypeScope="" ma:versionID="9b2e10c7608923f4614d233561b0b043">
  <xsd:schema xmlns:xsd="http://www.w3.org/2001/XMLSchema" xmlns:xs="http://www.w3.org/2001/XMLSchema" xmlns:p="http://schemas.microsoft.com/office/2006/metadata/properties" xmlns:ns2="9677db7c-0096-40a1-a807-b2403da2b57a" targetNamespace="http://schemas.microsoft.com/office/2006/metadata/properties" ma:root="true" ma:fieldsID="3e0b4a8cb43b5272e569760352afb8e1" ns2:_="">
    <xsd:import namespace="9677db7c-0096-40a1-a807-b2403da2b57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77db7c-0096-40a1-a807-b2403da2b5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629348-63FC-423A-B5EC-C30435899B32}"/>
</file>

<file path=customXml/itemProps2.xml><?xml version="1.0" encoding="utf-8"?>
<ds:datastoreItem xmlns:ds="http://schemas.openxmlformats.org/officeDocument/2006/customXml" ds:itemID="{E2DBCF3F-364C-468B-980C-26FFA2BED42E}"/>
</file>

<file path=customXml/itemProps3.xml><?xml version="1.0" encoding="utf-8"?>
<ds:datastoreItem xmlns:ds="http://schemas.openxmlformats.org/officeDocument/2006/customXml" ds:itemID="{FB4275F8-E9D7-4860-9E10-EB4B34070BEC}"/>
</file>

<file path=docProps/app.xml><?xml version="1.0" encoding="utf-8"?>
<Properties xmlns="http://schemas.openxmlformats.org/officeDocument/2006/extended-properties" xmlns:vt="http://schemas.openxmlformats.org/officeDocument/2006/docPropsVTypes">
  <Template/>
  <TotalTime>2</TotalTime>
  <Application>LibreOfficeDev/24.8.7.2.0$Android_AARCH64 LibreOffice_project/</Application>
  <AppVersion>15.0000</AppVersion>
  <Pages>2</Pages>
  <Words>554</Words>
  <Characters>3543</Characters>
  <CharactersWithSpaces>4042</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
  <cp:revision>2</cp:revision>
  <dcterms:created xsi:type="dcterms:W3CDTF">2026-04-03T11:10:43Z</dcterms:created>
  <dcterms:modified xsi:type="dcterms:W3CDTF">2026-04-04T03:15:18Z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0x010100AED7DB18DCBC304299E9F809C49A82E4</vt:lpwstr>
  </property>
</Properties>
</file>