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1F1F"/>
          <w:sz w:val="40"/>
          <w:szCs w:val="40"/>
        </w:rPr>
        <w:t xml:space="preserve">Scale-Aware Joint Compression</w:t>
      </w:r>
    </w:p>
    <w:p>
      <w:pPr>
        <w:spacing w:after="200"/>
      </w:pPr>
      <w:r>
        <w:rPr>
          <w:i/>
          <w:iCs/>
          <w:color w:val="595959"/>
          <w:sz w:val="24"/>
          <w:szCs w:val="24"/>
        </w:rPr>
        <w:t xml:space="preserve">Does joint pruning-and-quantisation beat sequential compression more, or less, as language models get bigger?</w:t>
      </w:r>
    </w:p>
    <w:p>
      <w:pPr>
        <w:spacing w:after="160" w:line="276"/>
      </w:pPr>
      <w:r>
        <w:rPr>
          <w:color w:val="595959"/>
          <w:sz w:val="20"/>
          <w:szCs w:val="20"/>
        </w:rPr>
        <w:t xml:space="preserve">Research overview and approach  ·  </w:t>
      </w:r>
      <w:r>
        <w:rPr>
          <w:color w:val="1155CC"/>
          <w:sz w:val="20"/>
          <w:szCs w:val="20"/>
          <w:u w:val="single"/>
        </w:rPr>
        <w:t xml:space="preserve">github.com/shehryarf67/Scale-Aware-Joint-Compression</w:t>
      </w:r>
    </w:p>
    <w:p>
      <w:pPr>
        <w:pBdr>
          <w:bottom w:val="single" w:color="CCCCCC" w:sz="6" w:space="1"/>
        </w:pBdr>
        <w:spacing w:after="200" w:before="100"/>
      </w:pPr>
    </w:p>
    <w:p>
      <w:pPr>
        <w:pStyle w:val="Heading1"/>
        <w:spacing w:after="200" w:before="400"/>
      </w:pPr>
      <w:r>
        <w:t xml:space="preserve">What this project is, in one paragraph</w:t>
      </w:r>
    </w:p>
    <w:p>
      <w:pPr>
        <w:spacing w:after="160" w:line="276"/>
      </w:pPr>
      <w:r>
        <w:t xml:space="preserve">Small language models are usually compressed by pruning first and quantising second, tuned independently and stitched together. A joint pipeline that optimises for both at once is the alternative proposed in scattered prior work — but almost always tested at a single model size, which leaves the practical question unanswered: as a model gets bigger, does the extra engineering cost of joint optimisation pay off more, or less? This project answers that question directly. It runs both pipelines under identical, code-enforced fairness constraints across the Pythia model family (160M → 410M → 1B parameters), at matched compression budgets and matched optimisation cost, evaluates quality, downstream tasks, and — critically — measured CPU latency rather than theoretical FLOPs. The screening-stage result so far is genuinely surprising: the joint advantage does not grow with scale as the motivating hypothesis expected. It shrinks — from +1.69 percentage points of retained quality at 160M to +0.20pp at 1B — and a controlled mechanistic experiment explains why.</w:t>
      </w:r>
    </w:p>
    <w:p>
      <w:pPr>
        <w:pStyle w:val="Heading1"/>
        <w:spacing w:after="200" w:before="400"/>
      </w:pPr>
      <w:r>
        <w:t xml:space="preserve">Why this is worth pitching</w:t>
      </w:r>
    </w:p>
    <w:p>
      <w:pPr>
        <w:spacing w:after="160" w:line="276"/>
      </w:pPr>
      <w:r>
        <w:t xml:space="preserve">Five things distinguish this from a typical class compression project or a typical compression paper:</w:t>
      </w:r>
    </w:p>
    <w:p>
      <w:pPr>
        <w:pStyle w:val="Heading2"/>
        <w:spacing w:after="120" w:before="280"/>
      </w:pPr>
      <w:r>
        <w:t xml:space="preserve">1. It asks a question the literature has left open</w:t>
      </w:r>
    </w:p>
    <w:p>
      <w:pPr>
        <w:spacing w:after="160" w:line="276"/>
      </w:pPr>
      <w:r>
        <w:t xml:space="preserve">Joint pruning-and-quantisation methods exist in the literature, but every one of them reports results at one model size. Nobody has asked whether the joint-versus-sequential gap changes as models scale — which is exactly the question a practitioner with a fixed model size and a fixed compute budget actually has. This project is a controlled measurement of that gap across a full order of magnitude of parameter count, not a new compression method.</w:t>
      </w:r>
    </w:p>
    <w:p>
      <w:pPr>
        <w:pStyle w:val="Heading2"/>
        <w:spacing w:after="120" w:before="280"/>
      </w:pPr>
      <w:r>
        <w:t xml:space="preserve">2. The comparison is fair by construction, not by description</w:t>
      </w:r>
    </w:p>
    <w:p>
      <w:pPr>
        <w:spacing w:after="160" w:line="276"/>
      </w:pPr>
      <w:r>
        <w:t xml:space="preserve">Most ad-hoc comparisons of two pipelines quietly let one arm train longer, see different data, or get evaluated on a different window. Here, every fairness requirement is enforced in code and checked by automated tests, not just written down:</w:t>
      </w:r>
    </w:p>
    <w:p>
      <w:pPr>
        <w:pStyle w:val="ListParagraph"/>
        <w:numPr>
          <w:ilvl w:val="0"/>
          <w:numId w:val="2"/>
        </w:numPr>
        <w:spacing w:after="100" w:line="276"/>
      </w:pPr>
      <w:r>
        <w:t xml:space="preserve">Matched optimisation budget in optimiser/local steps between the joint and sequential arms, recorded per stage — a mismatch here is the single easiest way to fake a positive result, and it is asserted against in the test suite.</w:t>
      </w:r>
    </w:p>
    <w:p>
      <w:pPr>
        <w:pStyle w:val="ListParagraph"/>
        <w:numPr>
          <w:ilvl w:val="0"/>
          <w:numId w:val="2"/>
        </w:numPr>
        <w:spacing w:after="100" w:line="276"/>
      </w:pPr>
      <w:r>
        <w:t xml:space="preserve">Identical calibration set, drawn from a fixed calibration seed independent of the run seed, so error bars from re-seeding don't also reshuffle the calibration data.</w:t>
      </w:r>
    </w:p>
    <w:p>
      <w:pPr>
        <w:pStyle w:val="ListParagraph"/>
        <w:numPr>
          <w:ilvl w:val="0"/>
          <w:numId w:val="2"/>
        </w:numPr>
        <w:spacing w:after="100" w:line="276"/>
      </w:pPr>
      <w:r>
        <w:t xml:space="preserve">Measured sparsity and quantisation conversion reported next to the target, every run — a compressed artefact is verified, not assumed.</w:t>
      </w:r>
    </w:p>
    <w:p>
      <w:pPr>
        <w:pStyle w:val="ListParagraph"/>
        <w:numPr>
          <w:ilvl w:val="0"/>
          <w:numId w:val="2"/>
        </w:numPr>
        <w:spacing w:after="100" w:line="276"/>
      </w:pPr>
      <w:r>
        <w:t xml:space="preserve">Retention is computed against each model's own dense FP32 baseline rather than raw perplexity, so the metric doesn't trend with scale for reasons that have nothing to do with compression.</w:t>
      </w:r>
    </w:p>
    <w:p>
      <w:pPr>
        <w:pStyle w:val="Heading2"/>
        <w:spacing w:after="120" w:before="280"/>
      </w:pPr>
      <w:r>
        <w:t xml:space="preserve">3. Deployment claims are measured, not assumed</w:t>
      </w:r>
    </w:p>
    <w:p>
      <w:pPr>
        <w:spacing w:after="160" w:line="276"/>
      </w:pPr>
      <w:r>
        <w:t xml:space="preserve">Compression papers routinely report theoretical size or FLOP reduction and imply a speedup. This project measured it: on CPU, with pinned threads, warm-up, and 30 measured runs per cell. The result is a useful negative finding in its own right — 30% unstructured sparsity produced only a 1–3% CPU latency change against a naive expectation of roughly 30%, because a dense BLAS kernel multiplies by zero anyway rather than skipping it. That is a finding about the deployment path, stated as such, not buried as a limitation.</w:t>
      </w:r>
    </w:p>
    <w:p>
      <w:pPr>
        <w:pStyle w:val="Heading2"/>
        <w:spacing w:after="120" w:before="280"/>
      </w:pPr>
      <w:r>
        <w:t xml:space="preserve">4. A surprising result, with the mechanism behind it isolated</w:t>
      </w:r>
    </w:p>
    <w:p>
      <w:pPr>
        <w:spacing w:after="160" w:line="276"/>
      </w:pPr>
      <w:r>
        <w:t xml:space="preserve">The headline scale-trend number runs against the study's own motivating hypothesis: joint gain shrinks as models grow (160M → 410M → 1B: +1.69pp → +0.39pp → +0.20pp, screening-stage, validation split). Rather than stop at the number, a matched-quality mechanistic control (two recipes tuned to nearly identical retention, one at the precision where the joint mechanism is predicted to be active and one where it is predicted to be inert) isolated why: mask divergence between the two pipelines is 8.86% at 4-bit precision and 0.46% at 8-bit, and the measured joint gain tracks that divergence almost exactly. That is the difference between reporting a number and explaining it.</w:t>
      </w:r>
    </w:p>
    <w:p>
      <w:pPr>
        <w:pStyle w:val="Heading2"/>
        <w:spacing w:after="120" w:before="280"/>
      </w:pPr>
      <w:r>
        <w:t xml:space="preserve">5. Reproducibility is a design constraint, not an appendix note</w:t>
      </w:r>
    </w:p>
    <w:p>
      <w:pPr>
        <w:spacing w:after="160" w:line="276"/>
      </w:pPr>
      <w:r>
        <w:t xml:space="preserve">Every run record carries its git commit, hardware, software versions, and evaluation device. A results table refuses to mix machines. Nothing is promoted from raw output to a citable result without a promotion checklist. Unimplemented paths raise an error naming exactly what to build, rather than returning a plausible-looking placeholder number. For an audience of instructors, this is the part that signals the difference between a class project and a defensible piece of research: the discipline is visible in the repository, not just claimed in the write-up.</w:t>
      </w:r>
    </w:p>
    <w:p>
      <w:pPr>
        <w:pStyle w:val="Heading1"/>
        <w:spacing w:after="200" w:before="400"/>
      </w:pPr>
      <w:r>
        <w:t xml:space="preserve">The research question</w:t>
      </w:r>
    </w:p>
    <w:p>
      <w:pPr>
        <w:spacing w:after="160" w:line="276"/>
      </w:pPr>
      <w:r>
        <w:rPr>
          <w:b/>
          <w:bCs/>
        </w:rPr>
        <w:t xml:space="preserve">Primary question: </w:t>
      </w:r>
      <w:r>
        <w:t xml:space="preserve">How does model scale influence the effectiveness of joint versus sequential pruning and quantisation in decoder-only language models?</w:t>
      </w:r>
    </w:p>
    <w:p>
      <w:pPr>
        <w:spacing w:after="160" w:line="276"/>
      </w:pPr>
      <w:r>
        <w:t xml:space="preserve">The quantity measured is joint gain — the joint pipeline's quality minus the sequential pipeline's quality, at a matched compression budget, with the sign convention always chosen so that a positive number means joint won:</w:t>
      </w:r>
    </w:p>
    <w:p>
      <w:pPr>
        <w:spacing w:after="80" w:before="80"/>
        <w:jc w:val="center"/>
      </w:pPr>
      <w:r>
        <w:rPr>
          <w:rFonts w:ascii="Consolas" w:cs="Consolas" w:eastAsia="Consolas" w:hAnsi="Consolas"/>
          <w:color w:val="1F1F1F"/>
          <w:sz w:val="20"/>
          <w:szCs w:val="20"/>
        </w:rPr>
        <w:t xml:space="preserve">joint_gain = joint_quality_score − sequential_quality_score</w:t>
      </w:r>
    </w:p>
    <w:p>
      <w:pPr>
        <w:spacing w:after="160" w:line="276"/>
      </w:pPr>
      <w:r>
        <w:t xml:space="preserve">The score is perplexity retention relative to each model's own dense baseline — not raw perplexity, which falls with scale for reasons unrelated to compression and would make any trend meaningless.</w:t>
      </w:r>
    </w:p>
    <w:p>
      <w:pPr>
        <w:spacing w:after="160" w:line="276"/>
      </w:pPr>
      <w:r>
        <w:t xml:space="preserve">Four secondary questions extend it: whether the effect appears only above a compression-severity threshold; whether the trend transfers to a second model family (Qwen2.5-0.5B); whether theoretical sparsity produces real CPU speedups; and how much extra training the joint pipeline actually costs relative to sequential at matched budget.</w:t>
      </w:r>
    </w:p>
    <w:p>
      <w:pPr>
        <w:pStyle w:val="Heading1"/>
        <w:spacing w:after="200" w:before="400"/>
      </w:pPr>
      <w:r>
        <w:t xml:space="preserve">Method</w:t>
      </w:r>
    </w:p>
    <w:p>
      <w:pPr>
        <w:spacing w:after="160" w:line="276"/>
      </w:pPr>
      <w:r>
        <w:t xml:space="preserve">Five arms run through one shared layerwise post-training reconstruction solver, so no arm gets a structurally different implementation:</w:t>
      </w:r>
    </w:p>
    <w:p>
      <w:pPr>
        <w:pStyle w:val="ListParagraph"/>
        <w:numPr>
          <w:ilvl w:val="0"/>
          <w:numId w:val="2"/>
        </w:numPr>
        <w:spacing w:after="100" w:line="276"/>
      </w:pPr>
      <w:r>
        <w:t xml:space="preserve">Dense FP32 — the reference every retention figure is measured against.</w:t>
      </w:r>
    </w:p>
    <w:p>
      <w:pPr>
        <w:pStyle w:val="ListParagraph"/>
        <w:numPr>
          <w:ilvl w:val="0"/>
          <w:numId w:val="2"/>
        </w:numPr>
        <w:spacing w:after="100" w:line="276"/>
      </w:pPr>
      <w:r>
        <w:t xml:space="preserve">Pruning only — magnitude-based, gradual schedule.</w:t>
      </w:r>
    </w:p>
    <w:p>
      <w:pPr>
        <w:pStyle w:val="ListParagraph"/>
        <w:numPr>
          <w:ilvl w:val="0"/>
          <w:numId w:val="2"/>
        </w:numPr>
        <w:spacing w:after="100" w:line="276"/>
      </w:pPr>
      <w:r>
        <w:t xml:space="preserve">Quantisation only — post-training, per-channel.</w:t>
      </w:r>
    </w:p>
    <w:p>
      <w:pPr>
        <w:pStyle w:val="ListParagraph"/>
        <w:numPr>
          <w:ilvl w:val="0"/>
          <w:numId w:val="2"/>
        </w:numPr>
        <w:spacing w:after="100" w:line="276"/>
      </w:pPr>
      <w:r>
        <w:t xml:space="preserve">Sequential — prune, recover, then quantise. The quantisation grid is fitted to already-pruned weights; the pruning decision never sees the grid.</w:t>
      </w:r>
    </w:p>
    <w:p>
      <w:pPr>
        <w:pStyle w:val="ListParagraph"/>
        <w:numPr>
          <w:ilvl w:val="0"/>
          <w:numId w:val="2"/>
        </w:numPr>
        <w:spacing w:after="100" w:line="276"/>
      </w:pPr>
      <w:r>
        <w:t xml:space="preserve">Joint — fake quantisation is inserted before any weight is pruned, so the pruning criterion ranks weights as the quantisation grid will actually represent them, and one optimisation run compensates for both perturbations together. This is the arm under test.</w:t>
      </w:r>
    </w:p>
    <w:p>
      <w:pPr>
        <w:spacing w:after="160" w:line="276"/>
      </w:pPr>
      <w:r>
        <w:t xml:space="preserve">Two compression budgets are run per model: moderate (higher bit width, a near-inert control where the joint mechanism is expected to do nothing) and aggressive (low bit width, where mask divergence between the two pipelines is large enough to matter). Testing both is what turns “does joint help” into “under what conditions does joint help,” which is the more useful question for a practitioner.</w:t>
      </w:r>
    </w:p>
    <w:p>
      <w:pPr>
        <w:pStyle w:val="Heading1"/>
        <w:spacing w:after="200" w:before="400"/>
      </w:pPr>
      <w:r>
        <w:t xml:space="preserve">Experimental design</w:t>
      </w:r>
    </w:p>
    <w:p>
      <w:pPr>
        <w:spacing w:after="160" w:line="276"/>
      </w:pPr>
      <w:r>
        <w:t xml:space="preserve">Pythia 160M / 410M / 1B (a fourth point, 1.4B, is optional and reported separately) × 5 arms × 2 budgets × 3 seeds, evaluated on WikiText-2 with fixed-length non-overlapping windows. An external validation pass repeats the same arms, budgets, and seeds on Qwen2.5-0.5B — a different tokeniser and training corpus — to check whether the Pythia trend is a property of the phenomenon or a property of Pythia.</w:t>
      </w:r>
    </w:p>
    <w:p>
      <w:pPr>
        <w:spacing w:after="160" w:line="276"/>
      </w:pPr>
      <w:r>
        <w:t xml:space="preserve">Every deployment number (latency, throughput, memory, checkpoint size) is measured on one pinned CPU host, never GPU, and a results table refuses to combine records from more than one machine. Compression and quality evaluation are portable across any CUDA machine — this is what let the pipeline be validated on a Colab T4 GPU as well as the primary benchmark host, without compromising the deployment numbers, which stay CPU-only and single-host by construction.</w:t>
      </w:r>
    </w:p>
    <w:p>
      <w:pPr>
        <w:pStyle w:val="Heading1"/>
        <w:spacing w:after="200" w:before="400"/>
      </w:pPr>
      <w:r>
        <w:t xml:space="preserve">Key findings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4"/>
              <w:bottom w:val="single" w:color="B8860B" w:sz="4"/>
              <w:right w:val="single" w:color="B8860B" w:sz="4"/>
            </w:tcBorders>
            <w:shd w:fill="FBF3E3" w:val="clear"/>
            <w:tcMar>
              <w:top w:type="dxa" w:w="160"/>
              <w:left w:type="dxa" w:w="200"/>
              <w:bottom w:type="dxa" w:w="160"/>
              <w:right w:type="dxa" w:w="200"/>
            </w:tcMar>
          </w:tcPr>
          <w:p>
            <w:pPr>
              <w:spacing w:after="80"/>
            </w:pPr>
            <w:r>
              <w:rPr>
                <w:b/>
                <w:bCs/>
                <w:color w:val="1F1F1F"/>
                <w:sz w:val="20"/>
                <w:szCs w:val="20"/>
              </w:rPr>
              <w:t xml:space="preserve">How to read the numbers below</w:t>
            </w:r>
          </w:p>
          <w:p>
            <w:pPr>
              <w:spacing w:after="60"/>
            </w:pPr>
            <w:r>
              <w:rPr>
                <w:color w:val="1F1F1F"/>
                <w:sz w:val="19"/>
                <w:szCs w:val="19"/>
              </w:rPr>
              <w:t xml:space="preserve">This project labels every number with how much it can be trusted, and this document preserves those labels rather than flattening them.</w:t>
            </w:r>
          </w:p>
          <w:p>
            <w:pPr>
              <w:spacing w:after="60"/>
            </w:pPr>
            <w:r>
              <w:rPr>
                <w:color w:val="1F1F1F"/>
                <w:sz w:val="19"/>
                <w:szCs w:val="19"/>
              </w:rPr>
              <w:t xml:space="preserve">Screening-stage / validation-split findings: real experimental results, from the actual Pythia sweep, used to freeze the compression budgets and select the sequential order. Not yet the confirmatory test-split results the paper will report.</w:t>
            </w:r>
          </w:p>
          <w:p>
            <w:pPr>
              <w:spacing w:after="60"/>
            </w:pPr>
            <w:r>
              <w:rPr>
                <w:color w:val="1F1F1F"/>
                <w:sz w:val="19"/>
                <w:szCs w:val="19"/>
              </w:rPr>
              <w:t xml:space="preserve">Pilot pipeline-validation run: a Colab smoke test on 1 seed and 64 evaluation samples, used only to confirm the five-arm pipeline executes correctly end to end on independent hardware. Not a research result under any circumstance.</w:t>
            </w:r>
          </w:p>
        </w:tc>
      </w:tr>
    </w:tbl>
    <w:p>
      <w:pPr>
        <w:pStyle w:val="Heading2"/>
        <w:spacing w:after="120" w:before="280"/>
      </w:pPr>
      <w:r>
        <w:t xml:space="preserve">The headline trend: joint gain shrinks with scale (screening-stage, validation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shd w:fill="2F2F2F" w:val="clear"/>
            <w:tcMar>
              <w:top w:type="dxa" w:w="80"/>
              <w:left w:type="dxa" w:w="100"/>
              <w:bottom w:type="dxa" w:w="80"/>
              <w:right w:type="dxa" w:w="100"/>
            </w:tcMar>
          </w:tcPr>
          <w:p>
            <w:r>
              <w:rPr>
                <w:b/>
                <w:bCs/>
                <w:color w:val="FFFFFF"/>
                <w:sz w:val="19"/>
                <w:szCs w:val="19"/>
              </w:rPr>
              <w:t xml:space="preserve">Model scale</w:t>
            </w:r>
          </w:p>
        </w:tc>
        <w:tc>
          <w:tcPr>
            <w:tcW w:type="dxa" w:w="3276"/>
            <w:shd w:fill="2F2F2F" w:val="clear"/>
            <w:tcMar>
              <w:top w:type="dxa" w:w="80"/>
              <w:left w:type="dxa" w:w="100"/>
              <w:bottom w:type="dxa" w:w="80"/>
              <w:right w:type="dxa" w:w="100"/>
            </w:tcMar>
          </w:tcPr>
          <w:p>
            <w:r>
              <w:rPr>
                <w:b/>
                <w:bCs/>
                <w:color w:val="FFFFFF"/>
                <w:sz w:val="19"/>
                <w:szCs w:val="19"/>
              </w:rPr>
              <w:t xml:space="preserve">Joint gain (aggressive budget)</w:t>
            </w:r>
          </w:p>
        </w:tc>
        <w:tc>
          <w:tcPr>
            <w:tcW w:type="dxa" w:w="3276"/>
            <w:shd w:fill="2F2F2F" w:val="clear"/>
            <w:tcMar>
              <w:top w:type="dxa" w:w="80"/>
              <w:left w:type="dxa" w:w="100"/>
              <w:bottom w:type="dxa" w:w="80"/>
              <w:right w:type="dxa" w:w="100"/>
            </w:tcMar>
          </w:tcPr>
          <w:p>
            <w:r>
              <w:rPr>
                <w:b/>
                <w:bCs/>
                <w:color w:val="FFFFFF"/>
                <w:sz w:val="19"/>
                <w:szCs w:val="19"/>
              </w:rPr>
              <w:t xml:space="preserve">Consistency across 3 calibration draws</w:t>
            </w:r>
          </w:p>
        </w:tc>
      </w:tr>
      <w:tr>
        <w:tc>
          <w:tcPr>
            <w:tcW w:type="dxa" w:w="2808"/>
            <w:shd w:fill="FFFFFF" w:val="clear"/>
            <w:tcMar>
              <w:top w:type="dxa" w:w="70"/>
              <w:left w:type="dxa" w:w="100"/>
              <w:bottom w:type="dxa" w:w="70"/>
              <w:right w:type="dxa" w:w="100"/>
            </w:tcMar>
          </w:tcPr>
          <w:p>
            <w:r>
              <w:rPr>
                <w:sz w:val="19"/>
                <w:szCs w:val="19"/>
              </w:rPr>
              <w:t xml:space="preserve">160M</w:t>
            </w:r>
          </w:p>
        </w:tc>
        <w:tc>
          <w:tcPr>
            <w:tcW w:type="dxa" w:w="3276"/>
            <w:shd w:fill="FFFFFF" w:val="clear"/>
            <w:tcMar>
              <w:top w:type="dxa" w:w="70"/>
              <w:left w:type="dxa" w:w="100"/>
              <w:bottom w:type="dxa" w:w="70"/>
              <w:right w:type="dxa" w:w="100"/>
            </w:tcMar>
          </w:tcPr>
          <w:p>
            <w:r>
              <w:rPr>
                <w:sz w:val="19"/>
                <w:szCs w:val="19"/>
              </w:rPr>
              <w:t xml:space="preserve">+1.69 pp</w:t>
            </w:r>
          </w:p>
        </w:tc>
        <w:tc>
          <w:tcPr>
            <w:tcW w:type="dxa" w:w="3276"/>
            <w:shd w:fill="FFFFFF" w:val="clear"/>
            <w:tcMar>
              <w:top w:type="dxa" w:w="70"/>
              <w:left w:type="dxa" w:w="100"/>
              <w:bottom w:type="dxa" w:w="70"/>
              <w:right w:type="dxa" w:w="100"/>
            </w:tcMar>
          </w:tcPr>
          <w:p>
            <w:r>
              <w:rPr>
                <w:sz w:val="19"/>
                <w:szCs w:val="19"/>
              </w:rPr>
              <w:t xml:space="preserve">3/3 draws above the pre-registered ≥1.0pp importance bar</w:t>
            </w:r>
          </w:p>
        </w:tc>
      </w:tr>
      <w:tr>
        <w:tc>
          <w:tcPr>
            <w:tcW w:type="dxa" w:w="2808"/>
            <w:shd w:fill="F2F2F2" w:val="clear"/>
            <w:tcMar>
              <w:top w:type="dxa" w:w="70"/>
              <w:left w:type="dxa" w:w="100"/>
              <w:bottom w:type="dxa" w:w="70"/>
              <w:right w:type="dxa" w:w="100"/>
            </w:tcMar>
          </w:tcPr>
          <w:p>
            <w:r>
              <w:rPr>
                <w:sz w:val="19"/>
                <w:szCs w:val="19"/>
              </w:rPr>
              <w:t xml:space="preserve">410M</w:t>
            </w:r>
          </w:p>
        </w:tc>
        <w:tc>
          <w:tcPr>
            <w:tcW w:type="dxa" w:w="3276"/>
            <w:shd w:fill="F2F2F2" w:val="clear"/>
            <w:tcMar>
              <w:top w:type="dxa" w:w="70"/>
              <w:left w:type="dxa" w:w="100"/>
              <w:bottom w:type="dxa" w:w="70"/>
              <w:right w:type="dxa" w:w="100"/>
            </w:tcMar>
          </w:tcPr>
          <w:p>
            <w:r>
              <w:rPr>
                <w:sz w:val="19"/>
                <w:szCs w:val="19"/>
              </w:rPr>
              <w:t xml:space="preserve">+0.39 pp</w:t>
            </w:r>
          </w:p>
        </w:tc>
        <w:tc>
          <w:tcPr>
            <w:tcW w:type="dxa" w:w="3276"/>
            <w:shd w:fill="F2F2F2" w:val="clear"/>
            <w:tcMar>
              <w:top w:type="dxa" w:w="70"/>
              <w:left w:type="dxa" w:w="100"/>
              <w:bottom w:type="dxa" w:w="70"/>
              <w:right w:type="dxa" w:w="100"/>
            </w:tcMar>
          </w:tcPr>
          <w:p>
            <w:r>
              <w:rPr>
                <w:sz w:val="19"/>
                <w:szCs w:val="19"/>
              </w:rPr>
              <w:t xml:space="preserve">2/3 positive, sign inconsistent</w:t>
            </w:r>
          </w:p>
        </w:tc>
      </w:tr>
      <w:tr>
        <w:tc>
          <w:tcPr>
            <w:tcW w:type="dxa" w:w="2808"/>
            <w:shd w:fill="FFFFFF" w:val="clear"/>
            <w:tcMar>
              <w:top w:type="dxa" w:w="70"/>
              <w:left w:type="dxa" w:w="100"/>
              <w:bottom w:type="dxa" w:w="70"/>
              <w:right w:type="dxa" w:w="100"/>
            </w:tcMar>
          </w:tcPr>
          <w:p>
            <w:r>
              <w:rPr>
                <w:sz w:val="19"/>
                <w:szCs w:val="19"/>
              </w:rPr>
              <w:t xml:space="preserve">1B</w:t>
            </w:r>
          </w:p>
        </w:tc>
        <w:tc>
          <w:tcPr>
            <w:tcW w:type="dxa" w:w="3276"/>
            <w:shd w:fill="FFFFFF" w:val="clear"/>
            <w:tcMar>
              <w:top w:type="dxa" w:w="70"/>
              <w:left w:type="dxa" w:w="100"/>
              <w:bottom w:type="dxa" w:w="70"/>
              <w:right w:type="dxa" w:w="100"/>
            </w:tcMar>
          </w:tcPr>
          <w:p>
            <w:r>
              <w:rPr>
                <w:sz w:val="19"/>
                <w:szCs w:val="19"/>
              </w:rPr>
              <w:t xml:space="preserve">+0.20 pp</w:t>
            </w:r>
          </w:p>
        </w:tc>
        <w:tc>
          <w:tcPr>
            <w:tcW w:type="dxa" w:w="3276"/>
            <w:shd w:fill="FFFFFF" w:val="clear"/>
            <w:tcMar>
              <w:top w:type="dxa" w:w="70"/>
              <w:left w:type="dxa" w:w="100"/>
              <w:bottom w:type="dxa" w:w="70"/>
              <w:right w:type="dxa" w:w="100"/>
            </w:tcMar>
          </w:tcPr>
          <w:p>
            <w:r>
              <w:rPr>
                <w:sz w:val="19"/>
                <w:szCs w:val="19"/>
              </w:rPr>
              <w:t xml:space="preserve">3/3 positive, all below the importance bar</w:t>
            </w:r>
          </w:p>
        </w:tc>
      </w:tr>
    </w:tbl>
    <w:p>
      <w:pPr>
        <w:spacing w:after="240" w:before="60"/>
      </w:pPr>
      <w:r>
        <w:rPr>
          <w:i/>
          <w:iCs/>
          <w:color w:val="595959"/>
          <w:sz w:val="19"/>
          <w:szCs w:val="19"/>
        </w:rPr>
        <w:t xml:space="preserve">Source: findings_log.md F-32. Monotone decline across all three scale points measured so far — the opposite direction from the study's motivating hypothesis. Not yet a confirmatory result; the confirmatory sweep (Phase 8) is what the paper will cite.</w:t>
      </w:r>
    </w:p>
    <w:p>
      <w:pPr>
        <w:pStyle w:val="Heading2"/>
        <w:spacing w:after="120" w:before="280"/>
      </w:pPr>
      <w:r>
        <w:t xml:space="preserve">The mechanism behind it: mask divergence, isolated with a matched-quality control</w:t>
      </w:r>
    </w:p>
    <w:p>
      <w:pPr>
        <w:spacing w:after="160" w:line="276"/>
      </w:pPr>
      <w:r>
        <w:t xml:space="preserve">A matched-quality control compared two recipes tuned to almost the same retention — one at the precision where the joint mechanism is predicted active (30% sparsity, 4-bit), one where it is predicted inert (40% sparsity, 8-bit). If the earlier gain were just “worse compression helps joint,” both recipes would show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808"/>
        <w:gridCol w:w="2808"/>
        <w:gridCol w:w="2246"/>
      </w:tblGrid>
      <w:tr>
        <w:trPr>
          <w:tblHeader/>
        </w:trPr>
        <w:tc>
          <w:tcPr>
            <w:tcW w:type="dxa" w:w="1498"/>
            <w:shd w:fill="2F2F2F" w:val="clear"/>
            <w:tcMar>
              <w:top w:type="dxa" w:w="80"/>
              <w:left w:type="dxa" w:w="100"/>
              <w:bottom w:type="dxa" w:w="80"/>
              <w:right w:type="dxa" w:w="100"/>
            </w:tcMar>
          </w:tcPr>
          <w:p>
            <w:r>
              <w:rPr>
                <w:b/>
                <w:bCs/>
                <w:color w:val="FFFFFF"/>
                <w:sz w:val="19"/>
                <w:szCs w:val="19"/>
              </w:rPr>
              <w:t xml:space="preserve">Model</w:t>
            </w:r>
          </w:p>
        </w:tc>
        <w:tc>
          <w:tcPr>
            <w:tcW w:type="dxa" w:w="2808"/>
            <w:shd w:fill="2F2F2F" w:val="clear"/>
            <w:tcMar>
              <w:top w:type="dxa" w:w="80"/>
              <w:left w:type="dxa" w:w="100"/>
              <w:bottom w:type="dxa" w:w="80"/>
              <w:right w:type="dxa" w:w="100"/>
            </w:tcMar>
          </w:tcPr>
          <w:p>
            <w:r>
              <w:rPr>
                <w:b/>
                <w:bCs/>
                <w:color w:val="FFFFFF"/>
                <w:sz w:val="19"/>
                <w:szCs w:val="19"/>
              </w:rPr>
              <w:t xml:space="preserve">Joint gain, mechanism-active recipe (W4)</w:t>
            </w:r>
          </w:p>
        </w:tc>
        <w:tc>
          <w:tcPr>
            <w:tcW w:type="dxa" w:w="2808"/>
            <w:shd w:fill="2F2F2F" w:val="clear"/>
            <w:tcMar>
              <w:top w:type="dxa" w:w="80"/>
              <w:left w:type="dxa" w:w="100"/>
              <w:bottom w:type="dxa" w:w="80"/>
              <w:right w:type="dxa" w:w="100"/>
            </w:tcMar>
          </w:tcPr>
          <w:p>
            <w:r>
              <w:rPr>
                <w:b/>
                <w:bCs/>
                <w:color w:val="FFFFFF"/>
                <w:sz w:val="19"/>
                <w:szCs w:val="19"/>
              </w:rPr>
              <w:t xml:space="preserve">Joint gain, matched-quality control (W8)</w:t>
            </w:r>
          </w:p>
        </w:tc>
        <w:tc>
          <w:tcPr>
            <w:tcW w:type="dxa" w:w="2246"/>
            <w:shd w:fill="2F2F2F" w:val="clear"/>
            <w:tcMar>
              <w:top w:type="dxa" w:w="80"/>
              <w:left w:type="dxa" w:w="100"/>
              <w:bottom w:type="dxa" w:w="80"/>
              <w:right w:type="dxa" w:w="100"/>
            </w:tcMar>
          </w:tcPr>
          <w:p>
            <w:r>
              <w:rPr>
                <w:b/>
                <w:bCs/>
                <w:color w:val="FFFFFF"/>
                <w:sz w:val="19"/>
                <w:szCs w:val="19"/>
              </w:rPr>
              <w:t xml:space="preserve">Difference</w:t>
            </w:r>
          </w:p>
        </w:tc>
      </w:tr>
      <w:tr>
        <w:tc>
          <w:tcPr>
            <w:tcW w:type="dxa" w:w="1498"/>
            <w:shd w:fill="FFFFFF" w:val="clear"/>
            <w:tcMar>
              <w:top w:type="dxa" w:w="70"/>
              <w:left w:type="dxa" w:w="100"/>
              <w:bottom w:type="dxa" w:w="70"/>
              <w:right w:type="dxa" w:w="100"/>
            </w:tcMar>
          </w:tcPr>
          <w:p>
            <w:r>
              <w:rPr>
                <w:sz w:val="19"/>
                <w:szCs w:val="19"/>
              </w:rPr>
              <w:t xml:space="preserve">160M</w:t>
            </w:r>
          </w:p>
        </w:tc>
        <w:tc>
          <w:tcPr>
            <w:tcW w:type="dxa" w:w="2808"/>
            <w:shd w:fill="FFFFFF" w:val="clear"/>
            <w:tcMar>
              <w:top w:type="dxa" w:w="70"/>
              <w:left w:type="dxa" w:w="100"/>
              <w:bottom w:type="dxa" w:w="70"/>
              <w:right w:type="dxa" w:w="100"/>
            </w:tcMar>
          </w:tcPr>
          <w:p>
            <w:r>
              <w:rPr>
                <w:sz w:val="19"/>
                <w:szCs w:val="19"/>
              </w:rPr>
              <w:t xml:space="preserve">+1.69 pp (3/3 positive)</w:t>
            </w:r>
          </w:p>
        </w:tc>
        <w:tc>
          <w:tcPr>
            <w:tcW w:type="dxa" w:w="2808"/>
            <w:shd w:fill="FFFFFF" w:val="clear"/>
            <w:tcMar>
              <w:top w:type="dxa" w:w="70"/>
              <w:left w:type="dxa" w:w="100"/>
              <w:bottom w:type="dxa" w:w="70"/>
              <w:right w:type="dxa" w:w="100"/>
            </w:tcMar>
          </w:tcPr>
          <w:p>
            <w:r>
              <w:rPr>
                <w:sz w:val="19"/>
                <w:szCs w:val="19"/>
              </w:rPr>
              <w:t xml:space="preserve">−0.09 pp (1/3 positive)</w:t>
            </w:r>
          </w:p>
        </w:tc>
        <w:tc>
          <w:tcPr>
            <w:tcW w:type="dxa" w:w="2246"/>
            <w:shd w:fill="FFFFFF" w:val="clear"/>
            <w:tcMar>
              <w:top w:type="dxa" w:w="70"/>
              <w:left w:type="dxa" w:w="100"/>
              <w:bottom w:type="dxa" w:w="70"/>
              <w:right w:type="dxa" w:w="100"/>
            </w:tcMar>
          </w:tcPr>
          <w:p>
            <w:r>
              <w:rPr>
                <w:sz w:val="19"/>
                <w:szCs w:val="19"/>
              </w:rPr>
              <w:t xml:space="preserve">+1.78 pp — clean, unanimous across draws</w:t>
            </w:r>
          </w:p>
        </w:tc>
      </w:tr>
      <w:tr>
        <w:tc>
          <w:tcPr>
            <w:tcW w:type="dxa" w:w="1498"/>
            <w:shd w:fill="F2F2F2" w:val="clear"/>
            <w:tcMar>
              <w:top w:type="dxa" w:w="70"/>
              <w:left w:type="dxa" w:w="100"/>
              <w:bottom w:type="dxa" w:w="70"/>
              <w:right w:type="dxa" w:w="100"/>
            </w:tcMar>
          </w:tcPr>
          <w:p>
            <w:r>
              <w:rPr>
                <w:sz w:val="19"/>
                <w:szCs w:val="19"/>
              </w:rPr>
              <w:t xml:space="preserve">410M</w:t>
            </w:r>
          </w:p>
        </w:tc>
        <w:tc>
          <w:tcPr>
            <w:tcW w:type="dxa" w:w="2808"/>
            <w:shd w:fill="F2F2F2" w:val="clear"/>
            <w:tcMar>
              <w:top w:type="dxa" w:w="70"/>
              <w:left w:type="dxa" w:w="100"/>
              <w:bottom w:type="dxa" w:w="70"/>
              <w:right w:type="dxa" w:w="100"/>
            </w:tcMar>
          </w:tcPr>
          <w:p>
            <w:r>
              <w:rPr>
                <w:sz w:val="19"/>
                <w:szCs w:val="19"/>
              </w:rPr>
              <w:t xml:space="preserve">+0.39 pp (2/3 positive)</w:t>
            </w:r>
          </w:p>
        </w:tc>
        <w:tc>
          <w:tcPr>
            <w:tcW w:type="dxa" w:w="2808"/>
            <w:shd w:fill="F2F2F2" w:val="clear"/>
            <w:tcMar>
              <w:top w:type="dxa" w:w="70"/>
              <w:left w:type="dxa" w:w="100"/>
              <w:bottom w:type="dxa" w:w="70"/>
              <w:right w:type="dxa" w:w="100"/>
            </w:tcMar>
          </w:tcPr>
          <w:p>
            <w:r>
              <w:rPr>
                <w:sz w:val="19"/>
                <w:szCs w:val="19"/>
              </w:rPr>
              <w:t xml:space="preserve">+0.09 pp (2/3 positive)</w:t>
            </w:r>
          </w:p>
        </w:tc>
        <w:tc>
          <w:tcPr>
            <w:tcW w:type="dxa" w:w="2246"/>
            <w:shd w:fill="F2F2F2" w:val="clear"/>
            <w:tcMar>
              <w:top w:type="dxa" w:w="70"/>
              <w:left w:type="dxa" w:w="100"/>
              <w:bottom w:type="dxa" w:w="70"/>
              <w:right w:type="dxa" w:w="100"/>
            </w:tcMar>
          </w:tcPr>
          <w:p>
            <w:r>
              <w:rPr>
                <w:sz w:val="19"/>
                <w:szCs w:val="19"/>
              </w:rPr>
              <w:t xml:space="preserve">+0.30 pp — no effect at either recipe to explain</w:t>
            </w:r>
          </w:p>
        </w:tc>
      </w:tr>
    </w:tbl>
    <w:p>
      <w:pPr>
        <w:spacing w:after="240" w:before="60"/>
      </w:pPr>
      <w:r>
        <w:rPr>
          <w:i/>
          <w:iCs/>
          <w:color w:val="595959"/>
          <w:sz w:val="19"/>
          <w:szCs w:val="19"/>
        </w:rPr>
        <w:t xml:space="preserve">Source: findings_log.md F-33 and F-05. The underlying cause: mask divergence between the joint and sequential pipelines is 8.86% of weights at 4-bit precision versus 0.46% at 8-bit — the joint mechanism has almost nothing to act on at 8-bit, which is exactly what the null control shows.</w:t>
      </w:r>
    </w:p>
    <w:p>
      <w:pPr>
        <w:pStyle w:val="Heading2"/>
        <w:spacing w:after="120" w:before="280"/>
      </w:pPr>
      <w:r>
        <w:t xml:space="preserve">Deployment: does the compression ratio become a real speedup?</w:t>
      </w:r>
    </w:p>
    <w:p>
      <w:pPr>
        <w:spacing w:after="160" w:line="276"/>
      </w:pPr>
      <w:r>
        <w:t xml:space="preserve">30% unstructured pruning was benchmarked on CPU at all three scales. Against a dense baseline, the measured latency change was 1–3%, an order of magnitude short of the ~30% a naive reading of the compression ratio would suggest, and only 9 of 12 cells even leaned in the faster direction (p = 0.15, not significant). The reason is mechanical, not a flaw in the pruning: an unstructured mask still stores zeros, and a dense CPU BLAS kernel multiplies by them rather than skipping them. Realising the theoretical speedup needs a structured sparsity pattern (2:4 / 4:8) and a kernel that exploits it — both already scoped as follow-up work, not assumed to be free.</w:t>
      </w:r>
    </w:p>
    <w:p>
      <w:pPr>
        <w:pStyle w:val="Heading2"/>
        <w:spacing w:after="120" w:before="280"/>
      </w:pPr>
      <w:r>
        <w:t xml:space="preserve">Downstream tasks and external anchoring</w:t>
      </w:r>
    </w:p>
    <w:p>
      <w:pPr>
        <w:spacing w:after="160" w:line="276"/>
      </w:pPr>
      <w:r>
        <w:t xml:space="preserve">Before trusting any arm-versus-arm downstream comparison, the harness was checked against something with a known answer: dense Pythia's scores on HellaSwag, PIQA, and ARC-Easy were compared to their published values, at all three scales, as a precondition for trusting anything measured on top of it. Across full-task evaluation (no subsampling) at the aggressive budget, no arm-to-arm difference on these downstream tasks was resolvable at the current sample size — reported as an honest null rather than omitted.</w:t>
      </w:r>
    </w:p>
    <w:p>
      <w:pPr>
        <w:pStyle w:val="Heading2"/>
        <w:spacing w:after="120" w:before="280"/>
      </w:pPr>
      <w:r>
        <w:t xml:space="preserve">Pipeline validation (not a research result)</w:t>
      </w:r>
    </w:p>
    <w:p>
      <w:pPr>
        <w:spacing w:after="160" w:line="276"/>
      </w:pPr>
      <w:r>
        <w:t xml:space="preserve">Separately from the screening results above, the full five-arm pipeline was run end to end from a clean checkout on an independent machine (Google Colab, Tesla T4 GPU) to confirm portability off the primary benchmark host. All five arms completed; retention and a verified matched optimisation budget (96 local steps, both arms) were confirmed programmatically rather than assumed. This used the pilot configuration — 1 seed, 64 evaluation samples — which is deliberately too small to support any comparison and is excluded from the findings log by the pilot configuration's own documented purpose. It demonstrates the pipeline works correctly on new hardware; it demonstrates nothing about which pipeline is better.</w:t>
      </w:r>
    </w:p>
    <w:p>
      <w:pPr>
        <w:pStyle w:val="Heading1"/>
        <w:spacing w:after="200" w:before="400"/>
      </w:pPr>
      <w:r>
        <w:t xml:space="preserve">What this study does not claim</w:t>
      </w:r>
    </w:p>
    <w:p>
      <w:pPr>
        <w:pStyle w:val="ListParagraph"/>
        <w:numPr>
          <w:ilvl w:val="0"/>
          <w:numId w:val="2"/>
        </w:numPr>
        <w:spacing w:after="100" w:line="276"/>
      </w:pPr>
      <w:r>
        <w:t xml:space="preserve">No scaling law — three or four points establish a direction, not a functional form, and no extrapolation beyond ~1.4B parameters is made.</w:t>
      </w:r>
    </w:p>
    <w:p>
      <w:pPr>
        <w:pStyle w:val="ListParagraph"/>
        <w:numPr>
          <w:ilvl w:val="0"/>
          <w:numId w:val="2"/>
        </w:numPr>
        <w:spacing w:after="100" w:line="276"/>
      </w:pPr>
      <w:r>
        <w:t xml:space="preserve">No claim about GPU deployment — every latency finding is a CPU finding, on one pinned host.</w:t>
      </w:r>
    </w:p>
    <w:p>
      <w:pPr>
        <w:pStyle w:val="ListParagraph"/>
        <w:numPr>
          <w:ilvl w:val="0"/>
          <w:numId w:val="2"/>
        </w:numPr>
        <w:spacing w:after="100" w:line="276"/>
      </w:pPr>
      <w:r>
        <w:t xml:space="preserve">No claim about downstream task accuracy beyond what was directly measured — perplexity and prediction agreement are the primary quality metrics.</w:t>
      </w:r>
    </w:p>
    <w:p>
      <w:pPr>
        <w:pStyle w:val="ListParagraph"/>
        <w:numPr>
          <w:ilvl w:val="0"/>
          <w:numId w:val="2"/>
        </w:numPr>
        <w:spacing w:after="100" w:line="276"/>
      </w:pPr>
      <w:r>
        <w:t xml:space="preserve">No claim of state-of-the-art compression — standard pruning and quantisation baselines are used deliberately, so the comparison between pipelines stays clean; a stronger base method could shift the gap in either direction.</w:t>
      </w:r>
    </w:p>
    <w:p>
      <w:pPr>
        <w:pStyle w:val="ListParagraph"/>
        <w:numPr>
          <w:ilvl w:val="0"/>
          <w:numId w:val="2"/>
        </w:numPr>
        <w:spacing w:after="100" w:line="276"/>
      </w:pPr>
      <w:r>
        <w:t xml:space="preserve">No result is reported without its conditions — model revision, calibration fingerprint, evaluation window, and machine are recorded against every number in the findings log, and a number without them cannot go in the paper.</w:t>
      </w:r>
    </w:p>
    <w:p>
      <w:pPr>
        <w:pStyle w:val="Heading1"/>
        <w:spacing w:after="200" w:before="400"/>
      </w:pPr>
      <w:r>
        <w:t xml:space="preserve">Current status</w:t>
      </w:r>
    </w:p>
    <w:p>
      <w:pPr>
        <w:spacing w:after="160" w:line="276"/>
      </w:pPr>
      <w:r>
        <w:t xml:space="preserve">Phases 0 through 7 are complete: infrastructure, the compression primitives, the layerwise driver, and a full screening pass across 160M, 410M and 1B that froze the two compression budgets and replicated the headline direction across three independent calibration draws at each scale. Phase 8 — the confirmatory sweep, on the held-out WikiText-2 test split with three full seeds per cell — is next, followed by the external Qwen validation and the CPU-only deployment sweep that will support the paper's Figure 2. Nothing from the screening stage above is final until Phase 8 reproduces it on the confirmatory split.</w:t>
      </w:r>
    </w:p>
    <w:p>
      <w:pPr>
        <w:pStyle w:val="Heading1"/>
        <w:spacing w:after="200" w:before="400"/>
      </w:pPr>
      <w:r>
        <w:t xml:space="preserve">Repository and reproducibility</w:t>
      </w:r>
    </w:p>
    <w:p>
      <w:pPr>
        <w:spacing w:after="160" w:line="276"/>
      </w:pPr>
      <w:r>
        <w:t xml:space="preserve">Code, configs, and the full documentation trail: </w:t>
      </w:r>
      <w:r>
        <w:rPr>
          <w:color w:val="1155CC"/>
          <w:u w:val="single"/>
        </w:rPr>
        <w:t xml:space="preserve">https://github.com/shehryarf67/Scale-Aware-Joint-Compression</w:t>
      </w:r>
    </w:p>
    <w:p>
      <w:pPr>
        <w:spacing w:after="160" w:line="276"/>
      </w:pPr>
      <w:r>
        <w:t xml:space="preserve">The governing documents, in order of authority, are the 28-page research plan, the method definition (exactly what the two arms are), the implementation plan (ten build phases with exit tests), the append-only findings log (every measurement, with its conditions), and the validity-threats document (what could still make these results wrong). Every run record is reproducible from a clean, committed git SHA, with hardware and software versions attached automatically.</w:t>
      </w:r>
    </w:p>
    <w:p>
      <w:pPr>
        <w:pStyle w:val="Heading1"/>
        <w:spacing w:after="200" w:before="400"/>
      </w:pPr>
      <w:r>
        <w:t xml:space="preserve">Moving to the LaTeX paper</w:t>
      </w:r>
    </w:p>
    <w:p>
      <w:pPr>
        <w:spacing w:after="160" w:line="276"/>
      </w:pPr>
      <w:r>
        <w:t xml:space="preserve">The repository already carries a full section-by-section paper outline (docs/paper_outline.md) written before the results existed, targeting a short empirical paper (~8 pages plus appendix). Its structure — introduction, method, deployment protocol, results (scale trend, budget dependence, latency, quality-versus-size trade-off, training cost, external validation), discussion, and limitations — is designed to be written in that order: method and limitations first, since they don't depend on the numbers, then results from the frozen tables, then discussion, and the abstract last, once the confirmatory numbers are in.</w:t>
      </w:r>
    </w:p>
    <w:p>
      <w:pPr>
        <w:spacing w:before="300"/>
      </w:pPr>
      <w: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2026-08-20T12:51:17.748Z</dcterms:created>
  <dcterms:modified xsi:type="dcterms:W3CDTF">2026-08-20T12:51:17.749Z</dcterms:modified>
</cp:coreProperties>
</file>

<file path=docProps/custom.xml><?xml version="1.0" encoding="utf-8"?>
<Properties xmlns="http://schemas.openxmlformats.org/officeDocument/2006/custom-properties" xmlns:vt="http://schemas.openxmlformats.org/officeDocument/2006/docPropsVTypes"/>
</file>