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445" w:rsidRPr="00B82A98" w:rsidRDefault="00B82A98" w:rsidP="00B82A98">
      <w:pPr>
        <w:pStyle w:val="Title"/>
        <w:jc w:val="center"/>
        <w:rPr>
          <w:b/>
          <w:sz w:val="72"/>
        </w:rPr>
      </w:pPr>
      <w:proofErr w:type="spellStart"/>
      <w:r w:rsidRPr="00B82A98">
        <w:rPr>
          <w:b/>
          <w:sz w:val="72"/>
        </w:rPr>
        <w:t>CVision</w:t>
      </w:r>
      <w:proofErr w:type="spellEnd"/>
    </w:p>
    <w:p w:rsidR="00B82A98" w:rsidRDefault="00B82A98" w:rsidP="00B82A98">
      <w:pPr>
        <w:jc w:val="center"/>
        <w:rPr>
          <w:b/>
          <w:sz w:val="52"/>
        </w:rPr>
      </w:pPr>
      <w:bookmarkStart w:id="0" w:name="_GoBack"/>
      <w:r w:rsidRPr="00B82A98">
        <w:rPr>
          <w:b/>
          <w:sz w:val="52"/>
        </w:rPr>
        <w:t>PHASE 1</w:t>
      </w:r>
      <w:bookmarkEnd w:id="0"/>
    </w:p>
    <w:p w:rsidR="00B82A98" w:rsidRDefault="00B82A98" w:rsidP="00B82A98">
      <w:r>
        <w:rPr>
          <w:rStyle w:val="Strong"/>
        </w:rPr>
        <w:t>Track:</w:t>
      </w:r>
      <w:r>
        <w:t xml:space="preserve"> A (Application Development)</w:t>
      </w:r>
    </w:p>
    <w:p w:rsidR="00B82A98" w:rsidRPr="00B82A98" w:rsidRDefault="00B82A98" w:rsidP="00B82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A98">
        <w:rPr>
          <w:rFonts w:ascii="Times New Roman" w:eastAsia="Times New Roman" w:hAnsi="Times New Roman" w:cs="Times New Roman"/>
          <w:b/>
          <w:bCs/>
          <w:sz w:val="27"/>
          <w:szCs w:val="27"/>
        </w:rPr>
        <w:t>1. Problem Statement</w:t>
      </w:r>
    </w:p>
    <w:p w:rsidR="00B82A98" w:rsidRPr="00B82A98" w:rsidRDefault="00B82A98" w:rsidP="00B82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sz w:val="24"/>
          <w:szCs w:val="24"/>
        </w:rPr>
        <w:t>Applying for jobs is now largely automated on the employer’s side. Most mid-to-large companies route applications through applicant tracking systems (ATS) that parse, filter, and rank CVs before a human reads them. Candidates, however, get almost no visibility into this process. A rejected applicant rarely receives an explanation, and most never learn whether the problem was weak content, poor formatting, missing skills, or a layout the ATS could not read.</w:t>
      </w:r>
    </w:p>
    <w:p w:rsidR="00B82A98" w:rsidRPr="00B82A98" w:rsidRDefault="00B82A98" w:rsidP="00B82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sz w:val="24"/>
          <w:szCs w:val="24"/>
        </w:rPr>
        <w:t>This creates several concrete pain points:</w:t>
      </w:r>
    </w:p>
    <w:p w:rsidR="00B82A98" w:rsidRPr="00B82A98" w:rsidRDefault="00B82A98" w:rsidP="009E1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bCs/>
          <w:sz w:val="24"/>
          <w:szCs w:val="24"/>
        </w:rPr>
        <w:t>Silent rejection.</w:t>
      </w:r>
      <w:r w:rsidRPr="00B82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82A98" w:rsidRPr="00B82A98" w:rsidRDefault="00B82A98" w:rsidP="009E1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bCs/>
          <w:sz w:val="24"/>
          <w:szCs w:val="24"/>
        </w:rPr>
        <w:t>Hidden formatting failures</w:t>
      </w:r>
    </w:p>
    <w:p w:rsidR="00B82A98" w:rsidRPr="00B82A98" w:rsidRDefault="00B82A98" w:rsidP="00B82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bCs/>
          <w:sz w:val="24"/>
          <w:szCs w:val="24"/>
        </w:rPr>
        <w:t>Weak, unquantified content</w:t>
      </w:r>
    </w:p>
    <w:p w:rsidR="00B82A98" w:rsidRPr="00B82A98" w:rsidRDefault="00B82A98" w:rsidP="00B82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bCs/>
          <w:sz w:val="24"/>
          <w:szCs w:val="24"/>
        </w:rPr>
        <w:t>Unclear skill gaps</w:t>
      </w:r>
    </w:p>
    <w:p w:rsidR="00B82A98" w:rsidRPr="00B82A98" w:rsidRDefault="00B82A98" w:rsidP="00B82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bCs/>
          <w:sz w:val="24"/>
          <w:szCs w:val="24"/>
        </w:rPr>
        <w:t>Unaffordable or untrustworthy help</w:t>
      </w:r>
    </w:p>
    <w:p w:rsidR="00B82A98" w:rsidRDefault="00B82A98" w:rsidP="00B82A98">
      <w:proofErr w:type="spellStart"/>
      <w:r>
        <w:t>CVision</w:t>
      </w:r>
      <w:proofErr w:type="spellEnd"/>
      <w:r>
        <w:t xml:space="preserve"> addresses this by turning a single uploaded PDF into a transparent, explainable evaluation: a quality score with a category breakdown, specific actionable findings, a role-fit score, and a skill-gap chart.</w:t>
      </w:r>
    </w:p>
    <w:p w:rsidR="00B82A98" w:rsidRPr="00B82A98" w:rsidRDefault="00B82A98" w:rsidP="00B82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A98">
        <w:rPr>
          <w:rFonts w:ascii="Times New Roman" w:eastAsia="Times New Roman" w:hAnsi="Times New Roman" w:cs="Times New Roman"/>
          <w:b/>
          <w:bCs/>
          <w:sz w:val="27"/>
          <w:szCs w:val="27"/>
        </w:rPr>
        <w:t>2. Target Audience</w:t>
      </w:r>
    </w:p>
    <w:p w:rsidR="00B82A98" w:rsidRPr="00B82A98" w:rsidRDefault="00B82A98" w:rsidP="00B82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b/>
          <w:bCs/>
          <w:sz w:val="24"/>
          <w:szCs w:val="24"/>
        </w:rPr>
        <w:t>Primary users</w:t>
      </w:r>
    </w:p>
    <w:p w:rsidR="00B82A98" w:rsidRPr="00B82A98" w:rsidRDefault="00B82A98" w:rsidP="00B82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sz w:val="24"/>
          <w:szCs w:val="24"/>
        </w:rPr>
        <w:t>University students and fresh graduates preparing their first CV for internships and entry-level jobs, who typically have no professional feedback available.</w:t>
      </w:r>
    </w:p>
    <w:p w:rsidR="00B82A98" w:rsidRPr="00B82A98" w:rsidRDefault="00B82A98" w:rsidP="00B82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sz w:val="24"/>
          <w:szCs w:val="24"/>
        </w:rPr>
        <w:t>Early-career professionals changing roles or industries who need to reposition their experience.</w:t>
      </w:r>
    </w:p>
    <w:p w:rsidR="00B82A98" w:rsidRPr="00B82A98" w:rsidRDefault="00B82A98" w:rsidP="00B82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users</w:t>
      </w:r>
    </w:p>
    <w:p w:rsidR="00B82A98" w:rsidRPr="00B82A98" w:rsidRDefault="00B82A98" w:rsidP="00B82A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sz w:val="24"/>
          <w:szCs w:val="24"/>
        </w:rPr>
        <w:t>University career-services offices and mentors, who could use the tool to give consistent first-pass feedback to many students at once.</w:t>
      </w:r>
    </w:p>
    <w:p w:rsidR="00B82A98" w:rsidRPr="00B82A98" w:rsidRDefault="00B82A98" w:rsidP="00B82A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2A98">
        <w:rPr>
          <w:rFonts w:ascii="Times New Roman" w:eastAsia="Times New Roman" w:hAnsi="Times New Roman" w:cs="Times New Roman"/>
          <w:sz w:val="24"/>
          <w:szCs w:val="24"/>
        </w:rPr>
        <w:t>Bootcamp</w:t>
      </w:r>
      <w:proofErr w:type="spellEnd"/>
      <w:r w:rsidRPr="00B82A98">
        <w:rPr>
          <w:rFonts w:ascii="Times New Roman" w:eastAsia="Times New Roman" w:hAnsi="Times New Roman" w:cs="Times New Roman"/>
          <w:sz w:val="24"/>
          <w:szCs w:val="24"/>
        </w:rPr>
        <w:t xml:space="preserve"> and training institutes, which could use skill-gap output to guide learners toward in-demand skills.</w:t>
      </w:r>
    </w:p>
    <w:p w:rsidR="00B82A98" w:rsidRPr="00B82A98" w:rsidRDefault="00B82A98" w:rsidP="00B82A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sz w:val="24"/>
          <w:szCs w:val="24"/>
        </w:rPr>
        <w:t>Freelancers building profiles for international markets.</w:t>
      </w:r>
    </w:p>
    <w:p w:rsidR="00B82A98" w:rsidRPr="00B82A98" w:rsidRDefault="00B82A98" w:rsidP="00B82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 </w:t>
      </w:r>
      <w:r w:rsidRPr="00B82A98">
        <w:rPr>
          <w:rFonts w:ascii="Times New Roman" w:eastAsia="Times New Roman" w:hAnsi="Times New Roman" w:cs="Times New Roman"/>
          <w:b/>
          <w:bCs/>
          <w:sz w:val="27"/>
          <w:szCs w:val="27"/>
        </w:rPr>
        <w:t>AI Justification</w:t>
      </w:r>
    </w:p>
    <w:p w:rsidR="00B82A98" w:rsidRPr="00B82A98" w:rsidRDefault="00B82A98" w:rsidP="00B82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sz w:val="24"/>
          <w:szCs w:val="24"/>
        </w:rPr>
        <w:t xml:space="preserve">Rule-based code handles measurable properties (page length, section presence, numbers in bullets), so </w:t>
      </w:r>
      <w:proofErr w:type="spellStart"/>
      <w:r w:rsidRPr="00B82A98">
        <w:rPr>
          <w:rFonts w:ascii="Times New Roman" w:eastAsia="Times New Roman" w:hAnsi="Times New Roman" w:cs="Times New Roman"/>
          <w:sz w:val="24"/>
          <w:szCs w:val="24"/>
        </w:rPr>
        <w:t>CVision</w:t>
      </w:r>
      <w:proofErr w:type="spellEnd"/>
      <w:r w:rsidRPr="00B82A98">
        <w:rPr>
          <w:rFonts w:ascii="Times New Roman" w:eastAsia="Times New Roman" w:hAnsi="Times New Roman" w:cs="Times New Roman"/>
          <w:sz w:val="24"/>
          <w:szCs w:val="24"/>
        </w:rPr>
        <w:t xml:space="preserve"> uses rules for those. The language-heavy parts need ML:</w:t>
      </w:r>
    </w:p>
    <w:p w:rsidR="00B82A98" w:rsidRPr="00B82A98" w:rsidRDefault="00B82A98" w:rsidP="00B82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b/>
          <w:bCs/>
          <w:sz w:val="24"/>
          <w:szCs w:val="24"/>
        </w:rPr>
        <w:t>Matching meaning, not keywords.</w:t>
      </w:r>
      <w:r w:rsidRPr="00B82A98">
        <w:rPr>
          <w:rFonts w:ascii="Times New Roman" w:eastAsia="Times New Roman" w:hAnsi="Times New Roman" w:cs="Times New Roman"/>
          <w:sz w:val="24"/>
          <w:szCs w:val="24"/>
        </w:rPr>
        <w:t xml:space="preserve"> Rules compare exact strings, so “built predictive models” would never match a “machine learning” requirement. Sentence </w:t>
      </w:r>
      <w:proofErr w:type="spellStart"/>
      <w:r w:rsidRPr="00B82A9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82A98">
        <w:rPr>
          <w:rFonts w:ascii="Times New Roman" w:eastAsia="Times New Roman" w:hAnsi="Times New Roman" w:cs="Times New Roman"/>
          <w:sz w:val="24"/>
          <w:szCs w:val="24"/>
        </w:rPr>
        <w:t xml:space="preserve"> place similar meanings close together, so relevance is captured even when the wording differs.</w:t>
      </w:r>
    </w:p>
    <w:p w:rsidR="00B82A98" w:rsidRPr="00B82A98" w:rsidRDefault="00B82A98" w:rsidP="00B82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b/>
          <w:bCs/>
          <w:sz w:val="24"/>
          <w:szCs w:val="24"/>
        </w:rPr>
        <w:t>Context-dependent skill extraction.</w:t>
      </w:r>
      <w:r w:rsidRPr="00B82A98">
        <w:rPr>
          <w:rFonts w:ascii="Times New Roman" w:eastAsia="Times New Roman" w:hAnsi="Times New Roman" w:cs="Times New Roman"/>
          <w:sz w:val="24"/>
          <w:szCs w:val="24"/>
        </w:rPr>
        <w:t xml:space="preserve"> Whether “Spark,” “R,” or “Excel” is a skill depends on the surrounding sentence. NER and contextual models resolve this ambiguity, where keyword lists give false positives or miss variants.</w:t>
      </w:r>
    </w:p>
    <w:p w:rsidR="00B82A98" w:rsidRPr="00B82A98" w:rsidRDefault="00B82A98" w:rsidP="00B82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b/>
          <w:bCs/>
          <w:sz w:val="24"/>
          <w:szCs w:val="24"/>
        </w:rPr>
        <w:t>Evaluating writing quality.</w:t>
      </w:r>
      <w:r w:rsidRPr="00B82A98">
        <w:rPr>
          <w:rFonts w:ascii="Times New Roman" w:eastAsia="Times New Roman" w:hAnsi="Times New Roman" w:cs="Times New Roman"/>
          <w:sz w:val="24"/>
          <w:szCs w:val="24"/>
        </w:rPr>
        <w:t xml:space="preserve"> A regex can detect a digit but cannot judge whether a bullet communicates real impact. Learned language representations assess bullet strength more flexibly than a list of banned phrases.</w:t>
      </w:r>
    </w:p>
    <w:p w:rsidR="00B82A98" w:rsidRPr="00B82A98" w:rsidRDefault="00B82A98" w:rsidP="00B82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b/>
          <w:bCs/>
          <w:sz w:val="24"/>
          <w:szCs w:val="24"/>
        </w:rPr>
        <w:t>Robust section understanding.</w:t>
      </w:r>
      <w:r w:rsidRPr="00B82A98">
        <w:rPr>
          <w:rFonts w:ascii="Times New Roman" w:eastAsia="Times New Roman" w:hAnsi="Times New Roman" w:cs="Times New Roman"/>
          <w:sz w:val="24"/>
          <w:szCs w:val="24"/>
        </w:rPr>
        <w:t xml:space="preserve"> CVs have no standard format, and headings vary (“Work History,” “Career,” “Professional Background”). Semantic models classify a text block as experience, education, or projects even under unfamiliar headings, while heuristics break.</w:t>
      </w:r>
    </w:p>
    <w:p w:rsidR="00B82A98" w:rsidRPr="00B82A98" w:rsidRDefault="00B82A98" w:rsidP="00B82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across roles.</w:t>
      </w:r>
      <w:r w:rsidRPr="00B82A98">
        <w:rPr>
          <w:rFonts w:ascii="Times New Roman" w:eastAsia="Times New Roman" w:hAnsi="Times New Roman" w:cs="Times New Roman"/>
          <w:sz w:val="24"/>
          <w:szCs w:val="24"/>
        </w:rPr>
        <w:t xml:space="preserve"> Rule-based systems need manual rewriting for each new role or industry. With </w:t>
      </w:r>
      <w:proofErr w:type="spellStart"/>
      <w:r w:rsidRPr="00B82A9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82A98">
        <w:rPr>
          <w:rFonts w:ascii="Times New Roman" w:eastAsia="Times New Roman" w:hAnsi="Times New Roman" w:cs="Times New Roman"/>
          <w:sz w:val="24"/>
          <w:szCs w:val="24"/>
        </w:rPr>
        <w:t>, adding a role only needs a description or sample postings, with no new hand-coded rules.</w:t>
      </w:r>
    </w:p>
    <w:p w:rsidR="00B82A98" w:rsidRPr="00B82A98" w:rsidRDefault="00B82A98" w:rsidP="00B82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A98">
        <w:rPr>
          <w:rFonts w:ascii="Times New Roman" w:eastAsia="Times New Roman" w:hAnsi="Times New Roman" w:cs="Times New Roman"/>
          <w:b/>
          <w:bCs/>
          <w:sz w:val="24"/>
          <w:szCs w:val="24"/>
        </w:rPr>
        <w:t>Hybrid design by choice.</w:t>
      </w:r>
      <w:r w:rsidRPr="00B82A98">
        <w:rPr>
          <w:rFonts w:ascii="Times New Roman" w:eastAsia="Times New Roman" w:hAnsi="Times New Roman" w:cs="Times New Roman"/>
          <w:sz w:val="24"/>
          <w:szCs w:val="24"/>
        </w:rPr>
        <w:t xml:space="preserve"> Rules keep the quality score transparent and auditable, while ML supplies semantic understanding. Rules alone are too brittle, and a pure black-box model would be unexplainable, so combining them gives results users can trust and act on.</w:t>
      </w:r>
    </w:p>
    <w:p w:rsidR="00B82A98" w:rsidRPr="00B82A98" w:rsidRDefault="00B82A98" w:rsidP="00B82A98">
      <w:pPr>
        <w:rPr>
          <w:sz w:val="44"/>
        </w:rPr>
      </w:pPr>
    </w:p>
    <w:sectPr w:rsidR="00B82A98" w:rsidRPr="00B82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91934"/>
    <w:multiLevelType w:val="multilevel"/>
    <w:tmpl w:val="3922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F2388"/>
    <w:multiLevelType w:val="multilevel"/>
    <w:tmpl w:val="80E4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D30EC"/>
    <w:multiLevelType w:val="multilevel"/>
    <w:tmpl w:val="01F8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C5865"/>
    <w:multiLevelType w:val="multilevel"/>
    <w:tmpl w:val="AB60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A98"/>
    <w:rsid w:val="00826C3D"/>
    <w:rsid w:val="00B82A98"/>
    <w:rsid w:val="00F8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5F2FF"/>
  <w15:chartTrackingRefBased/>
  <w15:docId w15:val="{C7FFA208-9215-4E66-BCE9-C1352EF8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2A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2A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B82A9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82A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82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9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3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6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7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95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96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0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96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13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28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0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81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2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2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57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4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7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E5590</dc:creator>
  <cp:keywords/>
  <dc:description/>
  <cp:lastModifiedBy>DELL E5590</cp:lastModifiedBy>
  <cp:revision>1</cp:revision>
  <dcterms:created xsi:type="dcterms:W3CDTF">2026-10-10T15:51:00Z</dcterms:created>
  <dcterms:modified xsi:type="dcterms:W3CDTF">2026-10-10T15:59:00Z</dcterms:modified>
</cp:coreProperties>
</file>