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FC653">
      <w:pPr>
        <w:spacing w:before="1500" w:after="200"/>
        <w:jc w:val="center"/>
      </w:pPr>
      <w:r>
        <w:rPr>
          <w:rFonts w:ascii="Times New Roman" w:hAnsi="Times New Roman" w:eastAsia="Times New Roman" w:cs="Times New Roman"/>
          <w:b/>
          <w:bCs/>
          <w:color w:val="000000"/>
          <w:sz w:val="32"/>
          <w:szCs w:val="32"/>
        </w:rPr>
        <w:t>UnityTrust Bank</w:t>
      </w:r>
    </w:p>
    <w:p w14:paraId="45A0EFB8">
      <w:pPr>
        <w:spacing w:after="100"/>
        <w:jc w:val="center"/>
      </w:pPr>
      <w:r>
        <w:rPr>
          <w:rFonts w:ascii="Times New Roman" w:hAnsi="Times New Roman" w:eastAsia="Times New Roman" w:cs="Times New Roman"/>
          <w:b/>
          <w:bCs/>
          <w:color w:val="000000"/>
          <w:sz w:val="40"/>
          <w:szCs w:val="40"/>
        </w:rPr>
        <w:t>ISO/IEC 27001:2022 ISMS Implementation Programme</w:t>
      </w:r>
    </w:p>
    <w:p w14:paraId="146C2684">
      <w:pPr>
        <w:spacing w:after="800"/>
        <w:jc w:val="center"/>
      </w:pPr>
      <w:r>
        <w:rPr>
          <w:rFonts w:ascii="Times New Roman" w:hAnsi="Times New Roman" w:eastAsia="Times New Roman" w:cs="Times New Roman"/>
          <w:i/>
          <w:iCs/>
          <w:color w:val="404040"/>
          <w:sz w:val="26"/>
          <w:szCs w:val="26"/>
        </w:rPr>
        <w:t>Consolidated ISMS Report</w:t>
      </w:r>
    </w:p>
    <w:p w14:paraId="3594D63A">
      <w:pPr>
        <w:spacing w:before="1000" w:after="60"/>
        <w:jc w:val="center"/>
      </w:pPr>
      <w:r>
        <w:rPr>
          <w:rFonts w:ascii="Calibri" w:hAnsi="Calibri" w:eastAsia="Calibri" w:cs="Calibri"/>
          <w:color w:val="000000"/>
          <w:sz w:val="22"/>
          <w:szCs w:val="22"/>
        </w:rPr>
        <w:t>Prepared by: Shehzad Ahmad</w:t>
      </w:r>
      <w:bookmarkStart w:id="0" w:name="_GoBack"/>
      <w:bookmarkEnd w:id="0"/>
    </w:p>
    <w:p w14:paraId="3F8244B0">
      <w:pPr>
        <w:spacing w:after="60"/>
        <w:jc w:val="center"/>
      </w:pPr>
      <w:r>
        <w:rPr>
          <w:rFonts w:ascii="Calibri" w:hAnsi="Calibri" w:eastAsia="Calibri" w:cs="Calibri"/>
          <w:color w:val="000000"/>
          <w:sz w:val="22"/>
          <w:szCs w:val="22"/>
        </w:rPr>
        <w:t>Information Security &amp; Risk Management</w:t>
      </w:r>
    </w:p>
    <w:p w14:paraId="1C483855">
      <w:pPr>
        <w:spacing w:after="60"/>
        <w:jc w:val="center"/>
      </w:pPr>
      <w:r>
        <w:rPr>
          <w:rFonts w:ascii="Calibri" w:hAnsi="Calibri" w:eastAsia="Calibri" w:cs="Calibri"/>
          <w:color w:val="595959"/>
          <w:sz w:val="20"/>
          <w:szCs w:val="20"/>
        </w:rPr>
        <w:t>Document Classification: Internal</w:t>
      </w:r>
    </w:p>
    <w:p w14:paraId="6649EB45">
      <w:pPr>
        <w:spacing w:after="60"/>
        <w:jc w:val="center"/>
      </w:pPr>
      <w:r>
        <w:rPr>
          <w:rFonts w:ascii="Calibri" w:hAnsi="Calibri" w:eastAsia="Calibri" w:cs="Calibri"/>
          <w:color w:val="595959"/>
          <w:sz w:val="20"/>
          <w:szCs w:val="20"/>
        </w:rPr>
        <w:t>Date: August 2026</w:t>
      </w:r>
    </w:p>
    <w:p w14:paraId="6553B9B4">
      <w:pPr>
        <w:spacing w:after="200"/>
      </w:pPr>
    </w:p>
    <w:tbl>
      <w:tblPr>
        <w:tblStyle w:val="9"/>
        <w:tblpPr w:leftFromText="180" w:rightFromText="180" w:vertAnchor="text" w:horzAnchor="page" w:tblpX="1393" w:tblpY="1300"/>
        <w:tblOverlap w:val="never"/>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2A8C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D9D9D9"/>
            <w:tcMar>
              <w:top w:w="60" w:type="dxa"/>
              <w:left w:w="90" w:type="dxa"/>
              <w:bottom w:w="60" w:type="dxa"/>
              <w:right w:w="90" w:type="dxa"/>
            </w:tcMar>
            <w:vAlign w:val="center"/>
          </w:tcPr>
          <w:p w14:paraId="418391D9">
            <w:r>
              <w:rPr>
                <w:rFonts w:ascii="Calibri" w:hAnsi="Calibri" w:eastAsia="Calibri" w:cs="Calibri"/>
                <w:b/>
                <w:bCs/>
                <w:color w:val="000000"/>
                <w:sz w:val="19"/>
                <w:szCs w:val="19"/>
              </w:rPr>
              <w:t>Field</w:t>
            </w:r>
          </w:p>
        </w:tc>
        <w:tc>
          <w:tcPr>
            <w:tcW w:w="6350" w:type="dxa"/>
            <w:shd w:val="clear" w:color="auto" w:fill="D9D9D9"/>
            <w:tcMar>
              <w:top w:w="60" w:type="dxa"/>
              <w:left w:w="90" w:type="dxa"/>
              <w:bottom w:w="60" w:type="dxa"/>
              <w:right w:w="90" w:type="dxa"/>
            </w:tcMar>
            <w:vAlign w:val="center"/>
          </w:tcPr>
          <w:p w14:paraId="716A0E48">
            <w:r>
              <w:rPr>
                <w:rFonts w:ascii="Calibri" w:hAnsi="Calibri" w:eastAsia="Calibri" w:cs="Calibri"/>
                <w:b/>
                <w:bCs/>
                <w:color w:val="000000"/>
                <w:sz w:val="19"/>
                <w:szCs w:val="19"/>
              </w:rPr>
              <w:t>Details</w:t>
            </w:r>
          </w:p>
        </w:tc>
      </w:tr>
      <w:tr w14:paraId="0BD8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90" w:type="dxa"/>
              <w:bottom w:w="60" w:type="dxa"/>
              <w:right w:w="90" w:type="dxa"/>
            </w:tcMar>
            <w:vAlign w:val="center"/>
          </w:tcPr>
          <w:p w14:paraId="7E1A79C6">
            <w:r>
              <w:rPr>
                <w:rFonts w:ascii="Calibri" w:hAnsi="Calibri" w:eastAsia="Calibri" w:cs="Calibri"/>
                <w:color w:val="000000"/>
                <w:sz w:val="19"/>
                <w:szCs w:val="19"/>
              </w:rPr>
              <w:t>Document Title</w:t>
            </w:r>
          </w:p>
        </w:tc>
        <w:tc>
          <w:tcPr>
            <w:tcW w:w="6350" w:type="dxa"/>
            <w:tcMar>
              <w:top w:w="60" w:type="dxa"/>
              <w:left w:w="90" w:type="dxa"/>
              <w:bottom w:w="60" w:type="dxa"/>
              <w:right w:w="90" w:type="dxa"/>
            </w:tcMar>
            <w:vAlign w:val="center"/>
          </w:tcPr>
          <w:p w14:paraId="5E89BF85">
            <w:r>
              <w:rPr>
                <w:rFonts w:ascii="Calibri" w:hAnsi="Calibri" w:eastAsia="Calibri" w:cs="Calibri"/>
                <w:color w:val="000000"/>
                <w:sz w:val="19"/>
                <w:szCs w:val="19"/>
              </w:rPr>
              <w:t>ISO/IEC 27001:2022 ISMS Implementation - Consolidated Report</w:t>
            </w:r>
          </w:p>
        </w:tc>
      </w:tr>
      <w:tr w14:paraId="10FF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90" w:type="dxa"/>
              <w:bottom w:w="60" w:type="dxa"/>
              <w:right w:w="90" w:type="dxa"/>
            </w:tcMar>
            <w:vAlign w:val="center"/>
          </w:tcPr>
          <w:p w14:paraId="3656DF26">
            <w:r>
              <w:rPr>
                <w:rFonts w:ascii="Calibri" w:hAnsi="Calibri" w:eastAsia="Calibri" w:cs="Calibri"/>
                <w:color w:val="000000"/>
                <w:sz w:val="19"/>
                <w:szCs w:val="19"/>
              </w:rPr>
              <w:t>Organization</w:t>
            </w:r>
          </w:p>
        </w:tc>
        <w:tc>
          <w:tcPr>
            <w:tcW w:w="6350" w:type="dxa"/>
            <w:tcMar>
              <w:top w:w="60" w:type="dxa"/>
              <w:left w:w="90" w:type="dxa"/>
              <w:bottom w:w="60" w:type="dxa"/>
              <w:right w:w="90" w:type="dxa"/>
            </w:tcMar>
            <w:vAlign w:val="center"/>
          </w:tcPr>
          <w:p w14:paraId="76DBE8A0">
            <w:r>
              <w:rPr>
                <w:rFonts w:ascii="Calibri" w:hAnsi="Calibri" w:eastAsia="Calibri" w:cs="Calibri"/>
                <w:color w:val="000000"/>
                <w:sz w:val="19"/>
                <w:szCs w:val="19"/>
              </w:rPr>
              <w:t>UnityTrust Bank</w:t>
            </w:r>
          </w:p>
        </w:tc>
      </w:tr>
      <w:tr w14:paraId="1913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90" w:type="dxa"/>
              <w:bottom w:w="60" w:type="dxa"/>
              <w:right w:w="90" w:type="dxa"/>
            </w:tcMar>
            <w:vAlign w:val="center"/>
          </w:tcPr>
          <w:p w14:paraId="0565ABA3">
            <w:r>
              <w:rPr>
                <w:rFonts w:ascii="Calibri" w:hAnsi="Calibri" w:eastAsia="Calibri" w:cs="Calibri"/>
                <w:color w:val="000000"/>
                <w:sz w:val="19"/>
                <w:szCs w:val="19"/>
              </w:rPr>
              <w:t>Prepared By</w:t>
            </w:r>
          </w:p>
        </w:tc>
        <w:tc>
          <w:tcPr>
            <w:tcW w:w="6350" w:type="dxa"/>
            <w:tcMar>
              <w:top w:w="60" w:type="dxa"/>
              <w:left w:w="90" w:type="dxa"/>
              <w:bottom w:w="60" w:type="dxa"/>
              <w:right w:w="90" w:type="dxa"/>
            </w:tcMar>
            <w:vAlign w:val="center"/>
          </w:tcPr>
          <w:p w14:paraId="5ABA8923">
            <w:r>
              <w:rPr>
                <w:rFonts w:ascii="Calibri" w:hAnsi="Calibri" w:eastAsia="Calibri" w:cs="Calibri"/>
                <w:color w:val="000000"/>
                <w:sz w:val="19"/>
                <w:szCs w:val="19"/>
              </w:rPr>
              <w:t>Shehzad Ahmad, Information Security &amp; Risk Management</w:t>
            </w:r>
          </w:p>
        </w:tc>
      </w:tr>
      <w:tr w14:paraId="246B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90" w:type="dxa"/>
              <w:bottom w:w="60" w:type="dxa"/>
              <w:right w:w="90" w:type="dxa"/>
            </w:tcMar>
            <w:vAlign w:val="center"/>
          </w:tcPr>
          <w:p w14:paraId="05E36B1B">
            <w:r>
              <w:rPr>
                <w:rFonts w:ascii="Calibri" w:hAnsi="Calibri" w:eastAsia="Calibri" w:cs="Calibri"/>
                <w:color w:val="000000"/>
                <w:sz w:val="19"/>
                <w:szCs w:val="19"/>
              </w:rPr>
              <w:t>Status</w:t>
            </w:r>
          </w:p>
        </w:tc>
        <w:tc>
          <w:tcPr>
            <w:tcW w:w="6350" w:type="dxa"/>
            <w:tcMar>
              <w:top w:w="60" w:type="dxa"/>
              <w:left w:w="90" w:type="dxa"/>
              <w:bottom w:w="60" w:type="dxa"/>
              <w:right w:w="90" w:type="dxa"/>
            </w:tcMar>
            <w:vAlign w:val="center"/>
          </w:tcPr>
          <w:p w14:paraId="5B920FEF">
            <w:r>
              <w:rPr>
                <w:rFonts w:ascii="Calibri" w:hAnsi="Calibri" w:eastAsia="Calibri" w:cs="Calibri"/>
                <w:color w:val="000000"/>
                <w:sz w:val="19"/>
                <w:szCs w:val="19"/>
              </w:rPr>
              <w:t>Final</w:t>
            </w:r>
          </w:p>
        </w:tc>
      </w:tr>
      <w:tr w14:paraId="753B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90" w:type="dxa"/>
              <w:bottom w:w="60" w:type="dxa"/>
              <w:right w:w="90" w:type="dxa"/>
            </w:tcMar>
            <w:vAlign w:val="center"/>
          </w:tcPr>
          <w:p w14:paraId="09EC56B9">
            <w:r>
              <w:rPr>
                <w:rFonts w:ascii="Calibri" w:hAnsi="Calibri" w:eastAsia="Calibri" w:cs="Calibri"/>
                <w:color w:val="000000"/>
                <w:sz w:val="19"/>
                <w:szCs w:val="19"/>
              </w:rPr>
              <w:t>Standard Reference</w:t>
            </w:r>
          </w:p>
        </w:tc>
        <w:tc>
          <w:tcPr>
            <w:tcW w:w="6350" w:type="dxa"/>
            <w:tcMar>
              <w:top w:w="60" w:type="dxa"/>
              <w:left w:w="90" w:type="dxa"/>
              <w:bottom w:w="60" w:type="dxa"/>
              <w:right w:w="90" w:type="dxa"/>
            </w:tcMar>
            <w:vAlign w:val="center"/>
          </w:tcPr>
          <w:p w14:paraId="286FFB4C">
            <w:r>
              <w:rPr>
                <w:rFonts w:ascii="Calibri" w:hAnsi="Calibri" w:eastAsia="Calibri" w:cs="Calibri"/>
                <w:color w:val="000000"/>
                <w:sz w:val="19"/>
                <w:szCs w:val="19"/>
              </w:rPr>
              <w:t>ISO/IEC 27001:2022</w:t>
            </w:r>
          </w:p>
        </w:tc>
      </w:tr>
    </w:tbl>
    <w:p w14:paraId="7B998710">
      <w:pPr>
        <w:pageBreakBefore/>
      </w:pPr>
    </w:p>
    <w:p w14:paraId="1ABCC4BB">
      <w:pPr>
        <w:spacing w:before="220" w:after="100"/>
        <w:jc w:val="center"/>
        <w:rPr>
          <w:rFonts w:ascii="Times New Roman" w:hAnsi="Times New Roman" w:eastAsia="Times New Roman" w:cs="Times New Roman"/>
          <w:b/>
          <w:bCs/>
          <w:color w:val="000000"/>
          <w:sz w:val="48"/>
          <w:szCs w:val="48"/>
          <w:u w:val="single"/>
          <w:vertAlign w:val="baseline"/>
        </w:rPr>
      </w:pPr>
      <w:r>
        <w:rPr>
          <w:rFonts w:ascii="Times New Roman" w:hAnsi="Times New Roman" w:eastAsia="Times New Roman" w:cs="Times New Roman"/>
          <w:b/>
          <w:bCs/>
          <w:color w:val="000000"/>
          <w:sz w:val="48"/>
          <w:szCs w:val="48"/>
          <w:u w:val="single"/>
          <w:vertAlign w:val="baseline"/>
        </w:rPr>
        <w:t>Contents</w:t>
      </w:r>
    </w:p>
    <w:p w14:paraId="1979E8FB">
      <w:pPr>
        <w:spacing w:before="220" w:after="100"/>
        <w:jc w:val="center"/>
        <w:rPr>
          <w:rFonts w:ascii="Times New Roman" w:hAnsi="Times New Roman" w:eastAsia="Times New Roman" w:cs="Times New Roman"/>
          <w:b/>
          <w:bCs/>
          <w:color w:val="000000"/>
          <w:sz w:val="48"/>
          <w:szCs w:val="48"/>
          <w:u w:val="single"/>
          <w:vertAlign w:val="baseline"/>
        </w:rPr>
      </w:pPr>
    </w:p>
    <w:p w14:paraId="7DA219BD">
      <w:pPr>
        <w:spacing w:after="180"/>
      </w:pPr>
      <w:r>
        <w:rPr>
          <w:rFonts w:ascii="Calibri" w:hAnsi="Calibri" w:eastAsia="Calibri" w:cs="Calibri"/>
          <w:color w:val="000000"/>
          <w:sz w:val="21"/>
          <w:szCs w:val="21"/>
        </w:rPr>
        <w:t>1. Executive Summary</w:t>
      </w:r>
    </w:p>
    <w:p w14:paraId="2892139C">
      <w:pPr>
        <w:spacing w:after="180"/>
      </w:pPr>
      <w:r>
        <w:rPr>
          <w:rFonts w:ascii="Calibri" w:hAnsi="Calibri" w:eastAsia="Calibri" w:cs="Calibri"/>
          <w:color w:val="000000"/>
          <w:sz w:val="21"/>
          <w:szCs w:val="21"/>
        </w:rPr>
        <w:t>2. Scope and Methodology</w:t>
      </w:r>
    </w:p>
    <w:p w14:paraId="0AC91547">
      <w:pPr>
        <w:spacing w:after="180"/>
      </w:pPr>
      <w:r>
        <w:rPr>
          <w:rFonts w:ascii="Calibri" w:hAnsi="Calibri" w:eastAsia="Calibri" w:cs="Calibri"/>
          <w:color w:val="000000"/>
          <w:sz w:val="21"/>
          <w:szCs w:val="21"/>
        </w:rPr>
        <w:t>3. Organizational Context - UnityTrust Bank</w:t>
      </w:r>
    </w:p>
    <w:p w14:paraId="3157700B">
      <w:pPr>
        <w:spacing w:after="180"/>
      </w:pPr>
      <w:r>
        <w:rPr>
          <w:rFonts w:ascii="Calibri" w:hAnsi="Calibri" w:eastAsia="Calibri" w:cs="Calibri"/>
          <w:color w:val="000000"/>
          <w:sz w:val="21"/>
          <w:szCs w:val="21"/>
        </w:rPr>
        <w:t>4. Gap Analysis Summary</w:t>
      </w:r>
    </w:p>
    <w:p w14:paraId="309E99BB">
      <w:pPr>
        <w:spacing w:after="180"/>
      </w:pPr>
      <w:r>
        <w:rPr>
          <w:rFonts w:ascii="Calibri" w:hAnsi="Calibri" w:eastAsia="Calibri" w:cs="Calibri"/>
          <w:color w:val="000000"/>
          <w:sz w:val="21"/>
          <w:szCs w:val="21"/>
        </w:rPr>
        <w:t>5. Asset Identification &amp; Threat Register Summary</w:t>
      </w:r>
    </w:p>
    <w:p w14:paraId="38028727">
      <w:pPr>
        <w:spacing w:after="180"/>
      </w:pPr>
      <w:r>
        <w:rPr>
          <w:rFonts w:ascii="Calibri" w:hAnsi="Calibri" w:eastAsia="Calibri" w:cs="Calibri"/>
          <w:color w:val="000000"/>
          <w:sz w:val="21"/>
          <w:szCs w:val="21"/>
        </w:rPr>
        <w:t>6. Risk Treatment Plan Summary</w:t>
      </w:r>
    </w:p>
    <w:p w14:paraId="4A831A19">
      <w:pPr>
        <w:spacing w:after="180"/>
      </w:pPr>
      <w:r>
        <w:rPr>
          <w:rFonts w:ascii="Calibri" w:hAnsi="Calibri" w:eastAsia="Calibri" w:cs="Calibri"/>
          <w:color w:val="000000"/>
          <w:sz w:val="21"/>
          <w:szCs w:val="21"/>
        </w:rPr>
        <w:t>7. Statement of Applicability Summary</w:t>
      </w:r>
    </w:p>
    <w:p w14:paraId="07C39778">
      <w:pPr>
        <w:spacing w:after="180"/>
      </w:pPr>
      <w:r>
        <w:rPr>
          <w:rFonts w:ascii="Calibri" w:hAnsi="Calibri" w:eastAsia="Calibri" w:cs="Calibri"/>
          <w:color w:val="000000"/>
          <w:sz w:val="21"/>
          <w:szCs w:val="21"/>
        </w:rPr>
        <w:t>8. Conclusion and Recommendations</w:t>
      </w:r>
    </w:p>
    <w:p w14:paraId="7EB4F270">
      <w:pPr>
        <w:spacing w:after="180"/>
      </w:pPr>
      <w:r>
        <w:rPr>
          <w:rFonts w:ascii="Calibri" w:hAnsi="Calibri" w:eastAsia="Calibri" w:cs="Calibri"/>
          <w:color w:val="000000"/>
          <w:sz w:val="21"/>
          <w:szCs w:val="21"/>
        </w:rPr>
        <w:t>9. Supporting Documents</w:t>
      </w:r>
    </w:p>
    <w:p w14:paraId="206ACBF5">
      <w:pPr>
        <w:pageBreakBefore/>
      </w:pPr>
    </w:p>
    <w:p w14:paraId="4D9E3885">
      <w:pPr>
        <w:pBdr>
          <w:bottom w:val="single" w:color="000000" w:sz="6" w:space="4"/>
        </w:pBdr>
        <w:spacing w:before="340" w:after="100"/>
      </w:pPr>
      <w:r>
        <w:rPr>
          <w:rFonts w:ascii="Times New Roman" w:hAnsi="Times New Roman" w:eastAsia="Times New Roman" w:cs="Times New Roman"/>
          <w:b/>
          <w:bCs/>
          <w:color w:val="000000"/>
          <w:sz w:val="28"/>
          <w:szCs w:val="28"/>
        </w:rPr>
        <w:t>1. Executive Summary</w:t>
      </w:r>
    </w:p>
    <w:p w14:paraId="746E8AF5">
      <w:pPr>
        <w:spacing w:after="180"/>
      </w:pPr>
      <w:r>
        <w:rPr>
          <w:rFonts w:ascii="Calibri" w:hAnsi="Calibri" w:eastAsia="Calibri" w:cs="Calibri"/>
          <w:color w:val="000000"/>
          <w:sz w:val="21"/>
          <w:szCs w:val="21"/>
        </w:rPr>
        <w:t>This report presents the consolidated findings of UnityTrust Bank's ISO/IEC 27001:2022 Information Security Management System (ISMS) implementation programme. It brings together the results of the Asset Identification and Threat Register, the Gap Analysis, the Risk Treatment Plan, and the Statement of Applicability into a single executive-level report for governance and audit readiness purposes.</w:t>
      </w:r>
    </w:p>
    <w:p w14:paraId="0B76D765">
      <w:pPr>
        <w:spacing w:after="180"/>
      </w:pPr>
      <w:r>
        <w:rPr>
          <w:rFonts w:ascii="Calibri" w:hAnsi="Calibri" w:eastAsia="Calibri" w:cs="Calibri"/>
          <w:color w:val="000000"/>
          <w:sz w:val="21"/>
          <w:szCs w:val="21"/>
        </w:rPr>
        <w:t>The assessment followed a structured four-phase methodology: identifying the Bank's critical assets and the threats facing them; evaluating the Bank's current security posture against all 93 ISO/IEC 27001:2022 Annex A controls through a Gap Analysis; developing a Risk Treatment Plan to mitigate the identified risks through specific controls; and producing a Statement of Applicability formally documenting control applicability and implementation status.</w:t>
      </w:r>
    </w:p>
    <w:p w14:paraId="31E68CAC">
      <w:pPr>
        <w:spacing w:after="180"/>
      </w:pPr>
      <w:r>
        <w:rPr>
          <w:rFonts w:ascii="Calibri" w:hAnsi="Calibri" w:eastAsia="Calibri" w:cs="Calibri"/>
          <w:color w:val="000000"/>
          <w:sz w:val="21"/>
          <w:szCs w:val="21"/>
        </w:rPr>
        <w:t>Across the 93 controls assessed, 27 gaps were rated High priority, 47 Medium, and 19 Low. From the 26 identified assets and associated risks, 5 were rated Critical and 12 High. All risks have been assigned a Mitigate treatment with specific controls, owners, and target completion timelines. This report summarizes the key findings; complete working detail is provided in four supporting documents listed in Section 9.</w:t>
      </w:r>
    </w:p>
    <w:p w14:paraId="777659EF">
      <w:pPr>
        <w:pBdr>
          <w:bottom w:val="single" w:color="000000" w:sz="6" w:space="4"/>
        </w:pBdr>
        <w:spacing w:before="340" w:after="100"/>
      </w:pPr>
      <w:r>
        <w:rPr>
          <w:rFonts w:ascii="Times New Roman" w:hAnsi="Times New Roman" w:eastAsia="Times New Roman" w:cs="Times New Roman"/>
          <w:b/>
          <w:bCs/>
          <w:color w:val="000000"/>
          <w:sz w:val="28"/>
          <w:szCs w:val="28"/>
        </w:rPr>
        <w:t>2. Scope and Methodology</w:t>
      </w:r>
    </w:p>
    <w:p w14:paraId="77E3C59F">
      <w:pPr>
        <w:spacing w:after="180"/>
      </w:pPr>
      <w:r>
        <w:rPr>
          <w:rFonts w:ascii="Calibri" w:hAnsi="Calibri" w:eastAsia="Calibri" w:cs="Calibri"/>
          <w:color w:val="000000"/>
          <w:sz w:val="21"/>
          <w:szCs w:val="21"/>
        </w:rPr>
        <w:t>The ISMS scope covers UnityTrust Bank's core banking platform, digital banking channels, payment systems, risk and compliance systems, and the open banking API layer supporting fintech partnerships.</w:t>
      </w:r>
    </w:p>
    <w:p w14:paraId="458C2C54">
      <w:pPr>
        <w:spacing w:after="90"/>
      </w:pPr>
      <w:r>
        <w:rPr>
          <w:rFonts w:ascii="Calibri" w:hAnsi="Calibri" w:eastAsia="Calibri" w:cs="Calibri"/>
          <w:color w:val="000000"/>
          <w:sz w:val="21"/>
          <w:szCs w:val="21"/>
        </w:rPr>
        <w:t xml:space="preserve">• </w:t>
      </w:r>
      <w:r>
        <w:rPr>
          <w:rFonts w:ascii="Calibri" w:hAnsi="Calibri" w:eastAsia="Calibri" w:cs="Calibri"/>
          <w:b/>
          <w:bCs/>
          <w:color w:val="000000"/>
          <w:sz w:val="21"/>
          <w:szCs w:val="21"/>
        </w:rPr>
        <w:t xml:space="preserve"> Step 1</w:t>
      </w:r>
      <w:r>
        <w:rPr>
          <w:rFonts w:ascii="Calibri" w:hAnsi="Calibri" w:eastAsia="Calibri" w:cs="Calibri"/>
          <w:color w:val="000000"/>
          <w:sz w:val="21"/>
          <w:szCs w:val="21"/>
        </w:rPr>
        <w:t xml:space="preserve"> -</w:t>
      </w:r>
      <w:r>
        <w:rPr>
          <w:rFonts w:ascii="Calibri" w:hAnsi="Calibri" w:eastAsia="Calibri" w:cs="Calibri"/>
          <w:color w:val="000000"/>
          <w:sz w:val="21"/>
          <w:szCs w:val="21"/>
          <w:u w:val="single"/>
        </w:rPr>
        <w:t xml:space="preserve"> Asset Identification</w:t>
      </w:r>
      <w:r>
        <w:rPr>
          <w:rFonts w:ascii="Calibri" w:hAnsi="Calibri" w:eastAsia="Calibri" w:cs="Calibri"/>
          <w:color w:val="000000"/>
          <w:sz w:val="21"/>
          <w:szCs w:val="21"/>
        </w:rPr>
        <w:t>: Catalogued all critical assets and rated each by Confidentiality, Integrity and Availability impact, and identified associated threats.</w:t>
      </w:r>
    </w:p>
    <w:p w14:paraId="4C69C53E">
      <w:pPr>
        <w:spacing w:after="90"/>
      </w:pPr>
      <w:r>
        <w:rPr>
          <w:rFonts w:ascii="Calibri" w:hAnsi="Calibri" w:eastAsia="Calibri" w:cs="Calibri"/>
          <w:color w:val="000000"/>
          <w:sz w:val="21"/>
          <w:szCs w:val="21"/>
        </w:rPr>
        <w:t xml:space="preserve">• </w:t>
      </w:r>
      <w:r>
        <w:rPr>
          <w:rFonts w:ascii="Calibri" w:hAnsi="Calibri" w:eastAsia="Calibri" w:cs="Calibri"/>
          <w:b/>
          <w:bCs/>
          <w:color w:val="000000"/>
          <w:sz w:val="21"/>
          <w:szCs w:val="21"/>
        </w:rPr>
        <w:t xml:space="preserve"> Step 2</w:t>
      </w:r>
      <w:r>
        <w:rPr>
          <w:rFonts w:ascii="Calibri" w:hAnsi="Calibri" w:eastAsia="Calibri" w:cs="Calibri"/>
          <w:color w:val="000000"/>
          <w:sz w:val="21"/>
          <w:szCs w:val="21"/>
        </w:rPr>
        <w:t xml:space="preserve"> - </w:t>
      </w:r>
      <w:r>
        <w:rPr>
          <w:rFonts w:ascii="Calibri" w:hAnsi="Calibri" w:eastAsia="Calibri" w:cs="Calibri"/>
          <w:color w:val="000000"/>
          <w:sz w:val="21"/>
          <w:szCs w:val="21"/>
          <w:u w:val="single"/>
        </w:rPr>
        <w:t>Gap Analysis</w:t>
      </w:r>
      <w:r>
        <w:rPr>
          <w:rFonts w:ascii="Calibri" w:hAnsi="Calibri" w:eastAsia="Calibri" w:cs="Calibri"/>
          <w:color w:val="000000"/>
          <w:sz w:val="21"/>
          <w:szCs w:val="21"/>
        </w:rPr>
        <w:t>: Assessed current security practices against all 93 ISO/IEC 27001:2022 Annex A controls and identified specific gaps.</w:t>
      </w:r>
    </w:p>
    <w:p w14:paraId="587A2D6A">
      <w:pPr>
        <w:spacing w:after="90"/>
      </w:pPr>
      <w:r>
        <w:rPr>
          <w:rFonts w:ascii="Calibri" w:hAnsi="Calibri" w:eastAsia="Calibri" w:cs="Calibri"/>
          <w:color w:val="000000"/>
          <w:sz w:val="21"/>
          <w:szCs w:val="21"/>
        </w:rPr>
        <w:t xml:space="preserve">• </w:t>
      </w:r>
      <w:r>
        <w:rPr>
          <w:rFonts w:ascii="Calibri" w:hAnsi="Calibri" w:eastAsia="Calibri" w:cs="Calibri"/>
          <w:b/>
          <w:bCs/>
          <w:color w:val="000000"/>
          <w:sz w:val="21"/>
          <w:szCs w:val="21"/>
        </w:rPr>
        <w:t xml:space="preserve"> Step 3</w:t>
      </w:r>
      <w:r>
        <w:rPr>
          <w:rFonts w:ascii="Calibri" w:hAnsi="Calibri" w:eastAsia="Calibri" w:cs="Calibri"/>
          <w:color w:val="000000"/>
          <w:sz w:val="21"/>
          <w:szCs w:val="21"/>
        </w:rPr>
        <w:t xml:space="preserve"> - </w:t>
      </w:r>
      <w:r>
        <w:rPr>
          <w:rFonts w:ascii="Calibri" w:hAnsi="Calibri" w:eastAsia="Calibri" w:cs="Calibri"/>
          <w:color w:val="000000"/>
          <w:sz w:val="21"/>
          <w:szCs w:val="21"/>
          <w:u w:val="single"/>
        </w:rPr>
        <w:t>Risk Treatment Plan</w:t>
      </w:r>
      <w:r>
        <w:rPr>
          <w:rFonts w:ascii="Calibri" w:hAnsi="Calibri" w:eastAsia="Calibri" w:cs="Calibri"/>
          <w:color w:val="000000"/>
          <w:sz w:val="21"/>
          <w:szCs w:val="21"/>
        </w:rPr>
        <w:t>: Converted each asset's key risk into a Likelihood x Impact risk score, and defined a Mitigate action with an owner and timeline.</w:t>
      </w:r>
    </w:p>
    <w:p w14:paraId="41FBC0B6">
      <w:pPr>
        <w:spacing w:after="90"/>
      </w:pPr>
      <w:r>
        <w:rPr>
          <w:rFonts w:ascii="Calibri" w:hAnsi="Calibri" w:eastAsia="Calibri" w:cs="Calibri"/>
          <w:color w:val="000000"/>
          <w:sz w:val="21"/>
          <w:szCs w:val="21"/>
        </w:rPr>
        <w:t xml:space="preserve">•  </w:t>
      </w:r>
      <w:r>
        <w:rPr>
          <w:rFonts w:ascii="Calibri" w:hAnsi="Calibri" w:eastAsia="Calibri" w:cs="Calibri"/>
          <w:b/>
          <w:bCs/>
          <w:color w:val="000000"/>
          <w:sz w:val="21"/>
          <w:szCs w:val="21"/>
        </w:rPr>
        <w:t>Step 4</w:t>
      </w:r>
      <w:r>
        <w:rPr>
          <w:rFonts w:ascii="Calibri" w:hAnsi="Calibri" w:eastAsia="Calibri" w:cs="Calibri"/>
          <w:color w:val="000000"/>
          <w:sz w:val="21"/>
          <w:szCs w:val="21"/>
        </w:rPr>
        <w:t xml:space="preserve"> - </w:t>
      </w:r>
      <w:r>
        <w:rPr>
          <w:rFonts w:ascii="Calibri" w:hAnsi="Calibri" w:eastAsia="Calibri" w:cs="Calibri"/>
          <w:color w:val="000000"/>
          <w:sz w:val="21"/>
          <w:szCs w:val="21"/>
          <w:u w:val="single"/>
        </w:rPr>
        <w:t>Statement of Applicability</w:t>
      </w:r>
      <w:r>
        <w:rPr>
          <w:rFonts w:ascii="Calibri" w:hAnsi="Calibri" w:eastAsia="Calibri" w:cs="Calibri"/>
          <w:color w:val="000000"/>
          <w:sz w:val="21"/>
          <w:szCs w:val="21"/>
        </w:rPr>
        <w:t>: Declared the applicability, justification, and implementation status of every Annex A control.</w:t>
      </w:r>
    </w:p>
    <w:p w14:paraId="148EDFA8">
      <w:pPr>
        <w:pBdr>
          <w:bottom w:val="single" w:color="000000" w:sz="6" w:space="4"/>
        </w:pBdr>
        <w:spacing w:before="340" w:after="100"/>
      </w:pPr>
      <w:r>
        <w:rPr>
          <w:rFonts w:ascii="Times New Roman" w:hAnsi="Times New Roman" w:eastAsia="Times New Roman" w:cs="Times New Roman"/>
          <w:b/>
          <w:bCs/>
          <w:color w:val="000000"/>
          <w:sz w:val="28"/>
          <w:szCs w:val="28"/>
        </w:rPr>
        <w:t>3. Organizational Context - UnityTrust Bank</w:t>
      </w:r>
    </w:p>
    <w:p w14:paraId="64738EB9">
      <w:pPr>
        <w:spacing w:after="180"/>
      </w:pPr>
      <w:r>
        <w:rPr>
          <w:rFonts w:ascii="Calibri" w:hAnsi="Calibri" w:eastAsia="Calibri" w:cs="Calibri"/>
          <w:color w:val="000000"/>
          <w:sz w:val="21"/>
          <w:szCs w:val="21"/>
        </w:rPr>
        <w:t>UnityTrust Bank's vision is to be the most trusted digital-first bank for retail and SME customers in the region, delivering secure, accessible and innovative banking services while maintaining rigorous risk management and regulatory compliance.</w:t>
      </w:r>
    </w:p>
    <w:p w14:paraId="4E9F1627">
      <w:pPr>
        <w:spacing w:before="220" w:after="100"/>
      </w:pPr>
      <w:r>
        <w:rPr>
          <w:rFonts w:ascii="Times New Roman" w:hAnsi="Times New Roman" w:eastAsia="Times New Roman" w:cs="Times New Roman"/>
          <w:b/>
          <w:bCs/>
          <w:color w:val="000000"/>
          <w:sz w:val="23"/>
          <w:szCs w:val="23"/>
        </w:rPr>
        <w:t>3.1 IT Environment</w:t>
      </w:r>
    </w:p>
    <w:p w14:paraId="789C0B32">
      <w:pPr>
        <w:spacing w:after="90"/>
      </w:pPr>
      <w:r>
        <w:rPr>
          <w:rFonts w:ascii="Calibri" w:hAnsi="Calibri" w:eastAsia="Calibri" w:cs="Calibri"/>
          <w:color w:val="000000"/>
          <w:sz w:val="21"/>
          <w:szCs w:val="21"/>
        </w:rPr>
        <w:t>•  Core banking platform performing real-time transaction processing.</w:t>
      </w:r>
    </w:p>
    <w:p w14:paraId="376137E8">
      <w:pPr>
        <w:spacing w:after="90"/>
      </w:pPr>
      <w:r>
        <w:rPr>
          <w:rFonts w:ascii="Calibri" w:hAnsi="Calibri" w:eastAsia="Calibri" w:cs="Calibri"/>
          <w:color w:val="000000"/>
          <w:sz w:val="21"/>
          <w:szCs w:val="21"/>
        </w:rPr>
        <w:t>•  Digital channels: mobile banking app, internet banking, USSD, and contact center.</w:t>
      </w:r>
    </w:p>
    <w:p w14:paraId="1200F686">
      <w:pPr>
        <w:spacing w:after="90"/>
      </w:pPr>
      <w:r>
        <w:rPr>
          <w:rFonts w:ascii="Calibri" w:hAnsi="Calibri" w:eastAsia="Calibri" w:cs="Calibri"/>
          <w:color w:val="000000"/>
          <w:sz w:val="21"/>
          <w:szCs w:val="21"/>
        </w:rPr>
        <w:t>•  Payments stack: ATM switch, POS, RTGS/ACH gateways, and merchant acquiring.</w:t>
      </w:r>
    </w:p>
    <w:p w14:paraId="0942233D">
      <w:pPr>
        <w:spacing w:after="90"/>
      </w:pPr>
      <w:r>
        <w:rPr>
          <w:rFonts w:ascii="Calibri" w:hAnsi="Calibri" w:eastAsia="Calibri" w:cs="Calibri"/>
          <w:color w:val="000000"/>
          <w:sz w:val="21"/>
          <w:szCs w:val="21"/>
        </w:rPr>
        <w:t>•  Risk and compliance systems: SIEM, transaction monitoring (AML/Fraud), DLP, KYC repository.</w:t>
      </w:r>
    </w:p>
    <w:p w14:paraId="1A326E1C">
      <w:pPr>
        <w:spacing w:after="90"/>
      </w:pPr>
      <w:r>
        <w:rPr>
          <w:rFonts w:ascii="Calibri" w:hAnsi="Calibri" w:eastAsia="Calibri" w:cs="Calibri"/>
          <w:color w:val="000000"/>
          <w:sz w:val="21"/>
          <w:szCs w:val="21"/>
        </w:rPr>
        <w:t>•  Data warehouse, BI/analytics, and ML-based credit decision engines.</w:t>
      </w:r>
    </w:p>
    <w:p w14:paraId="54A65666">
      <w:pPr>
        <w:spacing w:after="90"/>
      </w:pPr>
      <w:r>
        <w:rPr>
          <w:rFonts w:ascii="Calibri" w:hAnsi="Calibri" w:eastAsia="Calibri" w:cs="Calibri"/>
          <w:color w:val="000000"/>
          <w:sz w:val="21"/>
          <w:szCs w:val="21"/>
        </w:rPr>
        <w:t>•  API layer for open banking and fintech partnerships, DR site, PKI, and PAM.</w:t>
      </w:r>
    </w:p>
    <w:p w14:paraId="4B5B0DF9">
      <w:pPr>
        <w:pBdr>
          <w:bottom w:val="single" w:color="000000" w:sz="6" w:space="4"/>
        </w:pBdr>
        <w:spacing w:before="340" w:after="100"/>
      </w:pPr>
      <w:r>
        <w:rPr>
          <w:rFonts w:ascii="Times New Roman" w:hAnsi="Times New Roman" w:eastAsia="Times New Roman" w:cs="Times New Roman"/>
          <w:b/>
          <w:bCs/>
          <w:color w:val="000000"/>
          <w:sz w:val="28"/>
          <w:szCs w:val="28"/>
        </w:rPr>
        <w:t>4. Gap Analysis Summary</w:t>
      </w:r>
    </w:p>
    <w:p w14:paraId="06219205">
      <w:pPr>
        <w:spacing w:after="180"/>
      </w:pPr>
      <w:r>
        <w:rPr>
          <w:rFonts w:ascii="Calibri" w:hAnsi="Calibri" w:eastAsia="Calibri" w:cs="Calibri"/>
          <w:color w:val="000000"/>
          <w:sz w:val="21"/>
          <w:szCs w:val="21"/>
        </w:rPr>
        <w:t>All 93 Annex A controls were assessed across the four control themes. The full control-by-control assessment is provided in the Gap Analysis Report (see Section 9).</w:t>
      </w:r>
    </w:p>
    <w:p w14:paraId="15712008">
      <w:pPr>
        <w:spacing w:after="200"/>
      </w:pPr>
      <w:r>
        <w:rPr>
          <w:rFonts w:ascii="Calibri" w:hAnsi="Calibri" w:eastAsia="Calibri" w:cs="Calibri"/>
          <w:b/>
          <w:bCs/>
          <w:color w:val="000000"/>
          <w:sz w:val="21"/>
          <w:szCs w:val="21"/>
        </w:rPr>
        <w:t xml:space="preserve">93 controls assessed  |  </w:t>
      </w:r>
      <w:r>
        <w:rPr>
          <w:rFonts w:ascii="Calibri" w:hAnsi="Calibri" w:eastAsia="Calibri" w:cs="Calibri"/>
          <w:b/>
          <w:bCs/>
          <w:color w:val="C00000"/>
          <w:sz w:val="21"/>
          <w:szCs w:val="21"/>
        </w:rPr>
        <w:t xml:space="preserve">27 High priority  </w:t>
      </w:r>
      <w:r>
        <w:rPr>
          <w:rFonts w:ascii="Calibri" w:hAnsi="Calibri" w:eastAsia="Calibri" w:cs="Calibri"/>
          <w:b/>
          <w:bCs/>
          <w:color w:val="9C6500"/>
          <w:sz w:val="21"/>
          <w:szCs w:val="21"/>
        </w:rPr>
        <w:t xml:space="preserve">47 Medium priority  </w:t>
      </w:r>
      <w:r>
        <w:rPr>
          <w:rFonts w:ascii="Calibri" w:hAnsi="Calibri" w:eastAsia="Calibri" w:cs="Calibri"/>
          <w:b/>
          <w:bCs/>
          <w:color w:val="375623"/>
          <w:sz w:val="21"/>
          <w:szCs w:val="21"/>
        </w:rPr>
        <w:t>19 Low priority</w:t>
      </w:r>
    </w:p>
    <w:p w14:paraId="0B5EDD4B">
      <w:pPr>
        <w:spacing w:before="220" w:after="100"/>
      </w:pPr>
      <w:r>
        <w:rPr>
          <w:rFonts w:ascii="Times New Roman" w:hAnsi="Times New Roman" w:eastAsia="Times New Roman" w:cs="Times New Roman"/>
          <w:b/>
          <w:bCs/>
          <w:color w:val="000000"/>
          <w:sz w:val="23"/>
          <w:szCs w:val="23"/>
        </w:rPr>
        <w:t>4.1 Top High-Priority Gaps</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5850"/>
        <w:gridCol w:w="1650"/>
      </w:tblGrid>
      <w:tr w14:paraId="6ADF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shd w:val="clear" w:color="auto" w:fill="D9D9D9"/>
            <w:tcMar>
              <w:top w:w="60" w:type="dxa"/>
              <w:left w:w="90" w:type="dxa"/>
              <w:bottom w:w="60" w:type="dxa"/>
              <w:right w:w="90" w:type="dxa"/>
            </w:tcMar>
            <w:vAlign w:val="center"/>
          </w:tcPr>
          <w:p w14:paraId="66E19925">
            <w:r>
              <w:rPr>
                <w:rFonts w:ascii="Calibri" w:hAnsi="Calibri" w:eastAsia="Calibri" w:cs="Calibri"/>
                <w:b/>
                <w:bCs/>
                <w:color w:val="000000"/>
                <w:sz w:val="19"/>
                <w:szCs w:val="19"/>
              </w:rPr>
              <w:t>Ref</w:t>
            </w:r>
          </w:p>
        </w:tc>
        <w:tc>
          <w:tcPr>
            <w:tcW w:w="5850" w:type="dxa"/>
            <w:shd w:val="clear" w:color="auto" w:fill="D9D9D9"/>
            <w:tcMar>
              <w:top w:w="60" w:type="dxa"/>
              <w:left w:w="90" w:type="dxa"/>
              <w:bottom w:w="60" w:type="dxa"/>
              <w:right w:w="90" w:type="dxa"/>
            </w:tcMar>
            <w:vAlign w:val="center"/>
          </w:tcPr>
          <w:p w14:paraId="1592AF48">
            <w:r>
              <w:rPr>
                <w:rFonts w:ascii="Calibri" w:hAnsi="Calibri" w:eastAsia="Calibri" w:cs="Calibri"/>
                <w:b/>
                <w:bCs/>
                <w:color w:val="000000"/>
                <w:sz w:val="19"/>
                <w:szCs w:val="19"/>
              </w:rPr>
              <w:t>Control</w:t>
            </w:r>
          </w:p>
        </w:tc>
        <w:tc>
          <w:tcPr>
            <w:tcW w:w="1650" w:type="dxa"/>
            <w:shd w:val="clear" w:color="auto" w:fill="D9D9D9"/>
            <w:tcMar>
              <w:top w:w="60" w:type="dxa"/>
              <w:left w:w="90" w:type="dxa"/>
              <w:bottom w:w="60" w:type="dxa"/>
              <w:right w:w="90" w:type="dxa"/>
            </w:tcMar>
            <w:vAlign w:val="center"/>
          </w:tcPr>
          <w:p w14:paraId="12580D02">
            <w:r>
              <w:rPr>
                <w:rFonts w:ascii="Calibri" w:hAnsi="Calibri" w:eastAsia="Calibri" w:cs="Calibri"/>
                <w:b/>
                <w:bCs/>
                <w:color w:val="000000"/>
                <w:sz w:val="19"/>
                <w:szCs w:val="19"/>
              </w:rPr>
              <w:t>Priority</w:t>
            </w:r>
          </w:p>
        </w:tc>
      </w:tr>
      <w:tr w14:paraId="6A6C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5F46FA37">
            <w:r>
              <w:rPr>
                <w:rFonts w:ascii="Calibri" w:hAnsi="Calibri" w:eastAsia="Calibri" w:cs="Calibri"/>
                <w:color w:val="000000"/>
                <w:sz w:val="19"/>
                <w:szCs w:val="19"/>
              </w:rPr>
              <w:t>5.9</w:t>
            </w:r>
          </w:p>
        </w:tc>
        <w:tc>
          <w:tcPr>
            <w:tcW w:w="5850" w:type="dxa"/>
            <w:tcMar>
              <w:top w:w="60" w:type="dxa"/>
              <w:left w:w="90" w:type="dxa"/>
              <w:bottom w:w="60" w:type="dxa"/>
              <w:right w:w="90" w:type="dxa"/>
            </w:tcMar>
            <w:vAlign w:val="center"/>
          </w:tcPr>
          <w:p w14:paraId="74A287C0">
            <w:r>
              <w:rPr>
                <w:rFonts w:ascii="Calibri" w:hAnsi="Calibri" w:eastAsia="Calibri" w:cs="Calibri"/>
                <w:color w:val="000000"/>
                <w:sz w:val="19"/>
                <w:szCs w:val="19"/>
              </w:rPr>
              <w:t>Inventory of information and other associated assets</w:t>
            </w:r>
          </w:p>
        </w:tc>
        <w:tc>
          <w:tcPr>
            <w:tcW w:w="1650" w:type="dxa"/>
            <w:tcMar>
              <w:top w:w="60" w:type="dxa"/>
              <w:left w:w="90" w:type="dxa"/>
              <w:bottom w:w="60" w:type="dxa"/>
              <w:right w:w="90" w:type="dxa"/>
            </w:tcMar>
            <w:vAlign w:val="center"/>
          </w:tcPr>
          <w:p w14:paraId="13DE3E86">
            <w:r>
              <w:rPr>
                <w:rFonts w:ascii="Calibri" w:hAnsi="Calibri" w:eastAsia="Calibri" w:cs="Calibri"/>
                <w:b/>
                <w:bCs/>
                <w:color w:val="C00000"/>
                <w:sz w:val="19"/>
                <w:szCs w:val="19"/>
              </w:rPr>
              <w:t>High</w:t>
            </w:r>
          </w:p>
        </w:tc>
      </w:tr>
      <w:tr w14:paraId="3706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1F7505A4">
            <w:r>
              <w:rPr>
                <w:rFonts w:ascii="Calibri" w:hAnsi="Calibri" w:eastAsia="Calibri" w:cs="Calibri"/>
                <w:color w:val="000000"/>
                <w:sz w:val="19"/>
                <w:szCs w:val="19"/>
              </w:rPr>
              <w:t>5.12</w:t>
            </w:r>
          </w:p>
        </w:tc>
        <w:tc>
          <w:tcPr>
            <w:tcW w:w="5850" w:type="dxa"/>
            <w:tcMar>
              <w:top w:w="60" w:type="dxa"/>
              <w:left w:w="90" w:type="dxa"/>
              <w:bottom w:w="60" w:type="dxa"/>
              <w:right w:w="90" w:type="dxa"/>
            </w:tcMar>
            <w:vAlign w:val="center"/>
          </w:tcPr>
          <w:p w14:paraId="76363395">
            <w:r>
              <w:rPr>
                <w:rFonts w:ascii="Calibri" w:hAnsi="Calibri" w:eastAsia="Calibri" w:cs="Calibri"/>
                <w:color w:val="000000"/>
                <w:sz w:val="19"/>
                <w:szCs w:val="19"/>
              </w:rPr>
              <w:t>Classification of information</w:t>
            </w:r>
          </w:p>
        </w:tc>
        <w:tc>
          <w:tcPr>
            <w:tcW w:w="1650" w:type="dxa"/>
            <w:tcMar>
              <w:top w:w="60" w:type="dxa"/>
              <w:left w:w="90" w:type="dxa"/>
              <w:bottom w:w="60" w:type="dxa"/>
              <w:right w:w="90" w:type="dxa"/>
            </w:tcMar>
            <w:vAlign w:val="center"/>
          </w:tcPr>
          <w:p w14:paraId="299EF945">
            <w:r>
              <w:rPr>
                <w:rFonts w:ascii="Calibri" w:hAnsi="Calibri" w:eastAsia="Calibri" w:cs="Calibri"/>
                <w:b/>
                <w:bCs/>
                <w:color w:val="C00000"/>
                <w:sz w:val="19"/>
                <w:szCs w:val="19"/>
              </w:rPr>
              <w:t>High</w:t>
            </w:r>
          </w:p>
        </w:tc>
      </w:tr>
      <w:tr w14:paraId="250F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0CD3A6C6">
            <w:r>
              <w:rPr>
                <w:rFonts w:ascii="Calibri" w:hAnsi="Calibri" w:eastAsia="Calibri" w:cs="Calibri"/>
                <w:color w:val="000000"/>
                <w:sz w:val="19"/>
                <w:szCs w:val="19"/>
              </w:rPr>
              <w:t>5.19</w:t>
            </w:r>
          </w:p>
        </w:tc>
        <w:tc>
          <w:tcPr>
            <w:tcW w:w="5850" w:type="dxa"/>
            <w:tcMar>
              <w:top w:w="60" w:type="dxa"/>
              <w:left w:w="90" w:type="dxa"/>
              <w:bottom w:w="60" w:type="dxa"/>
              <w:right w:w="90" w:type="dxa"/>
            </w:tcMar>
            <w:vAlign w:val="center"/>
          </w:tcPr>
          <w:p w14:paraId="2077DADD">
            <w:r>
              <w:rPr>
                <w:rFonts w:ascii="Calibri" w:hAnsi="Calibri" w:eastAsia="Calibri" w:cs="Calibri"/>
                <w:color w:val="000000"/>
                <w:sz w:val="19"/>
                <w:szCs w:val="19"/>
              </w:rPr>
              <w:t>Information security in supplier relationships</w:t>
            </w:r>
          </w:p>
        </w:tc>
        <w:tc>
          <w:tcPr>
            <w:tcW w:w="1650" w:type="dxa"/>
            <w:tcMar>
              <w:top w:w="60" w:type="dxa"/>
              <w:left w:w="90" w:type="dxa"/>
              <w:bottom w:w="60" w:type="dxa"/>
              <w:right w:w="90" w:type="dxa"/>
            </w:tcMar>
            <w:vAlign w:val="center"/>
          </w:tcPr>
          <w:p w14:paraId="16AB3970">
            <w:r>
              <w:rPr>
                <w:rFonts w:ascii="Calibri" w:hAnsi="Calibri" w:eastAsia="Calibri" w:cs="Calibri"/>
                <w:b/>
                <w:bCs/>
                <w:color w:val="C00000"/>
                <w:sz w:val="19"/>
                <w:szCs w:val="19"/>
              </w:rPr>
              <w:t>High</w:t>
            </w:r>
          </w:p>
        </w:tc>
      </w:tr>
      <w:tr w14:paraId="4D35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6FF08180">
            <w:r>
              <w:rPr>
                <w:rFonts w:ascii="Calibri" w:hAnsi="Calibri" w:eastAsia="Calibri" w:cs="Calibri"/>
                <w:color w:val="000000"/>
                <w:sz w:val="19"/>
                <w:szCs w:val="19"/>
              </w:rPr>
              <w:t>5.34</w:t>
            </w:r>
          </w:p>
        </w:tc>
        <w:tc>
          <w:tcPr>
            <w:tcW w:w="5850" w:type="dxa"/>
            <w:tcMar>
              <w:top w:w="60" w:type="dxa"/>
              <w:left w:w="90" w:type="dxa"/>
              <w:bottom w:w="60" w:type="dxa"/>
              <w:right w:w="90" w:type="dxa"/>
            </w:tcMar>
            <w:vAlign w:val="center"/>
          </w:tcPr>
          <w:p w14:paraId="5EF54A66">
            <w:r>
              <w:rPr>
                <w:rFonts w:ascii="Calibri" w:hAnsi="Calibri" w:eastAsia="Calibri" w:cs="Calibri"/>
                <w:color w:val="000000"/>
                <w:sz w:val="19"/>
                <w:szCs w:val="19"/>
              </w:rPr>
              <w:t>Privacy and protection of PII</w:t>
            </w:r>
          </w:p>
        </w:tc>
        <w:tc>
          <w:tcPr>
            <w:tcW w:w="1650" w:type="dxa"/>
            <w:tcMar>
              <w:top w:w="60" w:type="dxa"/>
              <w:left w:w="90" w:type="dxa"/>
              <w:bottom w:w="60" w:type="dxa"/>
              <w:right w:w="90" w:type="dxa"/>
            </w:tcMar>
            <w:vAlign w:val="center"/>
          </w:tcPr>
          <w:p w14:paraId="2C75C502">
            <w:r>
              <w:rPr>
                <w:rFonts w:ascii="Calibri" w:hAnsi="Calibri" w:eastAsia="Calibri" w:cs="Calibri"/>
                <w:b/>
                <w:bCs/>
                <w:color w:val="C00000"/>
                <w:sz w:val="19"/>
                <w:szCs w:val="19"/>
              </w:rPr>
              <w:t>High</w:t>
            </w:r>
          </w:p>
        </w:tc>
      </w:tr>
      <w:tr w14:paraId="73E9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5793E58C">
            <w:r>
              <w:rPr>
                <w:rFonts w:ascii="Calibri" w:hAnsi="Calibri" w:eastAsia="Calibri" w:cs="Calibri"/>
                <w:color w:val="000000"/>
                <w:sz w:val="19"/>
                <w:szCs w:val="19"/>
              </w:rPr>
              <w:t>6.3</w:t>
            </w:r>
          </w:p>
        </w:tc>
        <w:tc>
          <w:tcPr>
            <w:tcW w:w="5850" w:type="dxa"/>
            <w:tcMar>
              <w:top w:w="60" w:type="dxa"/>
              <w:left w:w="90" w:type="dxa"/>
              <w:bottom w:w="60" w:type="dxa"/>
              <w:right w:w="90" w:type="dxa"/>
            </w:tcMar>
            <w:vAlign w:val="center"/>
          </w:tcPr>
          <w:p w14:paraId="20DA73B9">
            <w:r>
              <w:rPr>
                <w:rFonts w:ascii="Calibri" w:hAnsi="Calibri" w:eastAsia="Calibri" w:cs="Calibri"/>
                <w:color w:val="000000"/>
                <w:sz w:val="19"/>
                <w:szCs w:val="19"/>
              </w:rPr>
              <w:t>Information security awareness, education and training</w:t>
            </w:r>
          </w:p>
        </w:tc>
        <w:tc>
          <w:tcPr>
            <w:tcW w:w="1650" w:type="dxa"/>
            <w:tcMar>
              <w:top w:w="60" w:type="dxa"/>
              <w:left w:w="90" w:type="dxa"/>
              <w:bottom w:w="60" w:type="dxa"/>
              <w:right w:w="90" w:type="dxa"/>
            </w:tcMar>
            <w:vAlign w:val="center"/>
          </w:tcPr>
          <w:p w14:paraId="25A6ABBC">
            <w:r>
              <w:rPr>
                <w:rFonts w:ascii="Calibri" w:hAnsi="Calibri" w:eastAsia="Calibri" w:cs="Calibri"/>
                <w:b/>
                <w:bCs/>
                <w:color w:val="C00000"/>
                <w:sz w:val="19"/>
                <w:szCs w:val="19"/>
              </w:rPr>
              <w:t>High</w:t>
            </w:r>
          </w:p>
        </w:tc>
      </w:tr>
      <w:tr w14:paraId="3A6B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260D45B6">
            <w:r>
              <w:rPr>
                <w:rFonts w:ascii="Calibri" w:hAnsi="Calibri" w:eastAsia="Calibri" w:cs="Calibri"/>
                <w:color w:val="000000"/>
                <w:sz w:val="19"/>
                <w:szCs w:val="19"/>
              </w:rPr>
              <w:t>7.14</w:t>
            </w:r>
          </w:p>
        </w:tc>
        <w:tc>
          <w:tcPr>
            <w:tcW w:w="5850" w:type="dxa"/>
            <w:tcMar>
              <w:top w:w="60" w:type="dxa"/>
              <w:left w:w="90" w:type="dxa"/>
              <w:bottom w:w="60" w:type="dxa"/>
              <w:right w:w="90" w:type="dxa"/>
            </w:tcMar>
            <w:vAlign w:val="center"/>
          </w:tcPr>
          <w:p w14:paraId="22108FBC">
            <w:r>
              <w:rPr>
                <w:rFonts w:ascii="Calibri" w:hAnsi="Calibri" w:eastAsia="Calibri" w:cs="Calibri"/>
                <w:color w:val="000000"/>
                <w:sz w:val="19"/>
                <w:szCs w:val="19"/>
              </w:rPr>
              <w:t>Secure disposal or re-use of equipment</w:t>
            </w:r>
          </w:p>
        </w:tc>
        <w:tc>
          <w:tcPr>
            <w:tcW w:w="1650" w:type="dxa"/>
            <w:tcMar>
              <w:top w:w="60" w:type="dxa"/>
              <w:left w:w="90" w:type="dxa"/>
              <w:bottom w:w="60" w:type="dxa"/>
              <w:right w:w="90" w:type="dxa"/>
            </w:tcMar>
            <w:vAlign w:val="center"/>
          </w:tcPr>
          <w:p w14:paraId="2914950A">
            <w:r>
              <w:rPr>
                <w:rFonts w:ascii="Calibri" w:hAnsi="Calibri" w:eastAsia="Calibri" w:cs="Calibri"/>
                <w:b/>
                <w:bCs/>
                <w:color w:val="C00000"/>
                <w:sz w:val="19"/>
                <w:szCs w:val="19"/>
              </w:rPr>
              <w:t>High</w:t>
            </w:r>
          </w:p>
        </w:tc>
      </w:tr>
      <w:tr w14:paraId="1A1F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41214B65">
            <w:r>
              <w:rPr>
                <w:rFonts w:ascii="Calibri" w:hAnsi="Calibri" w:eastAsia="Calibri" w:cs="Calibri"/>
                <w:color w:val="000000"/>
                <w:sz w:val="19"/>
                <w:szCs w:val="19"/>
              </w:rPr>
              <w:t>8.5</w:t>
            </w:r>
          </w:p>
        </w:tc>
        <w:tc>
          <w:tcPr>
            <w:tcW w:w="5850" w:type="dxa"/>
            <w:tcMar>
              <w:top w:w="60" w:type="dxa"/>
              <w:left w:w="90" w:type="dxa"/>
              <w:bottom w:w="60" w:type="dxa"/>
              <w:right w:w="90" w:type="dxa"/>
            </w:tcMar>
            <w:vAlign w:val="center"/>
          </w:tcPr>
          <w:p w14:paraId="1CD81A07">
            <w:r>
              <w:rPr>
                <w:rFonts w:ascii="Calibri" w:hAnsi="Calibri" w:eastAsia="Calibri" w:cs="Calibri"/>
                <w:color w:val="000000"/>
                <w:sz w:val="19"/>
                <w:szCs w:val="19"/>
              </w:rPr>
              <w:t>Secure authentication (MFA)</w:t>
            </w:r>
          </w:p>
        </w:tc>
        <w:tc>
          <w:tcPr>
            <w:tcW w:w="1650" w:type="dxa"/>
            <w:tcMar>
              <w:top w:w="60" w:type="dxa"/>
              <w:left w:w="90" w:type="dxa"/>
              <w:bottom w:w="60" w:type="dxa"/>
              <w:right w:w="90" w:type="dxa"/>
            </w:tcMar>
            <w:vAlign w:val="center"/>
          </w:tcPr>
          <w:p w14:paraId="019F3A2A">
            <w:r>
              <w:rPr>
                <w:rFonts w:ascii="Calibri" w:hAnsi="Calibri" w:eastAsia="Calibri" w:cs="Calibri"/>
                <w:b/>
                <w:bCs/>
                <w:color w:val="C00000"/>
                <w:sz w:val="19"/>
                <w:szCs w:val="19"/>
              </w:rPr>
              <w:t>High</w:t>
            </w:r>
          </w:p>
        </w:tc>
      </w:tr>
      <w:tr w14:paraId="0824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4C7DFB32">
            <w:r>
              <w:rPr>
                <w:rFonts w:ascii="Calibri" w:hAnsi="Calibri" w:eastAsia="Calibri" w:cs="Calibri"/>
                <w:color w:val="000000"/>
                <w:sz w:val="19"/>
                <w:szCs w:val="19"/>
              </w:rPr>
              <w:t>8.24</w:t>
            </w:r>
          </w:p>
        </w:tc>
        <w:tc>
          <w:tcPr>
            <w:tcW w:w="5850" w:type="dxa"/>
            <w:tcMar>
              <w:top w:w="60" w:type="dxa"/>
              <w:left w:w="90" w:type="dxa"/>
              <w:bottom w:w="60" w:type="dxa"/>
              <w:right w:w="90" w:type="dxa"/>
            </w:tcMar>
            <w:vAlign w:val="center"/>
          </w:tcPr>
          <w:p w14:paraId="0CD6A9AB">
            <w:r>
              <w:rPr>
                <w:rFonts w:ascii="Calibri" w:hAnsi="Calibri" w:eastAsia="Calibri" w:cs="Calibri"/>
                <w:color w:val="000000"/>
                <w:sz w:val="19"/>
                <w:szCs w:val="19"/>
              </w:rPr>
              <w:t>Use of cryptography</w:t>
            </w:r>
          </w:p>
        </w:tc>
        <w:tc>
          <w:tcPr>
            <w:tcW w:w="1650" w:type="dxa"/>
            <w:tcMar>
              <w:top w:w="60" w:type="dxa"/>
              <w:left w:w="90" w:type="dxa"/>
              <w:bottom w:w="60" w:type="dxa"/>
              <w:right w:w="90" w:type="dxa"/>
            </w:tcMar>
            <w:vAlign w:val="center"/>
          </w:tcPr>
          <w:p w14:paraId="49F1C118">
            <w:r>
              <w:rPr>
                <w:rFonts w:ascii="Calibri" w:hAnsi="Calibri" w:eastAsia="Calibri" w:cs="Calibri"/>
                <w:b/>
                <w:bCs/>
                <w:color w:val="C00000"/>
                <w:sz w:val="19"/>
                <w:szCs w:val="19"/>
              </w:rPr>
              <w:t>High</w:t>
            </w:r>
          </w:p>
        </w:tc>
      </w:tr>
      <w:tr w14:paraId="7D16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757C348A">
            <w:r>
              <w:rPr>
                <w:rFonts w:ascii="Calibri" w:hAnsi="Calibri" w:eastAsia="Calibri" w:cs="Calibri"/>
                <w:color w:val="000000"/>
                <w:sz w:val="19"/>
                <w:szCs w:val="19"/>
              </w:rPr>
              <w:t>8.28</w:t>
            </w:r>
          </w:p>
        </w:tc>
        <w:tc>
          <w:tcPr>
            <w:tcW w:w="5850" w:type="dxa"/>
            <w:tcMar>
              <w:top w:w="60" w:type="dxa"/>
              <w:left w:w="90" w:type="dxa"/>
              <w:bottom w:w="60" w:type="dxa"/>
              <w:right w:w="90" w:type="dxa"/>
            </w:tcMar>
            <w:vAlign w:val="center"/>
          </w:tcPr>
          <w:p w14:paraId="2E0A98A3">
            <w:r>
              <w:rPr>
                <w:rFonts w:ascii="Calibri" w:hAnsi="Calibri" w:eastAsia="Calibri" w:cs="Calibri"/>
                <w:color w:val="000000"/>
                <w:sz w:val="19"/>
                <w:szCs w:val="19"/>
              </w:rPr>
              <w:t>Secure coding</w:t>
            </w:r>
          </w:p>
        </w:tc>
        <w:tc>
          <w:tcPr>
            <w:tcW w:w="1650" w:type="dxa"/>
            <w:tcMar>
              <w:top w:w="60" w:type="dxa"/>
              <w:left w:w="90" w:type="dxa"/>
              <w:bottom w:w="60" w:type="dxa"/>
              <w:right w:w="90" w:type="dxa"/>
            </w:tcMar>
            <w:vAlign w:val="center"/>
          </w:tcPr>
          <w:p w14:paraId="675187AF">
            <w:r>
              <w:rPr>
                <w:rFonts w:ascii="Calibri" w:hAnsi="Calibri" w:eastAsia="Calibri" w:cs="Calibri"/>
                <w:b/>
                <w:bCs/>
                <w:color w:val="C00000"/>
                <w:sz w:val="19"/>
                <w:szCs w:val="19"/>
              </w:rPr>
              <w:t>High</w:t>
            </w:r>
          </w:p>
        </w:tc>
      </w:tr>
      <w:tr w14:paraId="1A17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vAlign w:val="center"/>
          </w:tcPr>
          <w:p w14:paraId="54F89C57">
            <w:r>
              <w:rPr>
                <w:rFonts w:ascii="Calibri" w:hAnsi="Calibri" w:eastAsia="Calibri" w:cs="Calibri"/>
                <w:color w:val="000000"/>
                <w:sz w:val="19"/>
                <w:szCs w:val="19"/>
              </w:rPr>
              <w:t>8.29</w:t>
            </w:r>
          </w:p>
        </w:tc>
        <w:tc>
          <w:tcPr>
            <w:tcW w:w="5850" w:type="dxa"/>
            <w:tcMar>
              <w:top w:w="60" w:type="dxa"/>
              <w:left w:w="90" w:type="dxa"/>
              <w:bottom w:w="60" w:type="dxa"/>
              <w:right w:w="90" w:type="dxa"/>
            </w:tcMar>
            <w:vAlign w:val="center"/>
          </w:tcPr>
          <w:p w14:paraId="0C635881">
            <w:r>
              <w:rPr>
                <w:rFonts w:ascii="Calibri" w:hAnsi="Calibri" w:eastAsia="Calibri" w:cs="Calibri"/>
                <w:color w:val="000000"/>
                <w:sz w:val="19"/>
                <w:szCs w:val="19"/>
              </w:rPr>
              <w:t>Security testing in development and acceptance</w:t>
            </w:r>
          </w:p>
        </w:tc>
        <w:tc>
          <w:tcPr>
            <w:tcW w:w="1650" w:type="dxa"/>
            <w:tcMar>
              <w:top w:w="60" w:type="dxa"/>
              <w:left w:w="90" w:type="dxa"/>
              <w:bottom w:w="60" w:type="dxa"/>
              <w:right w:w="90" w:type="dxa"/>
            </w:tcMar>
            <w:vAlign w:val="center"/>
          </w:tcPr>
          <w:p w14:paraId="0DCF415E">
            <w:r>
              <w:rPr>
                <w:rFonts w:ascii="Calibri" w:hAnsi="Calibri" w:eastAsia="Calibri" w:cs="Calibri"/>
                <w:b/>
                <w:bCs/>
                <w:color w:val="C00000"/>
                <w:sz w:val="19"/>
                <w:szCs w:val="19"/>
              </w:rPr>
              <w:t>High</w:t>
            </w:r>
          </w:p>
        </w:tc>
      </w:tr>
    </w:tbl>
    <w:p w14:paraId="4A34580B">
      <w:pPr>
        <w:pBdr>
          <w:bottom w:val="single" w:color="000000" w:sz="6" w:space="4"/>
        </w:pBdr>
        <w:spacing w:before="340" w:after="100"/>
      </w:pPr>
      <w:r>
        <w:rPr>
          <w:rFonts w:ascii="Times New Roman" w:hAnsi="Times New Roman" w:eastAsia="Times New Roman" w:cs="Times New Roman"/>
          <w:b/>
          <w:bCs/>
          <w:color w:val="000000"/>
          <w:sz w:val="28"/>
          <w:szCs w:val="28"/>
        </w:rPr>
        <w:t>5. Asset Identification &amp; Threat Register Summary</w:t>
      </w:r>
    </w:p>
    <w:p w14:paraId="6B27A7EF">
      <w:pPr>
        <w:spacing w:after="180"/>
      </w:pPr>
      <w:r>
        <w:rPr>
          <w:rFonts w:ascii="Calibri" w:hAnsi="Calibri" w:eastAsia="Calibri" w:cs="Calibri"/>
          <w:color w:val="000000"/>
          <w:sz w:val="21"/>
          <w:szCs w:val="21"/>
        </w:rPr>
        <w:t>26 assets were identified across UnityTrust Bank's IT environment, each rated by CIA Score and an estimated financial impact in PKR. The full register with threats and vulnerabilities is provided in the Asset &amp; Threat Register (see Section 9).</w:t>
      </w:r>
    </w:p>
    <w:p w14:paraId="3EB98429">
      <w:pPr>
        <w:spacing w:before="220" w:after="100"/>
      </w:pPr>
      <w:r>
        <w:rPr>
          <w:rFonts w:ascii="Times New Roman" w:hAnsi="Times New Roman" w:eastAsia="Times New Roman" w:cs="Times New Roman"/>
          <w:b/>
          <w:bCs/>
          <w:color w:val="000000"/>
          <w:sz w:val="23"/>
          <w:szCs w:val="23"/>
        </w:rPr>
        <w:t>5.1 Critical-Priority Assets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0"/>
        <w:gridCol w:w="3400"/>
        <w:gridCol w:w="1150"/>
        <w:gridCol w:w="1450"/>
        <w:gridCol w:w="2150"/>
      </w:tblGrid>
      <w:tr w14:paraId="69C7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50" w:type="dxa"/>
            <w:shd w:val="clear" w:color="auto" w:fill="D9D9D9"/>
            <w:tcMar>
              <w:top w:w="60" w:type="dxa"/>
              <w:left w:w="90" w:type="dxa"/>
              <w:bottom w:w="60" w:type="dxa"/>
              <w:right w:w="90" w:type="dxa"/>
            </w:tcMar>
            <w:vAlign w:val="center"/>
          </w:tcPr>
          <w:p w14:paraId="53A150CA">
            <w:r>
              <w:rPr>
                <w:rFonts w:ascii="Calibri" w:hAnsi="Calibri" w:eastAsia="Calibri" w:cs="Calibri"/>
                <w:b/>
                <w:bCs/>
                <w:color w:val="000000"/>
                <w:sz w:val="19"/>
                <w:szCs w:val="19"/>
              </w:rPr>
              <w:t>Asset ID</w:t>
            </w:r>
          </w:p>
        </w:tc>
        <w:tc>
          <w:tcPr>
            <w:tcW w:w="3400" w:type="dxa"/>
            <w:shd w:val="clear" w:color="auto" w:fill="D9D9D9"/>
            <w:tcMar>
              <w:top w:w="60" w:type="dxa"/>
              <w:left w:w="90" w:type="dxa"/>
              <w:bottom w:w="60" w:type="dxa"/>
              <w:right w:w="90" w:type="dxa"/>
            </w:tcMar>
            <w:vAlign w:val="center"/>
          </w:tcPr>
          <w:p w14:paraId="7FD5B032">
            <w:r>
              <w:rPr>
                <w:rFonts w:ascii="Calibri" w:hAnsi="Calibri" w:eastAsia="Calibri" w:cs="Calibri"/>
                <w:b/>
                <w:bCs/>
                <w:color w:val="000000"/>
                <w:sz w:val="19"/>
                <w:szCs w:val="19"/>
              </w:rPr>
              <w:t>Asset Name</w:t>
            </w:r>
          </w:p>
        </w:tc>
        <w:tc>
          <w:tcPr>
            <w:tcW w:w="1150" w:type="dxa"/>
            <w:shd w:val="clear" w:color="auto" w:fill="D9D9D9"/>
            <w:tcMar>
              <w:top w:w="60" w:type="dxa"/>
              <w:left w:w="90" w:type="dxa"/>
              <w:bottom w:w="60" w:type="dxa"/>
              <w:right w:w="90" w:type="dxa"/>
            </w:tcMar>
            <w:vAlign w:val="center"/>
          </w:tcPr>
          <w:p w14:paraId="417BE35E">
            <w:r>
              <w:rPr>
                <w:rFonts w:ascii="Calibri" w:hAnsi="Calibri" w:eastAsia="Calibri" w:cs="Calibri"/>
                <w:b/>
                <w:bCs/>
                <w:color w:val="000000"/>
                <w:sz w:val="19"/>
                <w:szCs w:val="19"/>
              </w:rPr>
              <w:t>CIA Score</w:t>
            </w:r>
          </w:p>
        </w:tc>
        <w:tc>
          <w:tcPr>
            <w:tcW w:w="1450" w:type="dxa"/>
            <w:shd w:val="clear" w:color="auto" w:fill="D9D9D9"/>
            <w:tcMar>
              <w:top w:w="60" w:type="dxa"/>
              <w:left w:w="90" w:type="dxa"/>
              <w:bottom w:w="60" w:type="dxa"/>
              <w:right w:w="90" w:type="dxa"/>
            </w:tcMar>
            <w:vAlign w:val="center"/>
          </w:tcPr>
          <w:p w14:paraId="66872AD5">
            <w:r>
              <w:rPr>
                <w:rFonts w:ascii="Calibri" w:hAnsi="Calibri" w:eastAsia="Calibri" w:cs="Calibri"/>
                <w:b/>
                <w:bCs/>
                <w:color w:val="000000"/>
                <w:sz w:val="19"/>
                <w:szCs w:val="19"/>
              </w:rPr>
              <w:t>Priority</w:t>
            </w:r>
          </w:p>
        </w:tc>
        <w:tc>
          <w:tcPr>
            <w:tcW w:w="2150" w:type="dxa"/>
            <w:shd w:val="clear" w:color="auto" w:fill="D9D9D9"/>
            <w:tcMar>
              <w:top w:w="60" w:type="dxa"/>
              <w:left w:w="90" w:type="dxa"/>
              <w:bottom w:w="60" w:type="dxa"/>
              <w:right w:w="90" w:type="dxa"/>
            </w:tcMar>
            <w:vAlign w:val="center"/>
          </w:tcPr>
          <w:p w14:paraId="356C9A55">
            <w:r>
              <w:rPr>
                <w:rFonts w:ascii="Calibri" w:hAnsi="Calibri" w:eastAsia="Calibri" w:cs="Calibri"/>
                <w:b/>
                <w:bCs/>
                <w:color w:val="000000"/>
                <w:sz w:val="19"/>
                <w:szCs w:val="19"/>
              </w:rPr>
              <w:t>Est. Financial Impact</w:t>
            </w:r>
          </w:p>
        </w:tc>
      </w:tr>
      <w:tr w14:paraId="0658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Mar>
              <w:top w:w="60" w:type="dxa"/>
              <w:left w:w="90" w:type="dxa"/>
              <w:bottom w:w="60" w:type="dxa"/>
              <w:right w:w="90" w:type="dxa"/>
            </w:tcMar>
            <w:vAlign w:val="center"/>
          </w:tcPr>
          <w:p w14:paraId="1D15016E">
            <w:r>
              <w:rPr>
                <w:rFonts w:ascii="Calibri" w:hAnsi="Calibri" w:eastAsia="Calibri" w:cs="Calibri"/>
                <w:color w:val="000000"/>
                <w:sz w:val="19"/>
                <w:szCs w:val="19"/>
              </w:rPr>
              <w:t>AST-01</w:t>
            </w:r>
          </w:p>
        </w:tc>
        <w:tc>
          <w:tcPr>
            <w:tcW w:w="3400" w:type="dxa"/>
            <w:tcMar>
              <w:top w:w="60" w:type="dxa"/>
              <w:left w:w="90" w:type="dxa"/>
              <w:bottom w:w="60" w:type="dxa"/>
              <w:right w:w="90" w:type="dxa"/>
            </w:tcMar>
            <w:vAlign w:val="center"/>
          </w:tcPr>
          <w:p w14:paraId="719E3485">
            <w:r>
              <w:rPr>
                <w:rFonts w:ascii="Calibri" w:hAnsi="Calibri" w:eastAsia="Calibri" w:cs="Calibri"/>
                <w:color w:val="000000"/>
                <w:sz w:val="19"/>
                <w:szCs w:val="19"/>
              </w:rPr>
              <w:t>Core Banking Platform</w:t>
            </w:r>
          </w:p>
        </w:tc>
        <w:tc>
          <w:tcPr>
            <w:tcW w:w="1150" w:type="dxa"/>
            <w:tcMar>
              <w:top w:w="60" w:type="dxa"/>
              <w:left w:w="90" w:type="dxa"/>
              <w:bottom w:w="60" w:type="dxa"/>
              <w:right w:w="90" w:type="dxa"/>
            </w:tcMar>
            <w:vAlign w:val="center"/>
          </w:tcPr>
          <w:p w14:paraId="2085EDA8">
            <w:r>
              <w:rPr>
                <w:rFonts w:ascii="Calibri" w:hAnsi="Calibri" w:eastAsia="Calibri" w:cs="Calibri"/>
                <w:color w:val="000000"/>
                <w:sz w:val="19"/>
                <w:szCs w:val="19"/>
              </w:rPr>
              <w:t>5.0</w:t>
            </w:r>
          </w:p>
        </w:tc>
        <w:tc>
          <w:tcPr>
            <w:tcW w:w="1450" w:type="dxa"/>
            <w:tcMar>
              <w:top w:w="60" w:type="dxa"/>
              <w:left w:w="90" w:type="dxa"/>
              <w:bottom w:w="60" w:type="dxa"/>
              <w:right w:w="90" w:type="dxa"/>
            </w:tcMar>
            <w:vAlign w:val="center"/>
          </w:tcPr>
          <w:p w14:paraId="13137A48">
            <w:r>
              <w:rPr>
                <w:rFonts w:ascii="Calibri" w:hAnsi="Calibri" w:eastAsia="Calibri" w:cs="Calibri"/>
                <w:b/>
                <w:bCs/>
                <w:color w:val="C00000"/>
                <w:sz w:val="19"/>
                <w:szCs w:val="19"/>
              </w:rPr>
              <w:t>Critical</w:t>
            </w:r>
          </w:p>
        </w:tc>
        <w:tc>
          <w:tcPr>
            <w:tcW w:w="2150" w:type="dxa"/>
            <w:tcMar>
              <w:top w:w="60" w:type="dxa"/>
              <w:left w:w="90" w:type="dxa"/>
              <w:bottom w:w="60" w:type="dxa"/>
              <w:right w:w="90" w:type="dxa"/>
            </w:tcMar>
            <w:vAlign w:val="center"/>
          </w:tcPr>
          <w:p w14:paraId="7A26BEAB">
            <w:r>
              <w:rPr>
                <w:rFonts w:ascii="Calibri" w:hAnsi="Calibri" w:eastAsia="Calibri" w:cs="Calibri"/>
                <w:color w:val="000000"/>
                <w:sz w:val="19"/>
                <w:szCs w:val="19"/>
              </w:rPr>
              <w:t>PKR 800,000,000</w:t>
            </w:r>
          </w:p>
        </w:tc>
      </w:tr>
      <w:tr w14:paraId="1DBC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Mar>
              <w:top w:w="60" w:type="dxa"/>
              <w:left w:w="90" w:type="dxa"/>
              <w:bottom w:w="60" w:type="dxa"/>
              <w:right w:w="90" w:type="dxa"/>
            </w:tcMar>
            <w:vAlign w:val="center"/>
          </w:tcPr>
          <w:p w14:paraId="6DFB3BF5">
            <w:r>
              <w:rPr>
                <w:rFonts w:ascii="Calibri" w:hAnsi="Calibri" w:eastAsia="Calibri" w:cs="Calibri"/>
                <w:color w:val="000000"/>
                <w:sz w:val="19"/>
                <w:szCs w:val="19"/>
              </w:rPr>
              <w:t>AST-06</w:t>
            </w:r>
          </w:p>
        </w:tc>
        <w:tc>
          <w:tcPr>
            <w:tcW w:w="3400" w:type="dxa"/>
            <w:tcMar>
              <w:top w:w="60" w:type="dxa"/>
              <w:left w:w="90" w:type="dxa"/>
              <w:bottom w:w="60" w:type="dxa"/>
              <w:right w:w="90" w:type="dxa"/>
            </w:tcMar>
            <w:vAlign w:val="center"/>
          </w:tcPr>
          <w:p w14:paraId="6F8DA49D">
            <w:r>
              <w:rPr>
                <w:rFonts w:ascii="Calibri" w:hAnsi="Calibri" w:eastAsia="Calibri" w:cs="Calibri"/>
                <w:color w:val="000000"/>
                <w:sz w:val="19"/>
                <w:szCs w:val="19"/>
              </w:rPr>
              <w:t>ATM Switch</w:t>
            </w:r>
          </w:p>
        </w:tc>
        <w:tc>
          <w:tcPr>
            <w:tcW w:w="1150" w:type="dxa"/>
            <w:tcMar>
              <w:top w:w="60" w:type="dxa"/>
              <w:left w:w="90" w:type="dxa"/>
              <w:bottom w:w="60" w:type="dxa"/>
              <w:right w:w="90" w:type="dxa"/>
            </w:tcMar>
            <w:vAlign w:val="center"/>
          </w:tcPr>
          <w:p w14:paraId="720815A7">
            <w:r>
              <w:rPr>
                <w:rFonts w:ascii="Calibri" w:hAnsi="Calibri" w:eastAsia="Calibri" w:cs="Calibri"/>
                <w:color w:val="000000"/>
                <w:sz w:val="19"/>
                <w:szCs w:val="19"/>
              </w:rPr>
              <w:t>5.0</w:t>
            </w:r>
          </w:p>
        </w:tc>
        <w:tc>
          <w:tcPr>
            <w:tcW w:w="1450" w:type="dxa"/>
            <w:tcMar>
              <w:top w:w="60" w:type="dxa"/>
              <w:left w:w="90" w:type="dxa"/>
              <w:bottom w:w="60" w:type="dxa"/>
              <w:right w:w="90" w:type="dxa"/>
            </w:tcMar>
            <w:vAlign w:val="center"/>
          </w:tcPr>
          <w:p w14:paraId="49F4ABBC">
            <w:r>
              <w:rPr>
                <w:rFonts w:ascii="Calibri" w:hAnsi="Calibri" w:eastAsia="Calibri" w:cs="Calibri"/>
                <w:b/>
                <w:bCs/>
                <w:color w:val="C00000"/>
                <w:sz w:val="19"/>
                <w:szCs w:val="19"/>
              </w:rPr>
              <w:t>Critical</w:t>
            </w:r>
          </w:p>
        </w:tc>
        <w:tc>
          <w:tcPr>
            <w:tcW w:w="2150" w:type="dxa"/>
            <w:tcMar>
              <w:top w:w="60" w:type="dxa"/>
              <w:left w:w="90" w:type="dxa"/>
              <w:bottom w:w="60" w:type="dxa"/>
              <w:right w:w="90" w:type="dxa"/>
            </w:tcMar>
            <w:vAlign w:val="center"/>
          </w:tcPr>
          <w:p w14:paraId="044C97B4">
            <w:r>
              <w:rPr>
                <w:rFonts w:ascii="Calibri" w:hAnsi="Calibri" w:eastAsia="Calibri" w:cs="Calibri"/>
                <w:color w:val="000000"/>
                <w:sz w:val="19"/>
                <w:szCs w:val="19"/>
              </w:rPr>
              <w:t>PKR 350,000,000</w:t>
            </w:r>
          </w:p>
        </w:tc>
      </w:tr>
      <w:tr w14:paraId="0A75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Mar>
              <w:top w:w="60" w:type="dxa"/>
              <w:left w:w="90" w:type="dxa"/>
              <w:bottom w:w="60" w:type="dxa"/>
              <w:right w:w="90" w:type="dxa"/>
            </w:tcMar>
            <w:vAlign w:val="center"/>
          </w:tcPr>
          <w:p w14:paraId="505E27ED">
            <w:r>
              <w:rPr>
                <w:rFonts w:ascii="Calibri" w:hAnsi="Calibri" w:eastAsia="Calibri" w:cs="Calibri"/>
                <w:color w:val="000000"/>
                <w:sz w:val="19"/>
                <w:szCs w:val="19"/>
              </w:rPr>
              <w:t>AST-08</w:t>
            </w:r>
          </w:p>
        </w:tc>
        <w:tc>
          <w:tcPr>
            <w:tcW w:w="3400" w:type="dxa"/>
            <w:tcMar>
              <w:top w:w="60" w:type="dxa"/>
              <w:left w:w="90" w:type="dxa"/>
              <w:bottom w:w="60" w:type="dxa"/>
              <w:right w:w="90" w:type="dxa"/>
            </w:tcMar>
            <w:vAlign w:val="center"/>
          </w:tcPr>
          <w:p w14:paraId="5B20A95C">
            <w:r>
              <w:rPr>
                <w:rFonts w:ascii="Calibri" w:hAnsi="Calibri" w:eastAsia="Calibri" w:cs="Calibri"/>
                <w:color w:val="000000"/>
                <w:sz w:val="19"/>
                <w:szCs w:val="19"/>
              </w:rPr>
              <w:t>RTGS / ACH Payment Gateway</w:t>
            </w:r>
          </w:p>
        </w:tc>
        <w:tc>
          <w:tcPr>
            <w:tcW w:w="1150" w:type="dxa"/>
            <w:tcMar>
              <w:top w:w="60" w:type="dxa"/>
              <w:left w:w="90" w:type="dxa"/>
              <w:bottom w:w="60" w:type="dxa"/>
              <w:right w:w="90" w:type="dxa"/>
            </w:tcMar>
            <w:vAlign w:val="center"/>
          </w:tcPr>
          <w:p w14:paraId="25F38DE2">
            <w:r>
              <w:rPr>
                <w:rFonts w:ascii="Calibri" w:hAnsi="Calibri" w:eastAsia="Calibri" w:cs="Calibri"/>
                <w:color w:val="000000"/>
                <w:sz w:val="19"/>
                <w:szCs w:val="19"/>
              </w:rPr>
              <w:t>5.0</w:t>
            </w:r>
          </w:p>
        </w:tc>
        <w:tc>
          <w:tcPr>
            <w:tcW w:w="1450" w:type="dxa"/>
            <w:tcMar>
              <w:top w:w="60" w:type="dxa"/>
              <w:left w:w="90" w:type="dxa"/>
              <w:bottom w:w="60" w:type="dxa"/>
              <w:right w:w="90" w:type="dxa"/>
            </w:tcMar>
            <w:vAlign w:val="center"/>
          </w:tcPr>
          <w:p w14:paraId="2BF941D6">
            <w:r>
              <w:rPr>
                <w:rFonts w:ascii="Calibri" w:hAnsi="Calibri" w:eastAsia="Calibri" w:cs="Calibri"/>
                <w:b/>
                <w:bCs/>
                <w:color w:val="C00000"/>
                <w:sz w:val="19"/>
                <w:szCs w:val="19"/>
              </w:rPr>
              <w:t>Critical</w:t>
            </w:r>
          </w:p>
        </w:tc>
        <w:tc>
          <w:tcPr>
            <w:tcW w:w="2150" w:type="dxa"/>
            <w:tcMar>
              <w:top w:w="60" w:type="dxa"/>
              <w:left w:w="90" w:type="dxa"/>
              <w:bottom w:w="60" w:type="dxa"/>
              <w:right w:w="90" w:type="dxa"/>
            </w:tcMar>
            <w:vAlign w:val="center"/>
          </w:tcPr>
          <w:p w14:paraId="7E6CD130">
            <w:r>
              <w:rPr>
                <w:rFonts w:ascii="Calibri" w:hAnsi="Calibri" w:eastAsia="Calibri" w:cs="Calibri"/>
                <w:color w:val="000000"/>
                <w:sz w:val="19"/>
                <w:szCs w:val="19"/>
              </w:rPr>
              <w:t>PKR 400,000,000</w:t>
            </w:r>
          </w:p>
        </w:tc>
      </w:tr>
      <w:tr w14:paraId="5FF5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Mar>
              <w:top w:w="60" w:type="dxa"/>
              <w:left w:w="90" w:type="dxa"/>
              <w:bottom w:w="60" w:type="dxa"/>
              <w:right w:w="90" w:type="dxa"/>
            </w:tcMar>
            <w:vAlign w:val="center"/>
          </w:tcPr>
          <w:p w14:paraId="7A1AD0D0">
            <w:r>
              <w:rPr>
                <w:rFonts w:ascii="Calibri" w:hAnsi="Calibri" w:eastAsia="Calibri" w:cs="Calibri"/>
                <w:color w:val="000000"/>
                <w:sz w:val="19"/>
                <w:szCs w:val="19"/>
              </w:rPr>
              <w:t>AST-12</w:t>
            </w:r>
          </w:p>
        </w:tc>
        <w:tc>
          <w:tcPr>
            <w:tcW w:w="3400" w:type="dxa"/>
            <w:tcMar>
              <w:top w:w="60" w:type="dxa"/>
              <w:left w:w="90" w:type="dxa"/>
              <w:bottom w:w="60" w:type="dxa"/>
              <w:right w:w="90" w:type="dxa"/>
            </w:tcMar>
            <w:vAlign w:val="center"/>
          </w:tcPr>
          <w:p w14:paraId="742953F3">
            <w:r>
              <w:rPr>
                <w:rFonts w:ascii="Calibri" w:hAnsi="Calibri" w:eastAsia="Calibri" w:cs="Calibri"/>
                <w:color w:val="000000"/>
                <w:sz w:val="19"/>
                <w:szCs w:val="19"/>
              </w:rPr>
              <w:t>KYC Repository</w:t>
            </w:r>
          </w:p>
        </w:tc>
        <w:tc>
          <w:tcPr>
            <w:tcW w:w="1150" w:type="dxa"/>
            <w:tcMar>
              <w:top w:w="60" w:type="dxa"/>
              <w:left w:w="90" w:type="dxa"/>
              <w:bottom w:w="60" w:type="dxa"/>
              <w:right w:w="90" w:type="dxa"/>
            </w:tcMar>
            <w:vAlign w:val="center"/>
          </w:tcPr>
          <w:p w14:paraId="6C1E06D6">
            <w:r>
              <w:rPr>
                <w:rFonts w:ascii="Calibri" w:hAnsi="Calibri" w:eastAsia="Calibri" w:cs="Calibri"/>
                <w:color w:val="000000"/>
                <w:sz w:val="19"/>
                <w:szCs w:val="19"/>
              </w:rPr>
              <w:t>4.7</w:t>
            </w:r>
          </w:p>
        </w:tc>
        <w:tc>
          <w:tcPr>
            <w:tcW w:w="1450" w:type="dxa"/>
            <w:tcMar>
              <w:top w:w="60" w:type="dxa"/>
              <w:left w:w="90" w:type="dxa"/>
              <w:bottom w:w="60" w:type="dxa"/>
              <w:right w:w="90" w:type="dxa"/>
            </w:tcMar>
            <w:vAlign w:val="center"/>
          </w:tcPr>
          <w:p w14:paraId="3D1FE49B">
            <w:r>
              <w:rPr>
                <w:rFonts w:ascii="Calibri" w:hAnsi="Calibri" w:eastAsia="Calibri" w:cs="Calibri"/>
                <w:b/>
                <w:bCs/>
                <w:color w:val="C00000"/>
                <w:sz w:val="19"/>
                <w:szCs w:val="19"/>
              </w:rPr>
              <w:t>Critical</w:t>
            </w:r>
          </w:p>
        </w:tc>
        <w:tc>
          <w:tcPr>
            <w:tcW w:w="2150" w:type="dxa"/>
            <w:tcMar>
              <w:top w:w="60" w:type="dxa"/>
              <w:left w:w="90" w:type="dxa"/>
              <w:bottom w:w="60" w:type="dxa"/>
              <w:right w:w="90" w:type="dxa"/>
            </w:tcMar>
            <w:vAlign w:val="center"/>
          </w:tcPr>
          <w:p w14:paraId="7FC7812D">
            <w:r>
              <w:rPr>
                <w:rFonts w:ascii="Calibri" w:hAnsi="Calibri" w:eastAsia="Calibri" w:cs="Calibri"/>
                <w:color w:val="000000"/>
                <w:sz w:val="19"/>
                <w:szCs w:val="19"/>
              </w:rPr>
              <w:t>PKR 300,000,000</w:t>
            </w:r>
          </w:p>
        </w:tc>
      </w:tr>
      <w:tr w14:paraId="7156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Mar>
              <w:top w:w="60" w:type="dxa"/>
              <w:left w:w="90" w:type="dxa"/>
              <w:bottom w:w="60" w:type="dxa"/>
              <w:right w:w="90" w:type="dxa"/>
            </w:tcMar>
            <w:vAlign w:val="center"/>
          </w:tcPr>
          <w:p w14:paraId="44B76AFA">
            <w:r>
              <w:rPr>
                <w:rFonts w:ascii="Calibri" w:hAnsi="Calibri" w:eastAsia="Calibri" w:cs="Calibri"/>
                <w:color w:val="000000"/>
                <w:sz w:val="19"/>
                <w:szCs w:val="19"/>
              </w:rPr>
              <w:t>AST-18</w:t>
            </w:r>
          </w:p>
        </w:tc>
        <w:tc>
          <w:tcPr>
            <w:tcW w:w="3400" w:type="dxa"/>
            <w:tcMar>
              <w:top w:w="60" w:type="dxa"/>
              <w:left w:w="90" w:type="dxa"/>
              <w:bottom w:w="60" w:type="dxa"/>
              <w:right w:w="90" w:type="dxa"/>
            </w:tcMar>
            <w:vAlign w:val="center"/>
          </w:tcPr>
          <w:p w14:paraId="7E9904EA">
            <w:r>
              <w:rPr>
                <w:rFonts w:ascii="Calibri" w:hAnsi="Calibri" w:eastAsia="Calibri" w:cs="Calibri"/>
                <w:color w:val="000000"/>
                <w:sz w:val="19"/>
                <w:szCs w:val="19"/>
              </w:rPr>
              <w:t>PKI / Key Management System</w:t>
            </w:r>
          </w:p>
        </w:tc>
        <w:tc>
          <w:tcPr>
            <w:tcW w:w="1150" w:type="dxa"/>
            <w:tcMar>
              <w:top w:w="60" w:type="dxa"/>
              <w:left w:w="90" w:type="dxa"/>
              <w:bottom w:w="60" w:type="dxa"/>
              <w:right w:w="90" w:type="dxa"/>
            </w:tcMar>
            <w:vAlign w:val="center"/>
          </w:tcPr>
          <w:p w14:paraId="441D1165">
            <w:r>
              <w:rPr>
                <w:rFonts w:ascii="Calibri" w:hAnsi="Calibri" w:eastAsia="Calibri" w:cs="Calibri"/>
                <w:color w:val="000000"/>
                <w:sz w:val="19"/>
                <w:szCs w:val="19"/>
              </w:rPr>
              <w:t>4.7</w:t>
            </w:r>
          </w:p>
        </w:tc>
        <w:tc>
          <w:tcPr>
            <w:tcW w:w="1450" w:type="dxa"/>
            <w:tcMar>
              <w:top w:w="60" w:type="dxa"/>
              <w:left w:w="90" w:type="dxa"/>
              <w:bottom w:w="60" w:type="dxa"/>
              <w:right w:w="90" w:type="dxa"/>
            </w:tcMar>
            <w:vAlign w:val="center"/>
          </w:tcPr>
          <w:p w14:paraId="375B769A">
            <w:r>
              <w:rPr>
                <w:rFonts w:ascii="Calibri" w:hAnsi="Calibri" w:eastAsia="Calibri" w:cs="Calibri"/>
                <w:b/>
                <w:bCs/>
                <w:color w:val="C00000"/>
                <w:sz w:val="19"/>
                <w:szCs w:val="19"/>
              </w:rPr>
              <w:t>Critical</w:t>
            </w:r>
          </w:p>
        </w:tc>
        <w:tc>
          <w:tcPr>
            <w:tcW w:w="2150" w:type="dxa"/>
            <w:tcMar>
              <w:top w:w="60" w:type="dxa"/>
              <w:left w:w="90" w:type="dxa"/>
              <w:bottom w:w="60" w:type="dxa"/>
              <w:right w:w="90" w:type="dxa"/>
            </w:tcMar>
            <w:vAlign w:val="center"/>
          </w:tcPr>
          <w:p w14:paraId="5EAAC172">
            <w:r>
              <w:rPr>
                <w:rFonts w:ascii="Calibri" w:hAnsi="Calibri" w:eastAsia="Calibri" w:cs="Calibri"/>
                <w:color w:val="000000"/>
                <w:sz w:val="19"/>
                <w:szCs w:val="19"/>
              </w:rPr>
              <w:t>PKR 250,000,000</w:t>
            </w:r>
          </w:p>
        </w:tc>
      </w:tr>
      <w:tr w14:paraId="48847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Mar>
              <w:top w:w="60" w:type="dxa"/>
              <w:left w:w="90" w:type="dxa"/>
              <w:bottom w:w="60" w:type="dxa"/>
              <w:right w:w="90" w:type="dxa"/>
            </w:tcMar>
            <w:vAlign w:val="center"/>
          </w:tcPr>
          <w:p w14:paraId="30E1D417">
            <w:r>
              <w:rPr>
                <w:rFonts w:ascii="Calibri" w:hAnsi="Calibri" w:eastAsia="Calibri" w:cs="Calibri"/>
                <w:color w:val="000000"/>
                <w:sz w:val="19"/>
                <w:szCs w:val="19"/>
              </w:rPr>
              <w:t>AST-25</w:t>
            </w:r>
          </w:p>
        </w:tc>
        <w:tc>
          <w:tcPr>
            <w:tcW w:w="3400" w:type="dxa"/>
            <w:tcMar>
              <w:top w:w="60" w:type="dxa"/>
              <w:left w:w="90" w:type="dxa"/>
              <w:bottom w:w="60" w:type="dxa"/>
              <w:right w:w="90" w:type="dxa"/>
            </w:tcMar>
            <w:vAlign w:val="center"/>
          </w:tcPr>
          <w:p w14:paraId="3EF2C68D">
            <w:r>
              <w:rPr>
                <w:rFonts w:ascii="Calibri" w:hAnsi="Calibri" w:eastAsia="Calibri" w:cs="Calibri"/>
                <w:color w:val="000000"/>
                <w:sz w:val="19"/>
                <w:szCs w:val="19"/>
              </w:rPr>
              <w:t>Customer PII &amp; Financial Records</w:t>
            </w:r>
          </w:p>
        </w:tc>
        <w:tc>
          <w:tcPr>
            <w:tcW w:w="1150" w:type="dxa"/>
            <w:tcMar>
              <w:top w:w="60" w:type="dxa"/>
              <w:left w:w="90" w:type="dxa"/>
              <w:bottom w:w="60" w:type="dxa"/>
              <w:right w:w="90" w:type="dxa"/>
            </w:tcMar>
            <w:vAlign w:val="center"/>
          </w:tcPr>
          <w:p w14:paraId="741C6988">
            <w:r>
              <w:rPr>
                <w:rFonts w:ascii="Calibri" w:hAnsi="Calibri" w:eastAsia="Calibri" w:cs="Calibri"/>
                <w:color w:val="000000"/>
                <w:sz w:val="19"/>
                <w:szCs w:val="19"/>
              </w:rPr>
              <w:t>4.7</w:t>
            </w:r>
          </w:p>
        </w:tc>
        <w:tc>
          <w:tcPr>
            <w:tcW w:w="1450" w:type="dxa"/>
            <w:tcMar>
              <w:top w:w="60" w:type="dxa"/>
              <w:left w:w="90" w:type="dxa"/>
              <w:bottom w:w="60" w:type="dxa"/>
              <w:right w:w="90" w:type="dxa"/>
            </w:tcMar>
            <w:vAlign w:val="center"/>
          </w:tcPr>
          <w:p w14:paraId="3AD0316A">
            <w:r>
              <w:rPr>
                <w:rFonts w:ascii="Calibri" w:hAnsi="Calibri" w:eastAsia="Calibri" w:cs="Calibri"/>
                <w:b/>
                <w:bCs/>
                <w:color w:val="C00000"/>
                <w:sz w:val="19"/>
                <w:szCs w:val="19"/>
              </w:rPr>
              <w:t>Critical</w:t>
            </w:r>
          </w:p>
        </w:tc>
        <w:tc>
          <w:tcPr>
            <w:tcW w:w="2150" w:type="dxa"/>
            <w:tcMar>
              <w:top w:w="60" w:type="dxa"/>
              <w:left w:w="90" w:type="dxa"/>
              <w:bottom w:w="60" w:type="dxa"/>
              <w:right w:w="90" w:type="dxa"/>
            </w:tcMar>
            <w:vAlign w:val="center"/>
          </w:tcPr>
          <w:p w14:paraId="12F439D9">
            <w:r>
              <w:rPr>
                <w:rFonts w:ascii="Calibri" w:hAnsi="Calibri" w:eastAsia="Calibri" w:cs="Calibri"/>
                <w:color w:val="000000"/>
                <w:sz w:val="19"/>
                <w:szCs w:val="19"/>
              </w:rPr>
              <w:t>PKR 450,000,000</w:t>
            </w:r>
          </w:p>
        </w:tc>
      </w:tr>
    </w:tbl>
    <w:p w14:paraId="637F7DA5">
      <w:pPr>
        <w:pBdr>
          <w:bottom w:val="single" w:color="000000" w:sz="6" w:space="4"/>
        </w:pBdr>
        <w:spacing w:before="340" w:after="100"/>
      </w:pPr>
      <w:r>
        <w:rPr>
          <w:rFonts w:ascii="Times New Roman" w:hAnsi="Times New Roman" w:eastAsia="Times New Roman" w:cs="Times New Roman"/>
          <w:b/>
          <w:bCs/>
          <w:color w:val="000000"/>
          <w:sz w:val="28"/>
          <w:szCs w:val="28"/>
        </w:rPr>
        <w:t>6. Risk Treatment Plan Summary</w:t>
      </w:r>
    </w:p>
    <w:p w14:paraId="3ECC7141">
      <w:pPr>
        <w:spacing w:after="180"/>
      </w:pPr>
      <w:r>
        <w:rPr>
          <w:rFonts w:ascii="Calibri" w:hAnsi="Calibri" w:eastAsia="Calibri" w:cs="Calibri"/>
          <w:color w:val="000000"/>
          <w:sz w:val="21"/>
          <w:szCs w:val="21"/>
        </w:rPr>
        <w:t>Every identified risk was assigned a Mitigate treatment - reducing likelihood and/or impact through specific ISO 27001 Annex A controls, rather than avoiding, transferring, or accepting the risk. The full plan with control owners and timelines is provided in the Risk Treatment Plan (see Section 9).</w:t>
      </w:r>
    </w:p>
    <w:p w14:paraId="6BFE4525">
      <w:pPr>
        <w:spacing w:after="200"/>
      </w:pPr>
      <w:r>
        <w:rPr>
          <w:rFonts w:ascii="Calibri" w:hAnsi="Calibri" w:eastAsia="Calibri" w:cs="Calibri"/>
          <w:b/>
          <w:bCs/>
          <w:color w:val="000000"/>
          <w:sz w:val="21"/>
          <w:szCs w:val="21"/>
        </w:rPr>
        <w:t xml:space="preserve">26 risks assessed  |  </w:t>
      </w:r>
      <w:r>
        <w:rPr>
          <w:rFonts w:ascii="Calibri" w:hAnsi="Calibri" w:eastAsia="Calibri" w:cs="Calibri"/>
          <w:b/>
          <w:bCs/>
          <w:color w:val="C00000"/>
          <w:sz w:val="21"/>
          <w:szCs w:val="21"/>
        </w:rPr>
        <w:t xml:space="preserve">5 Critical  12 High  </w:t>
      </w:r>
      <w:r>
        <w:rPr>
          <w:rFonts w:ascii="Calibri" w:hAnsi="Calibri" w:eastAsia="Calibri" w:cs="Calibri"/>
          <w:b/>
          <w:bCs/>
          <w:color w:val="9C6500"/>
          <w:sz w:val="21"/>
          <w:szCs w:val="21"/>
        </w:rPr>
        <w:t xml:space="preserve">7 Medium  </w:t>
      </w:r>
      <w:r>
        <w:rPr>
          <w:rFonts w:ascii="Calibri" w:hAnsi="Calibri" w:eastAsia="Calibri" w:cs="Calibri"/>
          <w:b/>
          <w:bCs/>
          <w:color w:val="375623"/>
          <w:sz w:val="21"/>
          <w:szCs w:val="21"/>
        </w:rPr>
        <w:t>2 Low</w:t>
      </w:r>
    </w:p>
    <w:p w14:paraId="7586D833">
      <w:pPr>
        <w:spacing w:before="220" w:after="100"/>
      </w:pPr>
      <w:r>
        <w:rPr>
          <w:rFonts w:ascii="Times New Roman" w:hAnsi="Times New Roman" w:eastAsia="Times New Roman" w:cs="Times New Roman"/>
          <w:b/>
          <w:bCs/>
          <w:color w:val="000000"/>
          <w:sz w:val="23"/>
          <w:szCs w:val="23"/>
        </w:rPr>
        <w:t>6.1 Critical Risks and Treatment</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3200"/>
        <w:gridCol w:w="1400"/>
        <w:gridCol w:w="1350"/>
        <w:gridCol w:w="1500"/>
      </w:tblGrid>
      <w:tr w14:paraId="54D4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dxa"/>
            <w:shd w:val="clear" w:color="auto" w:fill="D9D9D9"/>
            <w:tcMar>
              <w:top w:w="60" w:type="dxa"/>
              <w:left w:w="90" w:type="dxa"/>
              <w:bottom w:w="60" w:type="dxa"/>
              <w:right w:w="90" w:type="dxa"/>
            </w:tcMar>
            <w:vAlign w:val="center"/>
          </w:tcPr>
          <w:p w14:paraId="2A228E0A">
            <w:r>
              <w:rPr>
                <w:rFonts w:ascii="Calibri" w:hAnsi="Calibri" w:eastAsia="Calibri" w:cs="Calibri"/>
                <w:b/>
                <w:bCs/>
                <w:color w:val="000000"/>
                <w:sz w:val="19"/>
                <w:szCs w:val="19"/>
              </w:rPr>
              <w:t>Risk ID</w:t>
            </w:r>
          </w:p>
        </w:tc>
        <w:tc>
          <w:tcPr>
            <w:tcW w:w="3200" w:type="dxa"/>
            <w:shd w:val="clear" w:color="auto" w:fill="D9D9D9"/>
            <w:tcMar>
              <w:top w:w="60" w:type="dxa"/>
              <w:left w:w="90" w:type="dxa"/>
              <w:bottom w:w="60" w:type="dxa"/>
              <w:right w:w="90" w:type="dxa"/>
            </w:tcMar>
            <w:vAlign w:val="center"/>
          </w:tcPr>
          <w:p w14:paraId="544B4D9B">
            <w:r>
              <w:rPr>
                <w:rFonts w:ascii="Calibri" w:hAnsi="Calibri" w:eastAsia="Calibri" w:cs="Calibri"/>
                <w:b/>
                <w:bCs/>
                <w:color w:val="000000"/>
                <w:sz w:val="19"/>
                <w:szCs w:val="19"/>
              </w:rPr>
              <w:t>Asset</w:t>
            </w:r>
          </w:p>
        </w:tc>
        <w:tc>
          <w:tcPr>
            <w:tcW w:w="1400" w:type="dxa"/>
            <w:shd w:val="clear" w:color="auto" w:fill="D9D9D9"/>
            <w:tcMar>
              <w:top w:w="60" w:type="dxa"/>
              <w:left w:w="90" w:type="dxa"/>
              <w:bottom w:w="60" w:type="dxa"/>
              <w:right w:w="90" w:type="dxa"/>
            </w:tcMar>
            <w:vAlign w:val="center"/>
          </w:tcPr>
          <w:p w14:paraId="47CB208D">
            <w:r>
              <w:rPr>
                <w:rFonts w:ascii="Calibri" w:hAnsi="Calibri" w:eastAsia="Calibri" w:cs="Calibri"/>
                <w:b/>
                <w:bCs/>
                <w:color w:val="000000"/>
                <w:sz w:val="19"/>
                <w:szCs w:val="19"/>
              </w:rPr>
              <w:t>Risk Level</w:t>
            </w:r>
          </w:p>
        </w:tc>
        <w:tc>
          <w:tcPr>
            <w:tcW w:w="1350" w:type="dxa"/>
            <w:shd w:val="clear" w:color="auto" w:fill="D9D9D9"/>
            <w:tcMar>
              <w:top w:w="60" w:type="dxa"/>
              <w:left w:w="90" w:type="dxa"/>
              <w:bottom w:w="60" w:type="dxa"/>
              <w:right w:w="90" w:type="dxa"/>
            </w:tcMar>
            <w:vAlign w:val="center"/>
          </w:tcPr>
          <w:p w14:paraId="068875A4">
            <w:r>
              <w:rPr>
                <w:rFonts w:ascii="Calibri" w:hAnsi="Calibri" w:eastAsia="Calibri" w:cs="Calibri"/>
                <w:b/>
                <w:bCs/>
                <w:color w:val="000000"/>
                <w:sz w:val="19"/>
                <w:szCs w:val="19"/>
              </w:rPr>
              <w:t>Treatment</w:t>
            </w:r>
          </w:p>
        </w:tc>
        <w:tc>
          <w:tcPr>
            <w:tcW w:w="1500" w:type="dxa"/>
            <w:shd w:val="clear" w:color="auto" w:fill="D9D9D9"/>
            <w:tcMar>
              <w:top w:w="60" w:type="dxa"/>
              <w:left w:w="90" w:type="dxa"/>
              <w:bottom w:w="60" w:type="dxa"/>
              <w:right w:w="90" w:type="dxa"/>
            </w:tcMar>
            <w:vAlign w:val="center"/>
          </w:tcPr>
          <w:p w14:paraId="6400ED4A">
            <w:r>
              <w:rPr>
                <w:rFonts w:ascii="Calibri" w:hAnsi="Calibri" w:eastAsia="Calibri" w:cs="Calibri"/>
                <w:b/>
                <w:bCs/>
                <w:color w:val="000000"/>
                <w:sz w:val="19"/>
                <w:szCs w:val="19"/>
              </w:rPr>
              <w:t>Residual Risk</w:t>
            </w:r>
          </w:p>
        </w:tc>
      </w:tr>
      <w:tr w14:paraId="1515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Mar>
              <w:top w:w="60" w:type="dxa"/>
              <w:left w:w="90" w:type="dxa"/>
              <w:bottom w:w="60" w:type="dxa"/>
              <w:right w:w="90" w:type="dxa"/>
            </w:tcMar>
            <w:vAlign w:val="center"/>
          </w:tcPr>
          <w:p w14:paraId="01513F6D">
            <w:r>
              <w:rPr>
                <w:rFonts w:ascii="Calibri" w:hAnsi="Calibri" w:eastAsia="Calibri" w:cs="Calibri"/>
                <w:color w:val="000000"/>
                <w:sz w:val="19"/>
                <w:szCs w:val="19"/>
              </w:rPr>
              <w:t>RSK-01</w:t>
            </w:r>
          </w:p>
        </w:tc>
        <w:tc>
          <w:tcPr>
            <w:tcW w:w="3200" w:type="dxa"/>
            <w:tcMar>
              <w:top w:w="60" w:type="dxa"/>
              <w:left w:w="90" w:type="dxa"/>
              <w:bottom w:w="60" w:type="dxa"/>
              <w:right w:w="90" w:type="dxa"/>
            </w:tcMar>
            <w:vAlign w:val="center"/>
          </w:tcPr>
          <w:p w14:paraId="07AFEE0A">
            <w:r>
              <w:rPr>
                <w:rFonts w:ascii="Calibri" w:hAnsi="Calibri" w:eastAsia="Calibri" w:cs="Calibri"/>
                <w:color w:val="000000"/>
                <w:sz w:val="19"/>
                <w:szCs w:val="19"/>
              </w:rPr>
              <w:t>Core Banking Platform</w:t>
            </w:r>
          </w:p>
        </w:tc>
        <w:tc>
          <w:tcPr>
            <w:tcW w:w="1400" w:type="dxa"/>
            <w:tcMar>
              <w:top w:w="60" w:type="dxa"/>
              <w:left w:w="90" w:type="dxa"/>
              <w:bottom w:w="60" w:type="dxa"/>
              <w:right w:w="90" w:type="dxa"/>
            </w:tcMar>
            <w:vAlign w:val="center"/>
          </w:tcPr>
          <w:p w14:paraId="29CC6224">
            <w:r>
              <w:rPr>
                <w:rFonts w:ascii="Calibri" w:hAnsi="Calibri" w:eastAsia="Calibri" w:cs="Calibri"/>
                <w:b/>
                <w:bCs/>
                <w:color w:val="C00000"/>
                <w:sz w:val="19"/>
                <w:szCs w:val="19"/>
              </w:rPr>
              <w:t>Critical</w:t>
            </w:r>
          </w:p>
        </w:tc>
        <w:tc>
          <w:tcPr>
            <w:tcW w:w="1350" w:type="dxa"/>
            <w:tcMar>
              <w:top w:w="60" w:type="dxa"/>
              <w:left w:w="90" w:type="dxa"/>
              <w:bottom w:w="60" w:type="dxa"/>
              <w:right w:w="90" w:type="dxa"/>
            </w:tcMar>
            <w:vAlign w:val="center"/>
          </w:tcPr>
          <w:p w14:paraId="116CE144">
            <w:r>
              <w:rPr>
                <w:rFonts w:ascii="Calibri" w:hAnsi="Calibri" w:eastAsia="Calibri" w:cs="Calibri"/>
                <w:color w:val="000000"/>
                <w:sz w:val="19"/>
                <w:szCs w:val="19"/>
              </w:rPr>
              <w:t>Mitigate</w:t>
            </w:r>
          </w:p>
        </w:tc>
        <w:tc>
          <w:tcPr>
            <w:tcW w:w="1500" w:type="dxa"/>
            <w:tcMar>
              <w:top w:w="60" w:type="dxa"/>
              <w:left w:w="90" w:type="dxa"/>
              <w:bottom w:w="60" w:type="dxa"/>
              <w:right w:w="90" w:type="dxa"/>
            </w:tcMar>
            <w:vAlign w:val="center"/>
          </w:tcPr>
          <w:p w14:paraId="7C997E16">
            <w:r>
              <w:rPr>
                <w:rFonts w:ascii="Calibri" w:hAnsi="Calibri" w:eastAsia="Calibri" w:cs="Calibri"/>
                <w:b/>
                <w:bCs/>
                <w:color w:val="9C6500"/>
                <w:sz w:val="19"/>
                <w:szCs w:val="19"/>
              </w:rPr>
              <w:t>Medium</w:t>
            </w:r>
          </w:p>
        </w:tc>
      </w:tr>
      <w:tr w14:paraId="43C3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Mar>
              <w:top w:w="60" w:type="dxa"/>
              <w:left w:w="90" w:type="dxa"/>
              <w:bottom w:w="60" w:type="dxa"/>
              <w:right w:w="90" w:type="dxa"/>
            </w:tcMar>
            <w:vAlign w:val="center"/>
          </w:tcPr>
          <w:p w14:paraId="2F09C841">
            <w:r>
              <w:rPr>
                <w:rFonts w:ascii="Calibri" w:hAnsi="Calibri" w:eastAsia="Calibri" w:cs="Calibri"/>
                <w:color w:val="000000"/>
                <w:sz w:val="19"/>
                <w:szCs w:val="19"/>
              </w:rPr>
              <w:t>RSK-06</w:t>
            </w:r>
          </w:p>
        </w:tc>
        <w:tc>
          <w:tcPr>
            <w:tcW w:w="3200" w:type="dxa"/>
            <w:tcMar>
              <w:top w:w="60" w:type="dxa"/>
              <w:left w:w="90" w:type="dxa"/>
              <w:bottom w:w="60" w:type="dxa"/>
              <w:right w:w="90" w:type="dxa"/>
            </w:tcMar>
            <w:vAlign w:val="center"/>
          </w:tcPr>
          <w:p w14:paraId="223AD09D">
            <w:r>
              <w:rPr>
                <w:rFonts w:ascii="Calibri" w:hAnsi="Calibri" w:eastAsia="Calibri" w:cs="Calibri"/>
                <w:color w:val="000000"/>
                <w:sz w:val="19"/>
                <w:szCs w:val="19"/>
              </w:rPr>
              <w:t>ATM Switch</w:t>
            </w:r>
          </w:p>
        </w:tc>
        <w:tc>
          <w:tcPr>
            <w:tcW w:w="1400" w:type="dxa"/>
            <w:tcMar>
              <w:top w:w="60" w:type="dxa"/>
              <w:left w:w="90" w:type="dxa"/>
              <w:bottom w:w="60" w:type="dxa"/>
              <w:right w:w="90" w:type="dxa"/>
            </w:tcMar>
            <w:vAlign w:val="center"/>
          </w:tcPr>
          <w:p w14:paraId="632D50CA">
            <w:r>
              <w:rPr>
                <w:rFonts w:ascii="Calibri" w:hAnsi="Calibri" w:eastAsia="Calibri" w:cs="Calibri"/>
                <w:b/>
                <w:bCs/>
                <w:color w:val="C00000"/>
                <w:sz w:val="19"/>
                <w:szCs w:val="19"/>
              </w:rPr>
              <w:t>Critical</w:t>
            </w:r>
          </w:p>
        </w:tc>
        <w:tc>
          <w:tcPr>
            <w:tcW w:w="1350" w:type="dxa"/>
            <w:tcMar>
              <w:top w:w="60" w:type="dxa"/>
              <w:left w:w="90" w:type="dxa"/>
              <w:bottom w:w="60" w:type="dxa"/>
              <w:right w:w="90" w:type="dxa"/>
            </w:tcMar>
            <w:vAlign w:val="center"/>
          </w:tcPr>
          <w:p w14:paraId="00E01EAC">
            <w:r>
              <w:rPr>
                <w:rFonts w:ascii="Calibri" w:hAnsi="Calibri" w:eastAsia="Calibri" w:cs="Calibri"/>
                <w:color w:val="000000"/>
                <w:sz w:val="19"/>
                <w:szCs w:val="19"/>
              </w:rPr>
              <w:t>Mitigate</w:t>
            </w:r>
          </w:p>
        </w:tc>
        <w:tc>
          <w:tcPr>
            <w:tcW w:w="1500" w:type="dxa"/>
            <w:tcMar>
              <w:top w:w="60" w:type="dxa"/>
              <w:left w:w="90" w:type="dxa"/>
              <w:bottom w:w="60" w:type="dxa"/>
              <w:right w:w="90" w:type="dxa"/>
            </w:tcMar>
            <w:vAlign w:val="center"/>
          </w:tcPr>
          <w:p w14:paraId="5F5A9FC4">
            <w:r>
              <w:rPr>
                <w:rFonts w:ascii="Calibri" w:hAnsi="Calibri" w:eastAsia="Calibri" w:cs="Calibri"/>
                <w:b/>
                <w:bCs/>
                <w:color w:val="9C6500"/>
                <w:sz w:val="19"/>
                <w:szCs w:val="19"/>
              </w:rPr>
              <w:t>Medium</w:t>
            </w:r>
          </w:p>
        </w:tc>
      </w:tr>
      <w:tr w14:paraId="429A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Mar>
              <w:top w:w="60" w:type="dxa"/>
              <w:left w:w="90" w:type="dxa"/>
              <w:bottom w:w="60" w:type="dxa"/>
              <w:right w:w="90" w:type="dxa"/>
            </w:tcMar>
            <w:vAlign w:val="center"/>
          </w:tcPr>
          <w:p w14:paraId="1E988FF8">
            <w:r>
              <w:rPr>
                <w:rFonts w:ascii="Calibri" w:hAnsi="Calibri" w:eastAsia="Calibri" w:cs="Calibri"/>
                <w:color w:val="000000"/>
                <w:sz w:val="19"/>
                <w:szCs w:val="19"/>
              </w:rPr>
              <w:t>RSK-08</w:t>
            </w:r>
          </w:p>
        </w:tc>
        <w:tc>
          <w:tcPr>
            <w:tcW w:w="3200" w:type="dxa"/>
            <w:tcMar>
              <w:top w:w="60" w:type="dxa"/>
              <w:left w:w="90" w:type="dxa"/>
              <w:bottom w:w="60" w:type="dxa"/>
              <w:right w:w="90" w:type="dxa"/>
            </w:tcMar>
            <w:vAlign w:val="center"/>
          </w:tcPr>
          <w:p w14:paraId="0DC05D39">
            <w:r>
              <w:rPr>
                <w:rFonts w:ascii="Calibri" w:hAnsi="Calibri" w:eastAsia="Calibri" w:cs="Calibri"/>
                <w:color w:val="000000"/>
                <w:sz w:val="19"/>
                <w:szCs w:val="19"/>
              </w:rPr>
              <w:t>RTGS / ACH Payment Gateway</w:t>
            </w:r>
          </w:p>
        </w:tc>
        <w:tc>
          <w:tcPr>
            <w:tcW w:w="1400" w:type="dxa"/>
            <w:tcMar>
              <w:top w:w="60" w:type="dxa"/>
              <w:left w:w="90" w:type="dxa"/>
              <w:bottom w:w="60" w:type="dxa"/>
              <w:right w:w="90" w:type="dxa"/>
            </w:tcMar>
            <w:vAlign w:val="center"/>
          </w:tcPr>
          <w:p w14:paraId="60B38924">
            <w:r>
              <w:rPr>
                <w:rFonts w:ascii="Calibri" w:hAnsi="Calibri" w:eastAsia="Calibri" w:cs="Calibri"/>
                <w:b/>
                <w:bCs/>
                <w:color w:val="C00000"/>
                <w:sz w:val="19"/>
                <w:szCs w:val="19"/>
              </w:rPr>
              <w:t>Critical</w:t>
            </w:r>
          </w:p>
        </w:tc>
        <w:tc>
          <w:tcPr>
            <w:tcW w:w="1350" w:type="dxa"/>
            <w:tcMar>
              <w:top w:w="60" w:type="dxa"/>
              <w:left w:w="90" w:type="dxa"/>
              <w:bottom w:w="60" w:type="dxa"/>
              <w:right w:w="90" w:type="dxa"/>
            </w:tcMar>
            <w:vAlign w:val="center"/>
          </w:tcPr>
          <w:p w14:paraId="69D8216D">
            <w:r>
              <w:rPr>
                <w:rFonts w:ascii="Calibri" w:hAnsi="Calibri" w:eastAsia="Calibri" w:cs="Calibri"/>
                <w:color w:val="000000"/>
                <w:sz w:val="19"/>
                <w:szCs w:val="19"/>
              </w:rPr>
              <w:t>Mitigate</w:t>
            </w:r>
          </w:p>
        </w:tc>
        <w:tc>
          <w:tcPr>
            <w:tcW w:w="1500" w:type="dxa"/>
            <w:tcMar>
              <w:top w:w="60" w:type="dxa"/>
              <w:left w:w="90" w:type="dxa"/>
              <w:bottom w:w="60" w:type="dxa"/>
              <w:right w:w="90" w:type="dxa"/>
            </w:tcMar>
            <w:vAlign w:val="center"/>
          </w:tcPr>
          <w:p w14:paraId="2E0ADDAA">
            <w:r>
              <w:rPr>
                <w:rFonts w:ascii="Calibri" w:hAnsi="Calibri" w:eastAsia="Calibri" w:cs="Calibri"/>
                <w:b/>
                <w:bCs/>
                <w:color w:val="9C6500"/>
                <w:sz w:val="19"/>
                <w:szCs w:val="19"/>
              </w:rPr>
              <w:t>Medium</w:t>
            </w:r>
          </w:p>
        </w:tc>
      </w:tr>
      <w:tr w14:paraId="32DF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Mar>
              <w:top w:w="60" w:type="dxa"/>
              <w:left w:w="90" w:type="dxa"/>
              <w:bottom w:w="60" w:type="dxa"/>
              <w:right w:w="90" w:type="dxa"/>
            </w:tcMar>
            <w:vAlign w:val="center"/>
          </w:tcPr>
          <w:p w14:paraId="4FA7C863">
            <w:r>
              <w:rPr>
                <w:rFonts w:ascii="Calibri" w:hAnsi="Calibri" w:eastAsia="Calibri" w:cs="Calibri"/>
                <w:color w:val="000000"/>
                <w:sz w:val="19"/>
                <w:szCs w:val="19"/>
              </w:rPr>
              <w:t>RSK-12</w:t>
            </w:r>
          </w:p>
        </w:tc>
        <w:tc>
          <w:tcPr>
            <w:tcW w:w="3200" w:type="dxa"/>
            <w:tcMar>
              <w:top w:w="60" w:type="dxa"/>
              <w:left w:w="90" w:type="dxa"/>
              <w:bottom w:w="60" w:type="dxa"/>
              <w:right w:w="90" w:type="dxa"/>
            </w:tcMar>
            <w:vAlign w:val="center"/>
          </w:tcPr>
          <w:p w14:paraId="713C3E9A">
            <w:r>
              <w:rPr>
                <w:rFonts w:ascii="Calibri" w:hAnsi="Calibri" w:eastAsia="Calibri" w:cs="Calibri"/>
                <w:color w:val="000000"/>
                <w:sz w:val="19"/>
                <w:szCs w:val="19"/>
              </w:rPr>
              <w:t>KYC Repository</w:t>
            </w:r>
          </w:p>
        </w:tc>
        <w:tc>
          <w:tcPr>
            <w:tcW w:w="1400" w:type="dxa"/>
            <w:tcMar>
              <w:top w:w="60" w:type="dxa"/>
              <w:left w:w="90" w:type="dxa"/>
              <w:bottom w:w="60" w:type="dxa"/>
              <w:right w:w="90" w:type="dxa"/>
            </w:tcMar>
            <w:vAlign w:val="center"/>
          </w:tcPr>
          <w:p w14:paraId="7B3F0FDD">
            <w:r>
              <w:rPr>
                <w:rFonts w:ascii="Calibri" w:hAnsi="Calibri" w:eastAsia="Calibri" w:cs="Calibri"/>
                <w:b/>
                <w:bCs/>
                <w:color w:val="C00000"/>
                <w:sz w:val="19"/>
                <w:szCs w:val="19"/>
              </w:rPr>
              <w:t>Critical</w:t>
            </w:r>
          </w:p>
        </w:tc>
        <w:tc>
          <w:tcPr>
            <w:tcW w:w="1350" w:type="dxa"/>
            <w:tcMar>
              <w:top w:w="60" w:type="dxa"/>
              <w:left w:w="90" w:type="dxa"/>
              <w:bottom w:w="60" w:type="dxa"/>
              <w:right w:w="90" w:type="dxa"/>
            </w:tcMar>
            <w:vAlign w:val="center"/>
          </w:tcPr>
          <w:p w14:paraId="7422C1DC">
            <w:r>
              <w:rPr>
                <w:rFonts w:ascii="Calibri" w:hAnsi="Calibri" w:eastAsia="Calibri" w:cs="Calibri"/>
                <w:color w:val="000000"/>
                <w:sz w:val="19"/>
                <w:szCs w:val="19"/>
              </w:rPr>
              <w:t>Mitigate</w:t>
            </w:r>
          </w:p>
        </w:tc>
        <w:tc>
          <w:tcPr>
            <w:tcW w:w="1500" w:type="dxa"/>
            <w:tcMar>
              <w:top w:w="60" w:type="dxa"/>
              <w:left w:w="90" w:type="dxa"/>
              <w:bottom w:w="60" w:type="dxa"/>
              <w:right w:w="90" w:type="dxa"/>
            </w:tcMar>
            <w:vAlign w:val="center"/>
          </w:tcPr>
          <w:p w14:paraId="54E2B908">
            <w:r>
              <w:rPr>
                <w:rFonts w:ascii="Calibri" w:hAnsi="Calibri" w:eastAsia="Calibri" w:cs="Calibri"/>
                <w:b/>
                <w:bCs/>
                <w:color w:val="9C6500"/>
                <w:sz w:val="19"/>
                <w:szCs w:val="19"/>
              </w:rPr>
              <w:t>Medium</w:t>
            </w:r>
          </w:p>
        </w:tc>
      </w:tr>
      <w:tr w14:paraId="5872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Mar>
              <w:top w:w="60" w:type="dxa"/>
              <w:left w:w="90" w:type="dxa"/>
              <w:bottom w:w="60" w:type="dxa"/>
              <w:right w:w="90" w:type="dxa"/>
            </w:tcMar>
            <w:vAlign w:val="center"/>
          </w:tcPr>
          <w:p w14:paraId="30357D98">
            <w:r>
              <w:rPr>
                <w:rFonts w:ascii="Calibri" w:hAnsi="Calibri" w:eastAsia="Calibri" w:cs="Calibri"/>
                <w:color w:val="000000"/>
                <w:sz w:val="19"/>
                <w:szCs w:val="19"/>
              </w:rPr>
              <w:t>RSK-25</w:t>
            </w:r>
          </w:p>
        </w:tc>
        <w:tc>
          <w:tcPr>
            <w:tcW w:w="3200" w:type="dxa"/>
            <w:tcMar>
              <w:top w:w="60" w:type="dxa"/>
              <w:left w:w="90" w:type="dxa"/>
              <w:bottom w:w="60" w:type="dxa"/>
              <w:right w:w="90" w:type="dxa"/>
            </w:tcMar>
            <w:vAlign w:val="center"/>
          </w:tcPr>
          <w:p w14:paraId="74AD3DCA">
            <w:r>
              <w:rPr>
                <w:rFonts w:ascii="Calibri" w:hAnsi="Calibri" w:eastAsia="Calibri" w:cs="Calibri"/>
                <w:color w:val="000000"/>
                <w:sz w:val="19"/>
                <w:szCs w:val="19"/>
              </w:rPr>
              <w:t>Customer PII &amp; Financial Records</w:t>
            </w:r>
          </w:p>
        </w:tc>
        <w:tc>
          <w:tcPr>
            <w:tcW w:w="1400" w:type="dxa"/>
            <w:tcMar>
              <w:top w:w="60" w:type="dxa"/>
              <w:left w:w="90" w:type="dxa"/>
              <w:bottom w:w="60" w:type="dxa"/>
              <w:right w:w="90" w:type="dxa"/>
            </w:tcMar>
            <w:vAlign w:val="center"/>
          </w:tcPr>
          <w:p w14:paraId="6904C7F8">
            <w:r>
              <w:rPr>
                <w:rFonts w:ascii="Calibri" w:hAnsi="Calibri" w:eastAsia="Calibri" w:cs="Calibri"/>
                <w:b/>
                <w:bCs/>
                <w:color w:val="C00000"/>
                <w:sz w:val="19"/>
                <w:szCs w:val="19"/>
              </w:rPr>
              <w:t>Critical</w:t>
            </w:r>
          </w:p>
        </w:tc>
        <w:tc>
          <w:tcPr>
            <w:tcW w:w="1350" w:type="dxa"/>
            <w:tcMar>
              <w:top w:w="60" w:type="dxa"/>
              <w:left w:w="90" w:type="dxa"/>
              <w:bottom w:w="60" w:type="dxa"/>
              <w:right w:w="90" w:type="dxa"/>
            </w:tcMar>
            <w:vAlign w:val="center"/>
          </w:tcPr>
          <w:p w14:paraId="47B26125">
            <w:r>
              <w:rPr>
                <w:rFonts w:ascii="Calibri" w:hAnsi="Calibri" w:eastAsia="Calibri" w:cs="Calibri"/>
                <w:color w:val="000000"/>
                <w:sz w:val="19"/>
                <w:szCs w:val="19"/>
              </w:rPr>
              <w:t>Mitigate</w:t>
            </w:r>
          </w:p>
        </w:tc>
        <w:tc>
          <w:tcPr>
            <w:tcW w:w="1500" w:type="dxa"/>
            <w:tcMar>
              <w:top w:w="60" w:type="dxa"/>
              <w:left w:w="90" w:type="dxa"/>
              <w:bottom w:w="60" w:type="dxa"/>
              <w:right w:w="90" w:type="dxa"/>
            </w:tcMar>
            <w:vAlign w:val="center"/>
          </w:tcPr>
          <w:p w14:paraId="18FBB01F">
            <w:r>
              <w:rPr>
                <w:rFonts w:ascii="Calibri" w:hAnsi="Calibri" w:eastAsia="Calibri" w:cs="Calibri"/>
                <w:b/>
                <w:bCs/>
                <w:color w:val="9C6500"/>
                <w:sz w:val="19"/>
                <w:szCs w:val="19"/>
              </w:rPr>
              <w:t>Medium</w:t>
            </w:r>
          </w:p>
        </w:tc>
      </w:tr>
    </w:tbl>
    <w:p w14:paraId="60D46331">
      <w:pPr>
        <w:pBdr>
          <w:bottom w:val="single" w:color="000000" w:sz="6" w:space="4"/>
        </w:pBdr>
        <w:spacing w:before="340" w:after="100"/>
      </w:pPr>
      <w:r>
        <w:rPr>
          <w:rFonts w:ascii="Times New Roman" w:hAnsi="Times New Roman" w:eastAsia="Times New Roman" w:cs="Times New Roman"/>
          <w:b/>
          <w:bCs/>
          <w:color w:val="000000"/>
          <w:sz w:val="28"/>
          <w:szCs w:val="28"/>
        </w:rPr>
        <w:t>7. Statement of Applicability Summary</w:t>
      </w:r>
    </w:p>
    <w:p w14:paraId="3CA2BAA4">
      <w:pPr>
        <w:spacing w:after="180"/>
      </w:pPr>
      <w:r>
        <w:rPr>
          <w:rFonts w:ascii="Calibri" w:hAnsi="Calibri" w:eastAsia="Calibri" w:cs="Calibri"/>
          <w:color w:val="000000"/>
          <w:sz w:val="21"/>
          <w:szCs w:val="21"/>
        </w:rPr>
        <w:t>All 93 ISO/IEC 27001:2022 Annex A controls were determined to be applicable to UnityTrust Bank's ISMS scope, given the bank's broad digital, physical, and third-party operating environment. The full Statement of Applicability, with justification and implementation status for every control, is provided as a supporting document (see Section 9).</w:t>
      </w:r>
    </w:p>
    <w:p w14:paraId="3565E4CE">
      <w:pPr>
        <w:spacing w:after="200"/>
      </w:pPr>
      <w:r>
        <w:rPr>
          <w:rFonts w:ascii="Calibri" w:hAnsi="Calibri" w:eastAsia="Calibri" w:cs="Calibri"/>
          <w:b/>
          <w:bCs/>
          <w:color w:val="375623"/>
          <w:sz w:val="21"/>
          <w:szCs w:val="21"/>
        </w:rPr>
        <w:t xml:space="preserve">Applicable: 93 of 93  |  </w:t>
      </w:r>
      <w:r>
        <w:rPr>
          <w:rFonts w:ascii="Calibri" w:hAnsi="Calibri" w:eastAsia="Calibri" w:cs="Calibri"/>
          <w:b/>
          <w:bCs/>
          <w:color w:val="9C6500"/>
          <w:sz w:val="21"/>
          <w:szCs w:val="21"/>
        </w:rPr>
        <w:t xml:space="preserve">Partially Implemented: 92  |  </w:t>
      </w:r>
      <w:r>
        <w:rPr>
          <w:rFonts w:ascii="Calibri" w:hAnsi="Calibri" w:eastAsia="Calibri" w:cs="Calibri"/>
          <w:b/>
          <w:bCs/>
          <w:color w:val="C00000"/>
          <w:sz w:val="21"/>
          <w:szCs w:val="21"/>
        </w:rPr>
        <w:t>Not Implemented: 1</w:t>
      </w:r>
    </w:p>
    <w:p w14:paraId="7D060CCD">
      <w:pPr>
        <w:pBdr>
          <w:bottom w:val="single" w:color="000000" w:sz="6" w:space="4"/>
        </w:pBdr>
        <w:spacing w:before="340" w:after="100"/>
      </w:pPr>
      <w:r>
        <w:rPr>
          <w:rFonts w:ascii="Times New Roman" w:hAnsi="Times New Roman" w:eastAsia="Times New Roman" w:cs="Times New Roman"/>
          <w:b/>
          <w:bCs/>
          <w:color w:val="000000"/>
          <w:sz w:val="28"/>
          <w:szCs w:val="28"/>
        </w:rPr>
        <w:t>8. Conclusion and Recommendations</w:t>
      </w:r>
    </w:p>
    <w:p w14:paraId="52615840">
      <w:pPr>
        <w:spacing w:after="180"/>
      </w:pPr>
      <w:r>
        <w:rPr>
          <w:rFonts w:ascii="Calibri" w:hAnsi="Calibri" w:eastAsia="Calibri" w:cs="Calibri"/>
          <w:color w:val="000000"/>
          <w:sz w:val="21"/>
          <w:szCs w:val="21"/>
        </w:rPr>
        <w:t>This assessment confirms that UnityTrust Bank has a reasonably mature technological security foundation, driven by its digital-first strategy, but that formal governance, documentation, and organizational-level controls require significant strengthening to meet ISO/IEC 27001:2022 requirements.</w:t>
      </w:r>
    </w:p>
    <w:p w14:paraId="14CE6069">
      <w:pPr>
        <w:spacing w:after="180"/>
      </w:pPr>
      <w:r>
        <w:rPr>
          <w:rFonts w:ascii="Calibri" w:hAnsi="Calibri" w:eastAsia="Calibri" w:cs="Calibri"/>
          <w:color w:val="000000"/>
          <w:sz w:val="21"/>
          <w:szCs w:val="21"/>
        </w:rPr>
        <w:t>It is recommended that UnityTrust Bank prioritize closing the identified Critical and High-priority gaps within the next reporting cycle, focusing first on information classification, supplier security, incident response readiness, secure development practices, and continuous monitoring coverage - the areas with the highest concentration of high-priority findings across this assessment.</w:t>
      </w:r>
    </w:p>
    <w:p w14:paraId="5F3D1DC9">
      <w:pPr>
        <w:pBdr>
          <w:bottom w:val="single" w:color="000000" w:sz="6" w:space="4"/>
        </w:pBdr>
        <w:spacing w:before="340" w:after="100"/>
      </w:pPr>
      <w:r>
        <w:rPr>
          <w:rFonts w:ascii="Times New Roman" w:hAnsi="Times New Roman" w:eastAsia="Times New Roman" w:cs="Times New Roman"/>
          <w:b/>
          <w:bCs/>
          <w:color w:val="000000"/>
          <w:sz w:val="28"/>
          <w:szCs w:val="28"/>
        </w:rPr>
        <w:t>9. Supporting Documents</w:t>
      </w:r>
    </w:p>
    <w:p w14:paraId="40D3B63F">
      <w:pPr>
        <w:spacing w:after="180"/>
      </w:pPr>
      <w:r>
        <w:rPr>
          <w:rFonts w:ascii="Calibri" w:hAnsi="Calibri" w:eastAsia="Calibri" w:cs="Calibri"/>
          <w:color w:val="000000"/>
          <w:sz w:val="21"/>
          <w:szCs w:val="21"/>
        </w:rPr>
        <w:t>The following documents provide the complete, control-by-control working detail behind the summaries in this report:</w:t>
      </w:r>
    </w:p>
    <w:p w14:paraId="68D7AA48">
      <w:pPr>
        <w:spacing w:after="90"/>
      </w:pPr>
      <w:r>
        <w:rPr>
          <w:rFonts w:ascii="Calibri" w:hAnsi="Calibri" w:eastAsia="Calibri" w:cs="Calibri"/>
          <w:color w:val="000000"/>
          <w:sz w:val="21"/>
          <w:szCs w:val="21"/>
        </w:rPr>
        <w:t>•  UnityTrust_Bank_Gap_Analysis.docx - full 93-control Gap Analysis Report</w:t>
      </w:r>
    </w:p>
    <w:p w14:paraId="164C23E3">
      <w:pPr>
        <w:spacing w:after="90"/>
      </w:pPr>
      <w:r>
        <w:rPr>
          <w:rFonts w:ascii="Calibri" w:hAnsi="Calibri" w:eastAsia="Calibri" w:cs="Calibri"/>
          <w:color w:val="000000"/>
          <w:sz w:val="21"/>
          <w:szCs w:val="21"/>
        </w:rPr>
        <w:t>•  UnityTrust_Bank_Asset_Threat_Register.xlsx - full 26-asset Identification &amp; Threat Register</w:t>
      </w:r>
    </w:p>
    <w:p w14:paraId="4115EAC6">
      <w:pPr>
        <w:spacing w:after="90"/>
      </w:pPr>
      <w:r>
        <w:rPr>
          <w:rFonts w:ascii="Calibri" w:hAnsi="Calibri" w:eastAsia="Calibri" w:cs="Calibri"/>
          <w:color w:val="000000"/>
          <w:sz w:val="21"/>
          <w:szCs w:val="21"/>
        </w:rPr>
        <w:t>•  UnityTrust_Bank_Risk_Treatment_Plan.xlsx - full 26-risk Treatment Plan</w:t>
      </w:r>
    </w:p>
    <w:p w14:paraId="04C6215A">
      <w:pPr>
        <w:spacing w:after="90"/>
      </w:pPr>
      <w:r>
        <w:rPr>
          <w:rFonts w:ascii="Calibri" w:hAnsi="Calibri" w:eastAsia="Calibri" w:cs="Calibri"/>
          <w:color w:val="000000"/>
          <w:sz w:val="21"/>
          <w:szCs w:val="21"/>
        </w:rPr>
        <w:t>•  UnityTrust_Bank_Statement_of_Applicability.docx - full 93-control Statement of Applicability</w:t>
      </w:r>
    </w:p>
    <w:sectPr>
      <w:headerReference r:id="rId3" w:type="default"/>
      <w:footerReference r:id="rId4" w:type="default"/>
      <w:pgSz w:w="11906" w:h="16838"/>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04F0F">
    <w:pPr>
      <w:pBdr>
        <w:top w:val="single" w:color="000000" w:sz="4" w:space="4"/>
      </w:pBdr>
      <w:tabs>
        <w:tab w:val="right" w:pos="9350"/>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93CAA">
    <w:pP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82B30B6"/>
    <w:rsid w:val="18F41CA0"/>
    <w:rsid w:val="27416AF7"/>
    <w:rsid w:val="448A687F"/>
    <w:rsid w:val="75DF52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1057</Words>
  <Characters>6499</Characters>
  <TotalTime>82</TotalTime>
  <ScaleCrop>false</ScaleCrop>
  <LinksUpToDate>false</LinksUpToDate>
  <CharactersWithSpaces>7412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2026-08-11T03:02:00Z</dcterms:created>
  <dc:creator>Un-named</dc:creator>
  <cp:lastModifiedBy>NAWAB SHEHZAD</cp:lastModifiedBy>
  <dcterms:modified xsi:type="dcterms:W3CDTF">2026-08-11T04:35:49Z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eyJoZGlkIjoiY2Y0NDYyMDg5MTE5YjYzYmQ2OTVmNmE4MDE4YTUwZDciLCJ1c2VySWQiOiI4ODEzODU4NjAzNTQyIn0=</vt:lpwstr>
  </property>
  <property fmtid="{D5CDD505-2E9C-101B-9397-08002B2CF9AE}" pid="3" name="KSOProductBuildVer">
    <vt:lpwstr>1033-12.1.0.28032</vt:lpwstr>
  </property>
  <property fmtid="{D5CDD505-2E9C-101B-9397-08002B2CF9AE}" pid="4" name="ICV">
    <vt:lpwstr>1E81D93BA0CB41B6B7FDC35778D8C3C5_13</vt:lpwstr>
  </property>
</Properties>
</file>