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EAF821">
      <w:pPr>
        <w:spacing w:before="1600" w:after="200"/>
        <w:jc w:val="center"/>
        <w:rPr>
          <w:b/>
          <w:bCs/>
          <w:sz w:val="24"/>
          <w:szCs w:val="28"/>
        </w:rPr>
      </w:pPr>
      <w:r>
        <w:rPr>
          <w:rFonts w:ascii="Times New Roman" w:hAnsi="Times New Roman" w:eastAsia="Times New Roman" w:cs="Times New Roman"/>
          <w:b/>
          <w:bCs/>
          <w:color w:val="000000"/>
          <w:sz w:val="40"/>
          <w:szCs w:val="40"/>
        </w:rPr>
        <w:t>UnityTrust Bank</w:t>
      </w:r>
    </w:p>
    <w:p w14:paraId="441845E8">
      <w:pPr>
        <w:spacing w:after="100"/>
        <w:jc w:val="center"/>
      </w:pPr>
      <w:r>
        <w:rPr>
          <w:rFonts w:ascii="Times New Roman" w:hAnsi="Times New Roman" w:eastAsia="Times New Roman" w:cs="Times New Roman"/>
          <w:b/>
          <w:bCs/>
          <w:color w:val="000000"/>
          <w:sz w:val="44"/>
          <w:szCs w:val="44"/>
        </w:rPr>
        <w:t>ISO/IEC 27001:2022 Gap Analysis Report</w:t>
      </w:r>
    </w:p>
    <w:p w14:paraId="00244F79">
      <w:pPr>
        <w:spacing w:after="800"/>
        <w:jc w:val="center"/>
      </w:pPr>
      <w:r>
        <w:rPr>
          <w:rFonts w:ascii="Times New Roman" w:hAnsi="Times New Roman" w:eastAsia="Times New Roman" w:cs="Times New Roman"/>
          <w:i/>
          <w:iCs/>
          <w:color w:val="404040"/>
          <w:sz w:val="24"/>
          <w:szCs w:val="24"/>
        </w:rPr>
        <w:t>Information Security Management System (ISMS) Implementation Project</w:t>
      </w:r>
    </w:p>
    <w:p w14:paraId="08FD07E9">
      <w:pPr>
        <w:spacing w:before="1000" w:after="60"/>
        <w:jc w:val="center"/>
      </w:pPr>
      <w:r>
        <w:rPr>
          <w:rFonts w:ascii="Calibri" w:hAnsi="Calibri" w:eastAsia="Calibri" w:cs="Calibri"/>
          <w:color w:val="000000"/>
          <w:sz w:val="22"/>
          <w:szCs w:val="22"/>
        </w:rPr>
        <w:t>Prepared by: Shehzad Ahmad</w:t>
      </w:r>
    </w:p>
    <w:p w14:paraId="48E23941">
      <w:pPr>
        <w:spacing w:after="60"/>
        <w:jc w:val="center"/>
      </w:pPr>
      <w:r>
        <w:rPr>
          <w:rFonts w:ascii="Calibri" w:hAnsi="Calibri" w:eastAsia="Calibri" w:cs="Calibri"/>
          <w:color w:val="000000"/>
          <w:sz w:val="22"/>
          <w:szCs w:val="22"/>
        </w:rPr>
        <w:t>GRC Internship - PKCERT (National CERT Pakistan)</w:t>
      </w:r>
    </w:p>
    <w:p w14:paraId="482A8323">
      <w:pPr>
        <w:spacing w:after="60"/>
        <w:jc w:val="center"/>
      </w:pPr>
      <w:r>
        <w:rPr>
          <w:rFonts w:ascii="Calibri" w:hAnsi="Calibri" w:eastAsia="Calibri" w:cs="Calibri"/>
          <w:color w:val="595959"/>
          <w:sz w:val="20"/>
          <w:szCs w:val="20"/>
        </w:rPr>
        <w:t>Document Classification: Internal</w:t>
      </w:r>
    </w:p>
    <w:p w14:paraId="7BABB5F5">
      <w:pPr>
        <w:spacing w:after="60"/>
        <w:jc w:val="center"/>
      </w:pPr>
      <w:r>
        <w:rPr>
          <w:rFonts w:ascii="Calibri" w:hAnsi="Calibri" w:eastAsia="Calibri" w:cs="Calibri"/>
          <w:color w:val="595959"/>
          <w:sz w:val="20"/>
          <w:szCs w:val="20"/>
        </w:rPr>
        <w:t>Date: August 2026</w:t>
      </w:r>
    </w:p>
    <w:tbl>
      <w:tblPr>
        <w:tblStyle w:val="9"/>
        <w:tblpPr w:leftFromText="180" w:rightFromText="180" w:vertAnchor="text" w:horzAnchor="page" w:tblpX="4112" w:tblpY="855"/>
        <w:tblOverlap w:val="never"/>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00"/>
      </w:tblGrid>
      <w:tr w14:paraId="52A5F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9D9D9"/>
            <w:tcMar>
              <w:top w:w="60" w:type="dxa"/>
              <w:left w:w="80" w:type="dxa"/>
              <w:bottom w:w="60" w:type="dxa"/>
              <w:right w:w="80" w:type="dxa"/>
            </w:tcMar>
            <w:vAlign w:val="center"/>
          </w:tcPr>
          <w:p w14:paraId="14C4ADF9">
            <w:r>
              <w:rPr>
                <w:rFonts w:ascii="Calibri" w:hAnsi="Calibri" w:eastAsia="Calibri" w:cs="Calibri"/>
                <w:b/>
                <w:bCs/>
                <w:color w:val="000000"/>
                <w:sz w:val="19"/>
                <w:szCs w:val="19"/>
              </w:rPr>
              <w:t>Field</w:t>
            </w:r>
          </w:p>
        </w:tc>
        <w:tc>
          <w:tcPr>
            <w:tcW w:w="6000" w:type="dxa"/>
            <w:shd w:val="clear" w:color="auto" w:fill="D9D9D9"/>
            <w:tcMar>
              <w:top w:w="60" w:type="dxa"/>
              <w:left w:w="80" w:type="dxa"/>
              <w:bottom w:w="60" w:type="dxa"/>
              <w:right w:w="80" w:type="dxa"/>
            </w:tcMar>
            <w:vAlign w:val="center"/>
          </w:tcPr>
          <w:p w14:paraId="00033199">
            <w:r>
              <w:rPr>
                <w:rFonts w:ascii="Calibri" w:hAnsi="Calibri" w:eastAsia="Calibri" w:cs="Calibri"/>
                <w:b/>
                <w:bCs/>
                <w:color w:val="000000"/>
                <w:sz w:val="19"/>
                <w:szCs w:val="19"/>
              </w:rPr>
              <w:t>Details</w:t>
            </w:r>
          </w:p>
        </w:tc>
      </w:tr>
      <w:tr w14:paraId="366DA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80" w:type="dxa"/>
              <w:bottom w:w="60" w:type="dxa"/>
              <w:right w:w="80" w:type="dxa"/>
            </w:tcMar>
            <w:vAlign w:val="center"/>
          </w:tcPr>
          <w:p w14:paraId="401E412D">
            <w:r>
              <w:rPr>
                <w:rFonts w:ascii="Calibri" w:hAnsi="Calibri" w:eastAsia="Calibri" w:cs="Calibri"/>
                <w:color w:val="000000"/>
                <w:sz w:val="19"/>
                <w:szCs w:val="19"/>
              </w:rPr>
              <w:t>Document Title</w:t>
            </w:r>
          </w:p>
        </w:tc>
        <w:tc>
          <w:tcPr>
            <w:tcW w:w="6000" w:type="dxa"/>
            <w:tcMar>
              <w:top w:w="60" w:type="dxa"/>
              <w:left w:w="80" w:type="dxa"/>
              <w:bottom w:w="60" w:type="dxa"/>
              <w:right w:w="80" w:type="dxa"/>
            </w:tcMar>
            <w:vAlign w:val="center"/>
          </w:tcPr>
          <w:p w14:paraId="0D07E34A">
            <w:r>
              <w:rPr>
                <w:rFonts w:ascii="Calibri" w:hAnsi="Calibri" w:eastAsia="Calibri" w:cs="Calibri"/>
                <w:color w:val="000000"/>
                <w:sz w:val="19"/>
                <w:szCs w:val="19"/>
              </w:rPr>
              <w:t>ISO/IEC 27001:2022 Gap Analysis Report</w:t>
            </w:r>
          </w:p>
        </w:tc>
      </w:tr>
      <w:tr w14:paraId="50512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80" w:type="dxa"/>
              <w:bottom w:w="60" w:type="dxa"/>
              <w:right w:w="80" w:type="dxa"/>
            </w:tcMar>
            <w:vAlign w:val="center"/>
          </w:tcPr>
          <w:p w14:paraId="4A3C1330">
            <w:r>
              <w:rPr>
                <w:rFonts w:ascii="Calibri" w:hAnsi="Calibri" w:eastAsia="Calibri" w:cs="Calibri"/>
                <w:color w:val="000000"/>
                <w:sz w:val="19"/>
                <w:szCs w:val="19"/>
              </w:rPr>
              <w:t>Organization</w:t>
            </w:r>
          </w:p>
        </w:tc>
        <w:tc>
          <w:tcPr>
            <w:tcW w:w="6000" w:type="dxa"/>
            <w:tcMar>
              <w:top w:w="60" w:type="dxa"/>
              <w:left w:w="80" w:type="dxa"/>
              <w:bottom w:w="60" w:type="dxa"/>
              <w:right w:w="80" w:type="dxa"/>
            </w:tcMar>
            <w:vAlign w:val="center"/>
          </w:tcPr>
          <w:p w14:paraId="221838A7">
            <w:r>
              <w:rPr>
                <w:rFonts w:ascii="Calibri" w:hAnsi="Calibri" w:eastAsia="Calibri" w:cs="Calibri"/>
                <w:color w:val="000000"/>
                <w:sz w:val="19"/>
                <w:szCs w:val="19"/>
              </w:rPr>
              <w:t>UnityTrust Bank</w:t>
            </w:r>
          </w:p>
        </w:tc>
      </w:tr>
      <w:tr w14:paraId="6981A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80" w:type="dxa"/>
              <w:bottom w:w="60" w:type="dxa"/>
              <w:right w:w="80" w:type="dxa"/>
            </w:tcMar>
            <w:vAlign w:val="center"/>
          </w:tcPr>
          <w:p w14:paraId="0E68A27C">
            <w:r>
              <w:rPr>
                <w:rFonts w:ascii="Calibri" w:hAnsi="Calibri" w:eastAsia="Calibri" w:cs="Calibri"/>
                <w:color w:val="000000"/>
                <w:sz w:val="19"/>
                <w:szCs w:val="19"/>
              </w:rPr>
              <w:t>Prepared By</w:t>
            </w:r>
          </w:p>
        </w:tc>
        <w:tc>
          <w:tcPr>
            <w:tcW w:w="6000" w:type="dxa"/>
            <w:tcMar>
              <w:top w:w="60" w:type="dxa"/>
              <w:left w:w="80" w:type="dxa"/>
              <w:bottom w:w="60" w:type="dxa"/>
              <w:right w:w="80" w:type="dxa"/>
            </w:tcMar>
            <w:vAlign w:val="center"/>
          </w:tcPr>
          <w:p w14:paraId="077EFF7C">
            <w:r>
              <w:rPr>
                <w:rFonts w:ascii="Calibri" w:hAnsi="Calibri" w:eastAsia="Calibri" w:cs="Calibri"/>
                <w:color w:val="000000"/>
                <w:sz w:val="19"/>
                <w:szCs w:val="19"/>
              </w:rPr>
              <w:t>Shehzad Ahmad</w:t>
            </w:r>
            <w:bookmarkStart w:id="0" w:name="_GoBack"/>
            <w:bookmarkEnd w:id="0"/>
          </w:p>
        </w:tc>
      </w:tr>
      <w:tr w14:paraId="070A1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80" w:type="dxa"/>
              <w:bottom w:w="60" w:type="dxa"/>
              <w:right w:w="80" w:type="dxa"/>
            </w:tcMar>
            <w:vAlign w:val="center"/>
          </w:tcPr>
          <w:p w14:paraId="1C739649">
            <w:r>
              <w:rPr>
                <w:rFonts w:ascii="Calibri" w:hAnsi="Calibri" w:eastAsia="Calibri" w:cs="Calibri"/>
                <w:color w:val="000000"/>
                <w:sz w:val="19"/>
                <w:szCs w:val="19"/>
              </w:rPr>
              <w:t>Status</w:t>
            </w:r>
          </w:p>
        </w:tc>
        <w:tc>
          <w:tcPr>
            <w:tcW w:w="6000" w:type="dxa"/>
            <w:tcMar>
              <w:top w:w="60" w:type="dxa"/>
              <w:left w:w="80" w:type="dxa"/>
              <w:bottom w:w="60" w:type="dxa"/>
              <w:right w:w="80" w:type="dxa"/>
            </w:tcMar>
            <w:vAlign w:val="center"/>
          </w:tcPr>
          <w:p w14:paraId="47BD6E76">
            <w:r>
              <w:rPr>
                <w:rFonts w:ascii="Calibri" w:hAnsi="Calibri" w:eastAsia="Calibri" w:cs="Calibri"/>
                <w:color w:val="000000"/>
                <w:sz w:val="19"/>
                <w:szCs w:val="19"/>
              </w:rPr>
              <w:t>Draft for Review</w:t>
            </w:r>
          </w:p>
        </w:tc>
      </w:tr>
      <w:tr w14:paraId="1CC73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80" w:type="dxa"/>
              <w:bottom w:w="60" w:type="dxa"/>
              <w:right w:w="80" w:type="dxa"/>
            </w:tcMar>
            <w:vAlign w:val="center"/>
          </w:tcPr>
          <w:p w14:paraId="21AB397D">
            <w:r>
              <w:rPr>
                <w:rFonts w:ascii="Calibri" w:hAnsi="Calibri" w:eastAsia="Calibri" w:cs="Calibri"/>
                <w:color w:val="000000"/>
                <w:sz w:val="19"/>
                <w:szCs w:val="19"/>
              </w:rPr>
              <w:t>Standard Reference</w:t>
            </w:r>
          </w:p>
        </w:tc>
        <w:tc>
          <w:tcPr>
            <w:tcW w:w="6000" w:type="dxa"/>
            <w:tcMar>
              <w:top w:w="60" w:type="dxa"/>
              <w:left w:w="80" w:type="dxa"/>
              <w:bottom w:w="60" w:type="dxa"/>
              <w:right w:w="80" w:type="dxa"/>
            </w:tcMar>
            <w:vAlign w:val="center"/>
          </w:tcPr>
          <w:p w14:paraId="23504CFC">
            <w:r>
              <w:rPr>
                <w:rFonts w:ascii="Calibri" w:hAnsi="Calibri" w:eastAsia="Calibri" w:cs="Calibri"/>
                <w:color w:val="000000"/>
                <w:sz w:val="19"/>
                <w:szCs w:val="19"/>
              </w:rPr>
              <w:t>ISO/IEC 27001:2022, Annex A</w:t>
            </w:r>
          </w:p>
        </w:tc>
      </w:tr>
    </w:tbl>
    <w:p w14:paraId="279FF974">
      <w:pPr>
        <w:spacing w:after="200"/>
      </w:pPr>
    </w:p>
    <w:p w14:paraId="27358443">
      <w:pPr>
        <w:pageBreakBefore/>
      </w:pPr>
      <w:r>
        <w:br w:type="textWrapping"/>
      </w:r>
    </w:p>
    <w:p w14:paraId="730C9BCE">
      <w:pPr>
        <w:pBdr>
          <w:bottom w:val="single" w:color="000000" w:sz="6" w:space="4"/>
        </w:pBdr>
        <w:spacing w:before="320" w:after="60"/>
      </w:pPr>
      <w:r>
        <w:rPr>
          <w:rFonts w:ascii="Times New Roman" w:hAnsi="Times New Roman" w:eastAsia="Times New Roman" w:cs="Times New Roman"/>
          <w:b/>
          <w:bCs/>
          <w:color w:val="000000"/>
          <w:sz w:val="26"/>
          <w:szCs w:val="26"/>
        </w:rPr>
        <w:t>1. Executive Summary</w:t>
      </w:r>
    </w:p>
    <w:p w14:paraId="1EE00132">
      <w:pPr>
        <w:spacing w:after="160"/>
      </w:pPr>
      <w:r>
        <w:rPr>
          <w:rFonts w:ascii="Calibri" w:hAnsi="Calibri" w:eastAsia="Calibri" w:cs="Calibri"/>
          <w:color w:val="000000"/>
          <w:sz w:val="20"/>
          <w:szCs w:val="20"/>
        </w:rPr>
        <w:t>This report presents the findings of a gap analysis conducted for UnityTrust Bank against the requirements of ISO/IEC 27001:2022, Annex A. The purpose of this exercise is to assess the current state of information security controls across the bank's operations and to identify gaps that must be addressed to achieve certification readiness.</w:t>
      </w:r>
    </w:p>
    <w:p w14:paraId="24995349">
      <w:pPr>
        <w:spacing w:after="160"/>
      </w:pPr>
      <w:r>
        <w:rPr>
          <w:rFonts w:ascii="Calibri" w:hAnsi="Calibri" w:eastAsia="Calibri" w:cs="Calibri"/>
          <w:color w:val="000000"/>
          <w:sz w:val="20"/>
          <w:szCs w:val="20"/>
        </w:rPr>
        <w:t>The assessment covered all 93 Annex A controls across the four control themes: Organizational, People, Physical, and Technological. UnityTrust Bank's digital-first strategy, real-time core banking platform, and open banking API layer make information security a strategic priority rather than a purely technical concern.</w:t>
      </w:r>
    </w:p>
    <w:p w14:paraId="6692F0B7">
      <w:pPr>
        <w:spacing w:after="160"/>
      </w:pPr>
      <w:r>
        <w:rPr>
          <w:rFonts w:ascii="Calibri" w:hAnsi="Calibri" w:eastAsia="Calibri" w:cs="Calibri"/>
          <w:color w:val="000000"/>
          <w:sz w:val="20"/>
          <w:szCs w:val="20"/>
        </w:rPr>
        <w:t>Of the 93 controls assessed, 27 were rated High priority, 47 Medium priority, and 19 Low priority for remediation. The most significant gaps were found in the Organizational control theme, particularly around information classification, supplier security, and formal governance documentation. Technological controls are comparatively more mature, reflecting the bank's investment in SIEM, DLP, PAM, and PKI infrastructure, though gaps remain in secure development practices and continuous monitoring coverage.</w:t>
      </w:r>
    </w:p>
    <w:p w14:paraId="13A96C8E">
      <w:pPr>
        <w:spacing w:after="160"/>
      </w:pPr>
      <w:r>
        <w:rPr>
          <w:rFonts w:ascii="Calibri" w:hAnsi="Calibri" w:eastAsia="Calibri" w:cs="Calibri"/>
          <w:color w:val="000000"/>
          <w:sz w:val="20"/>
          <w:szCs w:val="20"/>
        </w:rPr>
        <w:t>These findings form the basis for the Risk Treatment Plan and Statement of Applicability that follow this report.</w:t>
      </w:r>
    </w:p>
    <w:p w14:paraId="054CA5CA">
      <w:pPr>
        <w:pBdr>
          <w:bottom w:val="single" w:color="000000" w:sz="6" w:space="4"/>
        </w:pBdr>
        <w:spacing w:before="320" w:after="60"/>
      </w:pPr>
      <w:r>
        <w:rPr>
          <w:rFonts w:ascii="Times New Roman" w:hAnsi="Times New Roman" w:eastAsia="Times New Roman" w:cs="Times New Roman"/>
          <w:b/>
          <w:bCs/>
          <w:color w:val="000000"/>
          <w:sz w:val="26"/>
          <w:szCs w:val="26"/>
        </w:rPr>
        <w:t>2. Scope and Methodology</w:t>
      </w:r>
    </w:p>
    <w:p w14:paraId="3513DCF0">
      <w:pPr>
        <w:spacing w:before="200" w:after="100"/>
      </w:pPr>
      <w:r>
        <w:rPr>
          <w:rFonts w:ascii="Times New Roman" w:hAnsi="Times New Roman" w:eastAsia="Times New Roman" w:cs="Times New Roman"/>
          <w:b/>
          <w:bCs/>
          <w:color w:val="000000"/>
          <w:sz w:val="22"/>
          <w:szCs w:val="22"/>
        </w:rPr>
        <w:t>2.1 Scope</w:t>
      </w:r>
    </w:p>
    <w:p w14:paraId="4BE99F58">
      <w:pPr>
        <w:spacing w:after="160"/>
      </w:pPr>
      <w:r>
        <w:rPr>
          <w:rFonts w:ascii="Calibri" w:hAnsi="Calibri" w:eastAsia="Calibri" w:cs="Calibri"/>
          <w:color w:val="000000"/>
          <w:sz w:val="20"/>
          <w:szCs w:val="20"/>
        </w:rPr>
        <w:t>This gap analysis covers all information systems, business processes, and organizational functions that fall within the boundary of UnityTrust Bank's proposed ISMS, including the core banking platform, digital banking channels, payment systems, risk and compliance systems, and the open banking API layer.</w:t>
      </w:r>
    </w:p>
    <w:p w14:paraId="35BC9C78">
      <w:pPr>
        <w:spacing w:before="200" w:after="100"/>
      </w:pPr>
      <w:r>
        <w:rPr>
          <w:rFonts w:ascii="Times New Roman" w:hAnsi="Times New Roman" w:eastAsia="Times New Roman" w:cs="Times New Roman"/>
          <w:b/>
          <w:bCs/>
          <w:color w:val="000000"/>
          <w:sz w:val="22"/>
          <w:szCs w:val="22"/>
        </w:rPr>
        <w:t>2.2 Methodology</w:t>
      </w:r>
    </w:p>
    <w:p w14:paraId="7A395972">
      <w:pPr>
        <w:spacing w:after="160"/>
      </w:pPr>
      <w:r>
        <w:rPr>
          <w:rFonts w:ascii="Calibri" w:hAnsi="Calibri" w:eastAsia="Calibri" w:cs="Calibri"/>
          <w:color w:val="000000"/>
          <w:sz w:val="20"/>
          <w:szCs w:val="20"/>
        </w:rPr>
        <w:t>The assessment was performed using the following approach:</w:t>
      </w:r>
    </w:p>
    <w:p w14:paraId="11496CE1">
      <w:pPr>
        <w:spacing w:after="80"/>
      </w:pPr>
      <w:r>
        <w:rPr>
          <w:rFonts w:ascii="Calibri" w:hAnsi="Calibri" w:eastAsia="Calibri" w:cs="Calibri"/>
          <w:color w:val="000000"/>
          <w:sz w:val="20"/>
          <w:szCs w:val="20"/>
        </w:rPr>
        <w:t>•  Review of UnityTrust Bank's organizational context, business objectives, and IT environment.</w:t>
      </w:r>
    </w:p>
    <w:p w14:paraId="45CDF8FD">
      <w:pPr>
        <w:spacing w:after="80"/>
      </w:pPr>
      <w:r>
        <w:rPr>
          <w:rFonts w:ascii="Calibri" w:hAnsi="Calibri" w:eastAsia="Calibri" w:cs="Calibri"/>
          <w:color w:val="000000"/>
          <w:sz w:val="20"/>
          <w:szCs w:val="20"/>
        </w:rPr>
        <w:t>•  Mapping of existing security practices, tools, and documentation against each of the 93 controls in ISO/IEC 27001:2022 Annex A.</w:t>
      </w:r>
    </w:p>
    <w:p w14:paraId="37ACE9F0">
      <w:pPr>
        <w:spacing w:after="80"/>
      </w:pPr>
      <w:r>
        <w:rPr>
          <w:rFonts w:ascii="Calibri" w:hAnsi="Calibri" w:eastAsia="Calibri" w:cs="Calibri"/>
          <w:color w:val="000000"/>
          <w:sz w:val="20"/>
          <w:szCs w:val="20"/>
        </w:rPr>
        <w:t>•  Classification of each control's current state as Implemented, Partially Implemented, or Not Implemented.</w:t>
      </w:r>
    </w:p>
    <w:p w14:paraId="7D272FBC">
      <w:pPr>
        <w:spacing w:after="80"/>
      </w:pPr>
      <w:r>
        <w:rPr>
          <w:rFonts w:ascii="Calibri" w:hAnsi="Calibri" w:eastAsia="Calibri" w:cs="Calibri"/>
          <w:color w:val="000000"/>
          <w:sz w:val="20"/>
          <w:szCs w:val="20"/>
        </w:rPr>
        <w:t>•  Identification of the specific gap between the current state and the ISO 27001 requirement.</w:t>
      </w:r>
    </w:p>
    <w:p w14:paraId="3FD8F5C8">
      <w:pPr>
        <w:spacing w:after="80"/>
      </w:pPr>
      <w:r>
        <w:rPr>
          <w:rFonts w:ascii="Calibri" w:hAnsi="Calibri" w:eastAsia="Calibri" w:cs="Calibri"/>
          <w:color w:val="000000"/>
          <w:sz w:val="20"/>
          <w:szCs w:val="20"/>
        </w:rPr>
        <w:t>•  Assignment of a remediation priority (High, Medium, Low) based on risk exposure and regulatory relevance to a banking environment.</w:t>
      </w:r>
    </w:p>
    <w:p w14:paraId="372F0AD3">
      <w:pPr>
        <w:spacing w:before="200" w:after="100"/>
      </w:pPr>
      <w:r>
        <w:rPr>
          <w:rFonts w:ascii="Times New Roman" w:hAnsi="Times New Roman" w:eastAsia="Times New Roman" w:cs="Times New Roman"/>
          <w:b/>
          <w:bCs/>
          <w:color w:val="000000"/>
          <w:sz w:val="22"/>
          <w:szCs w:val="22"/>
        </w:rPr>
        <w:t>2.3 Priority Rating Definition</w:t>
      </w:r>
    </w:p>
    <w:p w14:paraId="00382E26">
      <w:pPr>
        <w:spacing w:after="80"/>
      </w:pPr>
      <w:r>
        <w:rPr>
          <w:rFonts w:ascii="Calibri" w:hAnsi="Calibri" w:eastAsia="Calibri" w:cs="Calibri"/>
          <w:color w:val="000000"/>
          <w:sz w:val="20"/>
          <w:szCs w:val="20"/>
        </w:rPr>
        <w:t>•  High: Control gap presents significant risk to customer data, financial transactions, or regulatory compliance; remediation recommended within 0-3 months.</w:t>
      </w:r>
    </w:p>
    <w:p w14:paraId="66C5DC35">
      <w:pPr>
        <w:spacing w:after="80"/>
      </w:pPr>
      <w:r>
        <w:rPr>
          <w:rFonts w:ascii="Calibri" w:hAnsi="Calibri" w:eastAsia="Calibri" w:cs="Calibri"/>
          <w:color w:val="000000"/>
          <w:sz w:val="20"/>
          <w:szCs w:val="20"/>
        </w:rPr>
        <w:t>•  Medium: Control gap presents moderate operational or compliance risk; remediation recommended within 3-6 months.</w:t>
      </w:r>
    </w:p>
    <w:p w14:paraId="12AD50AD">
      <w:pPr>
        <w:spacing w:after="80"/>
      </w:pPr>
      <w:r>
        <w:rPr>
          <w:rFonts w:ascii="Calibri" w:hAnsi="Calibri" w:eastAsia="Calibri" w:cs="Calibri"/>
          <w:color w:val="000000"/>
          <w:sz w:val="20"/>
          <w:szCs w:val="20"/>
        </w:rPr>
        <w:t>•  Low: Control gap presents limited risk; remediation recommended within 6-12 months.</w:t>
      </w:r>
    </w:p>
    <w:p w14:paraId="7E2F3D0D">
      <w:pPr>
        <w:pBdr>
          <w:bottom w:val="single" w:color="000000" w:sz="6" w:space="4"/>
        </w:pBdr>
        <w:spacing w:before="320" w:after="60"/>
      </w:pPr>
      <w:r>
        <w:rPr>
          <w:rFonts w:ascii="Times New Roman" w:hAnsi="Times New Roman" w:eastAsia="Times New Roman" w:cs="Times New Roman"/>
          <w:b/>
          <w:bCs/>
          <w:color w:val="000000"/>
          <w:sz w:val="26"/>
          <w:szCs w:val="26"/>
        </w:rPr>
        <w:t>3. Organizational Context</w:t>
      </w:r>
    </w:p>
    <w:p w14:paraId="78906E46">
      <w:pPr>
        <w:spacing w:before="200" w:after="100"/>
      </w:pPr>
      <w:r>
        <w:rPr>
          <w:rFonts w:ascii="Times New Roman" w:hAnsi="Times New Roman" w:eastAsia="Times New Roman" w:cs="Times New Roman"/>
          <w:b/>
          <w:bCs/>
          <w:color w:val="000000"/>
          <w:sz w:val="22"/>
          <w:szCs w:val="22"/>
        </w:rPr>
        <w:t>3.1 Overview</w:t>
      </w:r>
    </w:p>
    <w:p w14:paraId="2C441153">
      <w:pPr>
        <w:spacing w:after="160"/>
      </w:pPr>
      <w:r>
        <w:rPr>
          <w:rFonts w:ascii="Calibri" w:hAnsi="Calibri" w:eastAsia="Calibri" w:cs="Calibri"/>
          <w:color w:val="000000"/>
          <w:sz w:val="20"/>
          <w:szCs w:val="20"/>
        </w:rPr>
        <w:t>UnityTrust Bank is a commercial bank whose vision is to become the most trusted digital-first bank for retail and SME customers in the region. Its mission is to deliver secure, accessible, and innovative banking services while maintaining rigorous risk management and regulatory compliance.</w:t>
      </w:r>
    </w:p>
    <w:p w14:paraId="2071E466">
      <w:pPr>
        <w:spacing w:before="200" w:after="100"/>
      </w:pPr>
      <w:r>
        <w:rPr>
          <w:rFonts w:ascii="Times New Roman" w:hAnsi="Times New Roman" w:eastAsia="Times New Roman" w:cs="Times New Roman"/>
          <w:b/>
          <w:bCs/>
          <w:color w:val="000000"/>
          <w:sz w:val="22"/>
          <w:szCs w:val="22"/>
        </w:rPr>
        <w:t>3.2 Business Objectives</w:t>
      </w:r>
    </w:p>
    <w:p w14:paraId="3128A8DF">
      <w:pPr>
        <w:spacing w:after="80"/>
      </w:pPr>
      <w:r>
        <w:rPr>
          <w:rFonts w:ascii="Calibri" w:hAnsi="Calibri" w:eastAsia="Calibri" w:cs="Calibri"/>
          <w:color w:val="000000"/>
          <w:sz w:val="20"/>
          <w:szCs w:val="20"/>
        </w:rPr>
        <w:t>•  Grow digital adoption and reduce operating cost per transaction.</w:t>
      </w:r>
    </w:p>
    <w:p w14:paraId="2CB64033">
      <w:pPr>
        <w:spacing w:after="80"/>
      </w:pPr>
      <w:r>
        <w:rPr>
          <w:rFonts w:ascii="Calibri" w:hAnsi="Calibri" w:eastAsia="Calibri" w:cs="Calibri"/>
          <w:color w:val="000000"/>
          <w:sz w:val="20"/>
          <w:szCs w:val="20"/>
        </w:rPr>
        <w:t>•  Strengthen anti-fraud and AML controls.</w:t>
      </w:r>
    </w:p>
    <w:p w14:paraId="3ABD1A72">
      <w:pPr>
        <w:spacing w:after="80"/>
      </w:pPr>
      <w:r>
        <w:rPr>
          <w:rFonts w:ascii="Calibri" w:hAnsi="Calibri" w:eastAsia="Calibri" w:cs="Calibri"/>
          <w:color w:val="000000"/>
          <w:sz w:val="20"/>
          <w:szCs w:val="20"/>
        </w:rPr>
        <w:t>•  Improve credit decisioning and portfolio quality.</w:t>
      </w:r>
    </w:p>
    <w:p w14:paraId="698CF211">
      <w:pPr>
        <w:spacing w:after="80"/>
      </w:pPr>
      <w:r>
        <w:rPr>
          <w:rFonts w:ascii="Calibri" w:hAnsi="Calibri" w:eastAsia="Calibri" w:cs="Calibri"/>
          <w:color w:val="000000"/>
          <w:sz w:val="20"/>
          <w:szCs w:val="20"/>
        </w:rPr>
        <w:t>•  Maintain regulatory compliance and audit readiness.</w:t>
      </w:r>
    </w:p>
    <w:p w14:paraId="735CA196">
      <w:pPr>
        <w:spacing w:before="200" w:after="100"/>
      </w:pPr>
      <w:r>
        <w:rPr>
          <w:rFonts w:ascii="Times New Roman" w:hAnsi="Times New Roman" w:eastAsia="Times New Roman" w:cs="Times New Roman"/>
          <w:b/>
          <w:bCs/>
          <w:color w:val="000000"/>
          <w:sz w:val="22"/>
          <w:szCs w:val="22"/>
        </w:rPr>
        <w:t>3.3 IT Environment</w:t>
      </w:r>
    </w:p>
    <w:p w14:paraId="3158111F">
      <w:pPr>
        <w:spacing w:after="80"/>
      </w:pPr>
      <w:r>
        <w:rPr>
          <w:rFonts w:ascii="Calibri" w:hAnsi="Calibri" w:eastAsia="Calibri" w:cs="Calibri"/>
          <w:color w:val="000000"/>
          <w:sz w:val="20"/>
          <w:szCs w:val="20"/>
        </w:rPr>
        <w:t>•  Core banking platform performing real-time transaction processing.</w:t>
      </w:r>
    </w:p>
    <w:p w14:paraId="3CA0219E">
      <w:pPr>
        <w:spacing w:after="80"/>
      </w:pPr>
      <w:r>
        <w:rPr>
          <w:rFonts w:ascii="Calibri" w:hAnsi="Calibri" w:eastAsia="Calibri" w:cs="Calibri"/>
          <w:color w:val="000000"/>
          <w:sz w:val="20"/>
          <w:szCs w:val="20"/>
        </w:rPr>
        <w:t>•  Digital channels: mobile banking app, internet banking, USSD, and contact center integrations.</w:t>
      </w:r>
    </w:p>
    <w:p w14:paraId="1A1D040D">
      <w:pPr>
        <w:spacing w:after="80"/>
      </w:pPr>
      <w:r>
        <w:rPr>
          <w:rFonts w:ascii="Calibri" w:hAnsi="Calibri" w:eastAsia="Calibri" w:cs="Calibri"/>
          <w:color w:val="000000"/>
          <w:sz w:val="20"/>
          <w:szCs w:val="20"/>
        </w:rPr>
        <w:t>•  Payments stack: ATM switch, POS, RTGS/ACH gateways, and merchant acquiring.</w:t>
      </w:r>
    </w:p>
    <w:p w14:paraId="24899EE8">
      <w:pPr>
        <w:spacing w:after="80"/>
      </w:pPr>
      <w:r>
        <w:rPr>
          <w:rFonts w:ascii="Calibri" w:hAnsi="Calibri" w:eastAsia="Calibri" w:cs="Calibri"/>
          <w:color w:val="000000"/>
          <w:sz w:val="20"/>
          <w:szCs w:val="20"/>
        </w:rPr>
        <w:t>•  Risk and compliance systems: SIEM, transaction monitoring (AML/Fraud), DLP, and KYC repository.</w:t>
      </w:r>
    </w:p>
    <w:p w14:paraId="2FC49074">
      <w:pPr>
        <w:spacing w:after="80"/>
      </w:pPr>
      <w:r>
        <w:rPr>
          <w:rFonts w:ascii="Calibri" w:hAnsi="Calibri" w:eastAsia="Calibri" w:cs="Calibri"/>
          <w:color w:val="000000"/>
          <w:sz w:val="20"/>
          <w:szCs w:val="20"/>
        </w:rPr>
        <w:t>•  Data warehouse, BI/analytics, and ML-based credit decision engines.</w:t>
      </w:r>
    </w:p>
    <w:p w14:paraId="0A1719A4">
      <w:pPr>
        <w:spacing w:after="80"/>
      </w:pPr>
      <w:r>
        <w:rPr>
          <w:rFonts w:ascii="Calibri" w:hAnsi="Calibri" w:eastAsia="Calibri" w:cs="Calibri"/>
          <w:color w:val="000000"/>
          <w:sz w:val="20"/>
          <w:szCs w:val="20"/>
        </w:rPr>
        <w:t>•  API layer supporting open banking and fintech partnerships.</w:t>
      </w:r>
    </w:p>
    <w:p w14:paraId="319B6121">
      <w:pPr>
        <w:spacing w:after="80"/>
      </w:pPr>
      <w:r>
        <w:rPr>
          <w:rFonts w:ascii="Calibri" w:hAnsi="Calibri" w:eastAsia="Calibri" w:cs="Calibri"/>
          <w:color w:val="000000"/>
          <w:sz w:val="20"/>
          <w:szCs w:val="20"/>
        </w:rPr>
        <w:t>•  DR site with data replication, cryptographic key management, and PKI.</w:t>
      </w:r>
    </w:p>
    <w:p w14:paraId="791C67FE">
      <w:pPr>
        <w:spacing w:after="80"/>
      </w:pPr>
      <w:r>
        <w:rPr>
          <w:rFonts w:ascii="Calibri" w:hAnsi="Calibri" w:eastAsia="Calibri" w:cs="Calibri"/>
          <w:color w:val="000000"/>
          <w:sz w:val="20"/>
          <w:szCs w:val="20"/>
        </w:rPr>
        <w:t>•  Role-based access control and privileged access management (PAM) for administrators.</w:t>
      </w:r>
    </w:p>
    <w:p w14:paraId="153752A6">
      <w:pPr>
        <w:spacing w:after="160"/>
      </w:pPr>
      <w:r>
        <w:rPr>
          <w:rFonts w:ascii="Calibri" w:hAnsi="Calibri" w:eastAsia="Calibri" w:cs="Calibri"/>
          <w:color w:val="000000"/>
          <w:sz w:val="20"/>
          <w:szCs w:val="20"/>
        </w:rPr>
        <w:t>This environment places UnityTrust Bank's ISMS scope firmly at the intersection of core banking security, digital channel security, and regulatory data protection - which is reflected in the control priorities identified in Section 4.</w:t>
      </w:r>
    </w:p>
    <w:p w14:paraId="6536C284">
      <w:pPr>
        <w:pBdr>
          <w:bottom w:val="single" w:color="000000" w:sz="6" w:space="4"/>
        </w:pBdr>
        <w:spacing w:before="320" w:after="60"/>
      </w:pPr>
      <w:r>
        <w:rPr>
          <w:rFonts w:ascii="Times New Roman" w:hAnsi="Times New Roman" w:eastAsia="Times New Roman" w:cs="Times New Roman"/>
          <w:b/>
          <w:bCs/>
          <w:color w:val="000000"/>
          <w:sz w:val="26"/>
          <w:szCs w:val="26"/>
        </w:rPr>
        <w:t>4. Gap Analysis Findings</w:t>
      </w:r>
    </w:p>
    <w:p w14:paraId="718EC681">
      <w:pPr>
        <w:spacing w:after="160"/>
      </w:pPr>
      <w:r>
        <w:rPr>
          <w:rFonts w:ascii="Calibri" w:hAnsi="Calibri" w:eastAsia="Calibri" w:cs="Calibri"/>
          <w:color w:val="000000"/>
          <w:sz w:val="20"/>
          <w:szCs w:val="20"/>
        </w:rPr>
        <w:t>The table below presents the detailed gap analysis for each of the four ISO/IEC 27001:2022 Annex A control themes. Each control is assessed against UnityTrust Bank's current practices, with a corresponding gap statement and remediation priority.</w:t>
      </w:r>
    </w:p>
    <w:p w14:paraId="782D1B10">
      <w:pPr>
        <w:spacing w:after="200"/>
      </w:pPr>
      <w:r>
        <w:rPr>
          <w:rFonts w:ascii="Calibri" w:hAnsi="Calibri" w:eastAsia="Calibri" w:cs="Calibri"/>
          <w:b/>
          <w:bCs/>
          <w:color w:val="000000"/>
          <w:sz w:val="20"/>
          <w:szCs w:val="20"/>
        </w:rPr>
        <w:t xml:space="preserve">Summary: 93 controls assessed  |  </w:t>
      </w:r>
      <w:r>
        <w:rPr>
          <w:rFonts w:ascii="Calibri" w:hAnsi="Calibri" w:eastAsia="Calibri" w:cs="Calibri"/>
          <w:b/>
          <w:bCs/>
          <w:color w:val="C00000"/>
          <w:sz w:val="20"/>
          <w:szCs w:val="20"/>
        </w:rPr>
        <w:t xml:space="preserve">27 High priority  </w:t>
      </w:r>
      <w:r>
        <w:rPr>
          <w:rFonts w:ascii="Calibri" w:hAnsi="Calibri" w:eastAsia="Calibri" w:cs="Calibri"/>
          <w:b/>
          <w:bCs/>
          <w:color w:val="9C6500"/>
          <w:sz w:val="20"/>
          <w:szCs w:val="20"/>
        </w:rPr>
        <w:t xml:space="preserve">47 Medium priority  </w:t>
      </w:r>
      <w:r>
        <w:rPr>
          <w:rFonts w:ascii="Calibri" w:hAnsi="Calibri" w:eastAsia="Calibri" w:cs="Calibri"/>
          <w:b/>
          <w:bCs/>
          <w:color w:val="375623"/>
          <w:sz w:val="20"/>
          <w:szCs w:val="20"/>
        </w:rPr>
        <w:t>19 Low priority</w:t>
      </w:r>
    </w:p>
    <w:p w14:paraId="2ED73E76">
      <w:pPr>
        <w:spacing w:before="200" w:after="100"/>
        <w:rPr>
          <w:rFonts w:ascii="Times New Roman" w:hAnsi="Times New Roman" w:eastAsia="Times New Roman" w:cs="Times New Roman"/>
          <w:b/>
          <w:bCs/>
          <w:color w:val="000000"/>
          <w:sz w:val="22"/>
          <w:szCs w:val="22"/>
        </w:rPr>
      </w:pPr>
    </w:p>
    <w:p w14:paraId="39848B5F">
      <w:pPr>
        <w:spacing w:before="200" w:after="100"/>
        <w:rPr>
          <w:rFonts w:ascii="Times New Roman" w:hAnsi="Times New Roman" w:eastAsia="Times New Roman" w:cs="Times New Roman"/>
          <w:b/>
          <w:bCs/>
          <w:color w:val="000000"/>
          <w:sz w:val="22"/>
          <w:szCs w:val="22"/>
        </w:rPr>
      </w:pPr>
    </w:p>
    <w:p w14:paraId="00D95CC8">
      <w:pPr>
        <w:spacing w:before="200" w:after="100"/>
        <w:rPr>
          <w:rFonts w:ascii="Times New Roman" w:hAnsi="Times New Roman" w:eastAsia="Times New Roman" w:cs="Times New Roman"/>
          <w:b/>
          <w:bCs/>
          <w:color w:val="000000"/>
          <w:sz w:val="22"/>
          <w:szCs w:val="22"/>
        </w:rPr>
      </w:pPr>
    </w:p>
    <w:p w14:paraId="3BA9B60B">
      <w:pPr>
        <w:spacing w:before="200" w:after="100"/>
        <w:jc w:val="center"/>
      </w:pPr>
      <w:r>
        <w:rPr>
          <w:rFonts w:ascii="Times New Roman" w:hAnsi="Times New Roman" w:eastAsia="Times New Roman" w:cs="Times New Roman"/>
          <w:b/>
          <w:bCs/>
          <w:color w:val="000000"/>
          <w:sz w:val="22"/>
          <w:szCs w:val="22"/>
        </w:rPr>
        <w:t>4.1 A.5 - Organizational Controls (37 controls)</w:t>
      </w:r>
    </w:p>
    <w:tbl>
      <w:tblPr>
        <w:tblStyle w:val="9"/>
        <w:tblW w:w="14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3300"/>
        <w:gridCol w:w="4700"/>
        <w:gridCol w:w="4700"/>
        <w:gridCol w:w="1000"/>
      </w:tblGrid>
      <w:tr w14:paraId="11ACF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900" w:type="dxa"/>
            <w:shd w:val="clear" w:color="auto" w:fill="D9D9D9"/>
            <w:tcMar>
              <w:top w:w="60" w:type="dxa"/>
              <w:left w:w="80" w:type="dxa"/>
              <w:bottom w:w="60" w:type="dxa"/>
              <w:right w:w="80" w:type="dxa"/>
            </w:tcMar>
            <w:vAlign w:val="center"/>
          </w:tcPr>
          <w:p w14:paraId="73C70F39">
            <w:pPr>
              <w:jc w:val="center"/>
            </w:pPr>
            <w:r>
              <w:rPr>
                <w:rFonts w:ascii="Calibri" w:hAnsi="Calibri" w:eastAsia="Calibri" w:cs="Calibri"/>
                <w:b/>
                <w:bCs/>
                <w:color w:val="000000"/>
                <w:sz w:val="19"/>
                <w:szCs w:val="19"/>
              </w:rPr>
              <w:t>Ref</w:t>
            </w:r>
          </w:p>
        </w:tc>
        <w:tc>
          <w:tcPr>
            <w:tcW w:w="3300" w:type="dxa"/>
            <w:shd w:val="clear" w:color="auto" w:fill="D9D9D9"/>
            <w:tcMar>
              <w:top w:w="60" w:type="dxa"/>
              <w:left w:w="80" w:type="dxa"/>
              <w:bottom w:w="60" w:type="dxa"/>
              <w:right w:w="80" w:type="dxa"/>
            </w:tcMar>
            <w:vAlign w:val="center"/>
          </w:tcPr>
          <w:p w14:paraId="58F50A08">
            <w:pPr>
              <w:jc w:val="center"/>
            </w:pPr>
            <w:r>
              <w:rPr>
                <w:rFonts w:ascii="Calibri" w:hAnsi="Calibri" w:eastAsia="Calibri" w:cs="Calibri"/>
                <w:b/>
                <w:bCs/>
                <w:color w:val="000000"/>
                <w:sz w:val="19"/>
                <w:szCs w:val="19"/>
              </w:rPr>
              <w:t>Control</w:t>
            </w:r>
          </w:p>
        </w:tc>
        <w:tc>
          <w:tcPr>
            <w:tcW w:w="4700" w:type="dxa"/>
            <w:shd w:val="clear" w:color="auto" w:fill="D9D9D9"/>
            <w:tcMar>
              <w:top w:w="60" w:type="dxa"/>
              <w:left w:w="80" w:type="dxa"/>
              <w:bottom w:w="60" w:type="dxa"/>
              <w:right w:w="80" w:type="dxa"/>
            </w:tcMar>
            <w:vAlign w:val="center"/>
          </w:tcPr>
          <w:p w14:paraId="01D6B317">
            <w:pPr>
              <w:jc w:val="center"/>
            </w:pPr>
            <w:r>
              <w:rPr>
                <w:rFonts w:ascii="Calibri" w:hAnsi="Calibri" w:eastAsia="Calibri" w:cs="Calibri"/>
                <w:b/>
                <w:bCs/>
                <w:color w:val="000000"/>
                <w:sz w:val="19"/>
                <w:szCs w:val="19"/>
              </w:rPr>
              <w:t>Current State</w:t>
            </w:r>
          </w:p>
        </w:tc>
        <w:tc>
          <w:tcPr>
            <w:tcW w:w="4700" w:type="dxa"/>
            <w:shd w:val="clear" w:color="auto" w:fill="D9D9D9"/>
            <w:tcMar>
              <w:top w:w="60" w:type="dxa"/>
              <w:left w:w="80" w:type="dxa"/>
              <w:bottom w:w="60" w:type="dxa"/>
              <w:right w:w="80" w:type="dxa"/>
            </w:tcMar>
            <w:vAlign w:val="center"/>
          </w:tcPr>
          <w:p w14:paraId="44E31617">
            <w:pPr>
              <w:jc w:val="center"/>
            </w:pPr>
            <w:r>
              <w:rPr>
                <w:rFonts w:ascii="Calibri" w:hAnsi="Calibri" w:eastAsia="Calibri" w:cs="Calibri"/>
                <w:b/>
                <w:bCs/>
                <w:color w:val="000000"/>
                <w:sz w:val="19"/>
                <w:szCs w:val="19"/>
              </w:rPr>
              <w:t>Gap Identified</w:t>
            </w:r>
          </w:p>
        </w:tc>
        <w:tc>
          <w:tcPr>
            <w:tcW w:w="1000" w:type="dxa"/>
            <w:shd w:val="clear" w:color="auto" w:fill="D9D9D9"/>
            <w:tcMar>
              <w:top w:w="60" w:type="dxa"/>
              <w:left w:w="80" w:type="dxa"/>
              <w:bottom w:w="60" w:type="dxa"/>
              <w:right w:w="80" w:type="dxa"/>
            </w:tcMar>
            <w:vAlign w:val="center"/>
          </w:tcPr>
          <w:p w14:paraId="1944AB33">
            <w:pPr>
              <w:jc w:val="center"/>
            </w:pPr>
            <w:r>
              <w:rPr>
                <w:rFonts w:ascii="Calibri" w:hAnsi="Calibri" w:eastAsia="Calibri" w:cs="Calibri"/>
                <w:b/>
                <w:bCs/>
                <w:color w:val="000000"/>
                <w:sz w:val="19"/>
                <w:szCs w:val="19"/>
              </w:rPr>
              <w:t>Priority</w:t>
            </w:r>
          </w:p>
        </w:tc>
      </w:tr>
      <w:tr w14:paraId="00F0A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41B6FABF">
            <w:pPr>
              <w:jc w:val="center"/>
            </w:pPr>
            <w:r>
              <w:rPr>
                <w:rFonts w:ascii="Calibri" w:hAnsi="Calibri" w:eastAsia="Calibri" w:cs="Calibri"/>
                <w:color w:val="000000"/>
                <w:sz w:val="19"/>
                <w:szCs w:val="19"/>
              </w:rPr>
              <w:t>5.1</w:t>
            </w:r>
          </w:p>
        </w:tc>
        <w:tc>
          <w:tcPr>
            <w:tcW w:w="3300" w:type="dxa"/>
            <w:tcMar>
              <w:top w:w="60" w:type="dxa"/>
              <w:left w:w="80" w:type="dxa"/>
              <w:bottom w:w="60" w:type="dxa"/>
              <w:right w:w="80" w:type="dxa"/>
            </w:tcMar>
            <w:vAlign w:val="center"/>
          </w:tcPr>
          <w:p w14:paraId="7EC97340">
            <w:pPr>
              <w:jc w:val="center"/>
            </w:pPr>
            <w:r>
              <w:rPr>
                <w:rFonts w:ascii="Calibri" w:hAnsi="Calibri" w:eastAsia="Calibri" w:cs="Calibri"/>
                <w:color w:val="000000"/>
                <w:sz w:val="19"/>
                <w:szCs w:val="19"/>
              </w:rPr>
              <w:t>Policies for information security</w:t>
            </w:r>
          </w:p>
        </w:tc>
        <w:tc>
          <w:tcPr>
            <w:tcW w:w="4700" w:type="dxa"/>
            <w:tcMar>
              <w:top w:w="60" w:type="dxa"/>
              <w:left w:w="80" w:type="dxa"/>
              <w:bottom w:w="60" w:type="dxa"/>
              <w:right w:w="80" w:type="dxa"/>
            </w:tcMar>
            <w:vAlign w:val="center"/>
          </w:tcPr>
          <w:p w14:paraId="12545935">
            <w:pPr>
              <w:jc w:val="center"/>
            </w:pPr>
            <w:r>
              <w:rPr>
                <w:rFonts w:ascii="Calibri" w:hAnsi="Calibri" w:eastAsia="Calibri" w:cs="Calibri"/>
                <w:color w:val="000000"/>
                <w:sz w:val="19"/>
                <w:szCs w:val="19"/>
              </w:rPr>
              <w:t>Policies exist but have not been reviewed in over two years.</w:t>
            </w:r>
          </w:p>
        </w:tc>
        <w:tc>
          <w:tcPr>
            <w:tcW w:w="4700" w:type="dxa"/>
            <w:tcMar>
              <w:top w:w="60" w:type="dxa"/>
              <w:left w:w="80" w:type="dxa"/>
              <w:bottom w:w="60" w:type="dxa"/>
              <w:right w:w="80" w:type="dxa"/>
            </w:tcMar>
            <w:vAlign w:val="center"/>
          </w:tcPr>
          <w:p w14:paraId="79AE7D48">
            <w:pPr>
              <w:jc w:val="center"/>
            </w:pPr>
            <w:r>
              <w:rPr>
                <w:rFonts w:ascii="Calibri" w:hAnsi="Calibri" w:eastAsia="Calibri" w:cs="Calibri"/>
                <w:color w:val="000000"/>
                <w:sz w:val="19"/>
                <w:szCs w:val="19"/>
              </w:rPr>
              <w:t>No formal annual policy review cycle in place.</w:t>
            </w:r>
          </w:p>
        </w:tc>
        <w:tc>
          <w:tcPr>
            <w:tcW w:w="1000" w:type="dxa"/>
            <w:tcMar>
              <w:top w:w="60" w:type="dxa"/>
              <w:left w:w="80" w:type="dxa"/>
              <w:bottom w:w="60" w:type="dxa"/>
              <w:right w:w="80" w:type="dxa"/>
            </w:tcMar>
            <w:vAlign w:val="center"/>
          </w:tcPr>
          <w:p w14:paraId="47E84D77">
            <w:pPr>
              <w:jc w:val="center"/>
            </w:pPr>
            <w:r>
              <w:rPr>
                <w:rFonts w:ascii="Calibri" w:hAnsi="Calibri" w:eastAsia="Calibri" w:cs="Calibri"/>
                <w:b/>
                <w:bCs/>
                <w:color w:val="C00000"/>
                <w:sz w:val="19"/>
                <w:szCs w:val="19"/>
              </w:rPr>
              <w:t>High</w:t>
            </w:r>
          </w:p>
        </w:tc>
      </w:tr>
      <w:tr w14:paraId="3E154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2E27EE40">
            <w:pPr>
              <w:jc w:val="center"/>
            </w:pPr>
            <w:r>
              <w:rPr>
                <w:rFonts w:ascii="Calibri" w:hAnsi="Calibri" w:eastAsia="Calibri" w:cs="Calibri"/>
                <w:color w:val="000000"/>
                <w:sz w:val="19"/>
                <w:szCs w:val="19"/>
              </w:rPr>
              <w:t>5.2</w:t>
            </w:r>
          </w:p>
        </w:tc>
        <w:tc>
          <w:tcPr>
            <w:tcW w:w="3300" w:type="dxa"/>
            <w:tcMar>
              <w:top w:w="60" w:type="dxa"/>
              <w:left w:w="80" w:type="dxa"/>
              <w:bottom w:w="60" w:type="dxa"/>
              <w:right w:w="80" w:type="dxa"/>
            </w:tcMar>
            <w:vAlign w:val="center"/>
          </w:tcPr>
          <w:p w14:paraId="2E529667">
            <w:pPr>
              <w:jc w:val="center"/>
            </w:pPr>
            <w:r>
              <w:rPr>
                <w:rFonts w:ascii="Calibri" w:hAnsi="Calibri" w:eastAsia="Calibri" w:cs="Calibri"/>
                <w:color w:val="000000"/>
                <w:sz w:val="19"/>
                <w:szCs w:val="19"/>
              </w:rPr>
              <w:t>Information security roles and responsibilities</w:t>
            </w:r>
          </w:p>
        </w:tc>
        <w:tc>
          <w:tcPr>
            <w:tcW w:w="4700" w:type="dxa"/>
            <w:tcMar>
              <w:top w:w="60" w:type="dxa"/>
              <w:left w:w="80" w:type="dxa"/>
              <w:bottom w:w="60" w:type="dxa"/>
              <w:right w:w="80" w:type="dxa"/>
            </w:tcMar>
            <w:vAlign w:val="center"/>
          </w:tcPr>
          <w:p w14:paraId="607E950F">
            <w:pPr>
              <w:jc w:val="center"/>
            </w:pPr>
            <w:r>
              <w:rPr>
                <w:rFonts w:ascii="Calibri" w:hAnsi="Calibri" w:eastAsia="Calibri" w:cs="Calibri"/>
                <w:color w:val="000000"/>
                <w:sz w:val="19"/>
                <w:szCs w:val="19"/>
              </w:rPr>
              <w:t>Responsibilities informally assigned within the IT team.</w:t>
            </w:r>
          </w:p>
        </w:tc>
        <w:tc>
          <w:tcPr>
            <w:tcW w:w="4700" w:type="dxa"/>
            <w:tcMar>
              <w:top w:w="60" w:type="dxa"/>
              <w:left w:w="80" w:type="dxa"/>
              <w:bottom w:w="60" w:type="dxa"/>
              <w:right w:w="80" w:type="dxa"/>
            </w:tcMar>
            <w:vAlign w:val="center"/>
          </w:tcPr>
          <w:p w14:paraId="52DBCF71">
            <w:pPr>
              <w:jc w:val="center"/>
            </w:pPr>
            <w:r>
              <w:rPr>
                <w:rFonts w:ascii="Calibri" w:hAnsi="Calibri" w:eastAsia="Calibri" w:cs="Calibri"/>
                <w:color w:val="000000"/>
                <w:sz w:val="19"/>
                <w:szCs w:val="19"/>
              </w:rPr>
              <w:t>No documented RACI matrix for security roles.</w:t>
            </w:r>
          </w:p>
        </w:tc>
        <w:tc>
          <w:tcPr>
            <w:tcW w:w="1000" w:type="dxa"/>
            <w:tcMar>
              <w:top w:w="60" w:type="dxa"/>
              <w:left w:w="80" w:type="dxa"/>
              <w:bottom w:w="60" w:type="dxa"/>
              <w:right w:w="80" w:type="dxa"/>
            </w:tcMar>
            <w:vAlign w:val="center"/>
          </w:tcPr>
          <w:p w14:paraId="20C25E25">
            <w:pPr>
              <w:jc w:val="center"/>
            </w:pPr>
            <w:r>
              <w:rPr>
                <w:rFonts w:ascii="Calibri" w:hAnsi="Calibri" w:eastAsia="Calibri" w:cs="Calibri"/>
                <w:b/>
                <w:bCs/>
                <w:color w:val="C00000"/>
                <w:sz w:val="19"/>
                <w:szCs w:val="19"/>
              </w:rPr>
              <w:t>High</w:t>
            </w:r>
          </w:p>
        </w:tc>
      </w:tr>
      <w:tr w14:paraId="2FC63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6FBF7C0B">
            <w:pPr>
              <w:jc w:val="center"/>
            </w:pPr>
            <w:r>
              <w:rPr>
                <w:rFonts w:ascii="Calibri" w:hAnsi="Calibri" w:eastAsia="Calibri" w:cs="Calibri"/>
                <w:color w:val="000000"/>
                <w:sz w:val="19"/>
                <w:szCs w:val="19"/>
              </w:rPr>
              <w:t>5.3</w:t>
            </w:r>
          </w:p>
        </w:tc>
        <w:tc>
          <w:tcPr>
            <w:tcW w:w="3300" w:type="dxa"/>
            <w:tcMar>
              <w:top w:w="60" w:type="dxa"/>
              <w:left w:w="80" w:type="dxa"/>
              <w:bottom w:w="60" w:type="dxa"/>
              <w:right w:w="80" w:type="dxa"/>
            </w:tcMar>
            <w:vAlign w:val="center"/>
          </w:tcPr>
          <w:p w14:paraId="07B46794">
            <w:pPr>
              <w:jc w:val="center"/>
            </w:pPr>
            <w:r>
              <w:rPr>
                <w:rFonts w:ascii="Calibri" w:hAnsi="Calibri" w:eastAsia="Calibri" w:cs="Calibri"/>
                <w:color w:val="000000"/>
                <w:sz w:val="19"/>
                <w:szCs w:val="19"/>
              </w:rPr>
              <w:t>Segregation of duties</w:t>
            </w:r>
          </w:p>
        </w:tc>
        <w:tc>
          <w:tcPr>
            <w:tcW w:w="4700" w:type="dxa"/>
            <w:tcMar>
              <w:top w:w="60" w:type="dxa"/>
              <w:left w:w="80" w:type="dxa"/>
              <w:bottom w:w="60" w:type="dxa"/>
              <w:right w:w="80" w:type="dxa"/>
            </w:tcMar>
            <w:vAlign w:val="center"/>
          </w:tcPr>
          <w:p w14:paraId="35F2FA8D">
            <w:pPr>
              <w:jc w:val="center"/>
            </w:pPr>
            <w:r>
              <w:rPr>
                <w:rFonts w:ascii="Calibri" w:hAnsi="Calibri" w:eastAsia="Calibri" w:cs="Calibri"/>
                <w:color w:val="000000"/>
                <w:sz w:val="19"/>
                <w:szCs w:val="19"/>
              </w:rPr>
              <w:t>Enforced within core banking transaction processing.</w:t>
            </w:r>
          </w:p>
        </w:tc>
        <w:tc>
          <w:tcPr>
            <w:tcW w:w="4700" w:type="dxa"/>
            <w:tcMar>
              <w:top w:w="60" w:type="dxa"/>
              <w:left w:w="80" w:type="dxa"/>
              <w:bottom w:w="60" w:type="dxa"/>
              <w:right w:w="80" w:type="dxa"/>
            </w:tcMar>
            <w:vAlign w:val="center"/>
          </w:tcPr>
          <w:p w14:paraId="762B9A4D">
            <w:pPr>
              <w:jc w:val="center"/>
            </w:pPr>
            <w:r>
              <w:rPr>
                <w:rFonts w:ascii="Calibri" w:hAnsi="Calibri" w:eastAsia="Calibri" w:cs="Calibri"/>
                <w:color w:val="000000"/>
                <w:sz w:val="19"/>
                <w:szCs w:val="19"/>
              </w:rPr>
              <w:t>Not extended to system change management.</w:t>
            </w:r>
          </w:p>
        </w:tc>
        <w:tc>
          <w:tcPr>
            <w:tcW w:w="1000" w:type="dxa"/>
            <w:tcMar>
              <w:top w:w="60" w:type="dxa"/>
              <w:left w:w="80" w:type="dxa"/>
              <w:bottom w:w="60" w:type="dxa"/>
              <w:right w:w="80" w:type="dxa"/>
            </w:tcMar>
            <w:vAlign w:val="center"/>
          </w:tcPr>
          <w:p w14:paraId="348FBFF0">
            <w:pPr>
              <w:jc w:val="center"/>
            </w:pPr>
            <w:r>
              <w:rPr>
                <w:rFonts w:ascii="Calibri" w:hAnsi="Calibri" w:eastAsia="Calibri" w:cs="Calibri"/>
                <w:b/>
                <w:bCs/>
                <w:color w:val="9C6500"/>
                <w:sz w:val="19"/>
                <w:szCs w:val="19"/>
              </w:rPr>
              <w:t>Medium</w:t>
            </w:r>
          </w:p>
        </w:tc>
      </w:tr>
      <w:tr w14:paraId="62369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66F238B2">
            <w:pPr>
              <w:jc w:val="center"/>
            </w:pPr>
            <w:r>
              <w:rPr>
                <w:rFonts w:ascii="Calibri" w:hAnsi="Calibri" w:eastAsia="Calibri" w:cs="Calibri"/>
                <w:color w:val="000000"/>
                <w:sz w:val="19"/>
                <w:szCs w:val="19"/>
              </w:rPr>
              <w:t>5.4</w:t>
            </w:r>
          </w:p>
        </w:tc>
        <w:tc>
          <w:tcPr>
            <w:tcW w:w="3300" w:type="dxa"/>
            <w:tcMar>
              <w:top w:w="60" w:type="dxa"/>
              <w:left w:w="80" w:type="dxa"/>
              <w:bottom w:w="60" w:type="dxa"/>
              <w:right w:w="80" w:type="dxa"/>
            </w:tcMar>
            <w:vAlign w:val="center"/>
          </w:tcPr>
          <w:p w14:paraId="77FA9234">
            <w:pPr>
              <w:jc w:val="center"/>
            </w:pPr>
            <w:r>
              <w:rPr>
                <w:rFonts w:ascii="Calibri" w:hAnsi="Calibri" w:eastAsia="Calibri" w:cs="Calibri"/>
                <w:color w:val="000000"/>
                <w:sz w:val="19"/>
                <w:szCs w:val="19"/>
              </w:rPr>
              <w:t>Management responsibilities</w:t>
            </w:r>
          </w:p>
        </w:tc>
        <w:tc>
          <w:tcPr>
            <w:tcW w:w="4700" w:type="dxa"/>
            <w:tcMar>
              <w:top w:w="60" w:type="dxa"/>
              <w:left w:w="80" w:type="dxa"/>
              <w:bottom w:w="60" w:type="dxa"/>
              <w:right w:w="80" w:type="dxa"/>
            </w:tcMar>
            <w:vAlign w:val="center"/>
          </w:tcPr>
          <w:p w14:paraId="27252D4C">
            <w:pPr>
              <w:jc w:val="center"/>
            </w:pPr>
            <w:r>
              <w:rPr>
                <w:rFonts w:ascii="Calibri" w:hAnsi="Calibri" w:eastAsia="Calibri" w:cs="Calibri"/>
                <w:color w:val="000000"/>
                <w:sz w:val="19"/>
                <w:szCs w:val="19"/>
              </w:rPr>
              <w:t>Security expectations communicated verbally to staff.</w:t>
            </w:r>
          </w:p>
        </w:tc>
        <w:tc>
          <w:tcPr>
            <w:tcW w:w="4700" w:type="dxa"/>
            <w:tcMar>
              <w:top w:w="60" w:type="dxa"/>
              <w:left w:w="80" w:type="dxa"/>
              <w:bottom w:w="60" w:type="dxa"/>
              <w:right w:w="80" w:type="dxa"/>
            </w:tcMar>
            <w:vAlign w:val="center"/>
          </w:tcPr>
          <w:p w14:paraId="12C2D72D">
            <w:pPr>
              <w:jc w:val="center"/>
            </w:pPr>
            <w:r>
              <w:rPr>
                <w:rFonts w:ascii="Calibri" w:hAnsi="Calibri" w:eastAsia="Calibri" w:cs="Calibri"/>
                <w:color w:val="000000"/>
                <w:sz w:val="19"/>
                <w:szCs w:val="19"/>
              </w:rPr>
              <w:t>Not documented in job descriptions or contracts.</w:t>
            </w:r>
          </w:p>
        </w:tc>
        <w:tc>
          <w:tcPr>
            <w:tcW w:w="1000" w:type="dxa"/>
            <w:tcMar>
              <w:top w:w="60" w:type="dxa"/>
              <w:left w:w="80" w:type="dxa"/>
              <w:bottom w:w="60" w:type="dxa"/>
              <w:right w:w="80" w:type="dxa"/>
            </w:tcMar>
            <w:vAlign w:val="center"/>
          </w:tcPr>
          <w:p w14:paraId="65C82003">
            <w:pPr>
              <w:jc w:val="center"/>
            </w:pPr>
            <w:r>
              <w:rPr>
                <w:rFonts w:ascii="Calibri" w:hAnsi="Calibri" w:eastAsia="Calibri" w:cs="Calibri"/>
                <w:b/>
                <w:bCs/>
                <w:color w:val="9C6500"/>
                <w:sz w:val="19"/>
                <w:szCs w:val="19"/>
              </w:rPr>
              <w:t>Medium</w:t>
            </w:r>
          </w:p>
        </w:tc>
      </w:tr>
      <w:tr w14:paraId="6EFD6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77B9C754">
            <w:pPr>
              <w:jc w:val="center"/>
            </w:pPr>
            <w:r>
              <w:rPr>
                <w:rFonts w:ascii="Calibri" w:hAnsi="Calibri" w:eastAsia="Calibri" w:cs="Calibri"/>
                <w:color w:val="000000"/>
                <w:sz w:val="19"/>
                <w:szCs w:val="19"/>
              </w:rPr>
              <w:t>5.5</w:t>
            </w:r>
          </w:p>
        </w:tc>
        <w:tc>
          <w:tcPr>
            <w:tcW w:w="3300" w:type="dxa"/>
            <w:tcMar>
              <w:top w:w="60" w:type="dxa"/>
              <w:left w:w="80" w:type="dxa"/>
              <w:bottom w:w="60" w:type="dxa"/>
              <w:right w:w="80" w:type="dxa"/>
            </w:tcMar>
            <w:vAlign w:val="center"/>
          </w:tcPr>
          <w:p w14:paraId="031208E3">
            <w:pPr>
              <w:jc w:val="center"/>
            </w:pPr>
            <w:r>
              <w:rPr>
                <w:rFonts w:ascii="Calibri" w:hAnsi="Calibri" w:eastAsia="Calibri" w:cs="Calibri"/>
                <w:color w:val="000000"/>
                <w:sz w:val="19"/>
                <w:szCs w:val="19"/>
              </w:rPr>
              <w:t>Contact with authorities</w:t>
            </w:r>
          </w:p>
        </w:tc>
        <w:tc>
          <w:tcPr>
            <w:tcW w:w="4700" w:type="dxa"/>
            <w:tcMar>
              <w:top w:w="60" w:type="dxa"/>
              <w:left w:w="80" w:type="dxa"/>
              <w:bottom w:w="60" w:type="dxa"/>
              <w:right w:w="80" w:type="dxa"/>
            </w:tcMar>
            <w:vAlign w:val="center"/>
          </w:tcPr>
          <w:p w14:paraId="75CB242D">
            <w:pPr>
              <w:jc w:val="center"/>
            </w:pPr>
            <w:r>
              <w:rPr>
                <w:rFonts w:ascii="Calibri" w:hAnsi="Calibri" w:eastAsia="Calibri" w:cs="Calibri"/>
                <w:color w:val="000000"/>
                <w:sz w:val="19"/>
                <w:szCs w:val="19"/>
              </w:rPr>
              <w:t>Ad hoc contact with the regulator during audits.</w:t>
            </w:r>
          </w:p>
        </w:tc>
        <w:tc>
          <w:tcPr>
            <w:tcW w:w="4700" w:type="dxa"/>
            <w:tcMar>
              <w:top w:w="60" w:type="dxa"/>
              <w:left w:w="80" w:type="dxa"/>
              <w:bottom w:w="60" w:type="dxa"/>
              <w:right w:w="80" w:type="dxa"/>
            </w:tcMar>
            <w:vAlign w:val="center"/>
          </w:tcPr>
          <w:p w14:paraId="22B5883D">
            <w:pPr>
              <w:jc w:val="center"/>
            </w:pPr>
            <w:r>
              <w:rPr>
                <w:rFonts w:ascii="Calibri" w:hAnsi="Calibri" w:eastAsia="Calibri" w:cs="Calibri"/>
                <w:color w:val="000000"/>
                <w:sz w:val="19"/>
                <w:szCs w:val="19"/>
              </w:rPr>
              <w:t>No formal escalation contact list maintained.</w:t>
            </w:r>
          </w:p>
        </w:tc>
        <w:tc>
          <w:tcPr>
            <w:tcW w:w="1000" w:type="dxa"/>
            <w:tcMar>
              <w:top w:w="60" w:type="dxa"/>
              <w:left w:w="80" w:type="dxa"/>
              <w:bottom w:w="60" w:type="dxa"/>
              <w:right w:w="80" w:type="dxa"/>
            </w:tcMar>
            <w:vAlign w:val="center"/>
          </w:tcPr>
          <w:p w14:paraId="0FC5355E">
            <w:pPr>
              <w:jc w:val="center"/>
            </w:pPr>
            <w:r>
              <w:rPr>
                <w:rFonts w:ascii="Calibri" w:hAnsi="Calibri" w:eastAsia="Calibri" w:cs="Calibri"/>
                <w:b/>
                <w:bCs/>
                <w:color w:val="9C6500"/>
                <w:sz w:val="19"/>
                <w:szCs w:val="19"/>
              </w:rPr>
              <w:t>Medium</w:t>
            </w:r>
          </w:p>
        </w:tc>
      </w:tr>
      <w:tr w14:paraId="145C1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0FA35F6E">
            <w:pPr>
              <w:jc w:val="center"/>
            </w:pPr>
            <w:r>
              <w:rPr>
                <w:rFonts w:ascii="Calibri" w:hAnsi="Calibri" w:eastAsia="Calibri" w:cs="Calibri"/>
                <w:color w:val="000000"/>
                <w:sz w:val="19"/>
                <w:szCs w:val="19"/>
              </w:rPr>
              <w:t>5.6</w:t>
            </w:r>
          </w:p>
        </w:tc>
        <w:tc>
          <w:tcPr>
            <w:tcW w:w="3300" w:type="dxa"/>
            <w:tcMar>
              <w:top w:w="60" w:type="dxa"/>
              <w:left w:w="80" w:type="dxa"/>
              <w:bottom w:w="60" w:type="dxa"/>
              <w:right w:w="80" w:type="dxa"/>
            </w:tcMar>
            <w:vAlign w:val="center"/>
          </w:tcPr>
          <w:p w14:paraId="4B5DE3B4">
            <w:pPr>
              <w:jc w:val="center"/>
            </w:pPr>
            <w:r>
              <w:rPr>
                <w:rFonts w:ascii="Calibri" w:hAnsi="Calibri" w:eastAsia="Calibri" w:cs="Calibri"/>
                <w:color w:val="000000"/>
                <w:sz w:val="19"/>
                <w:szCs w:val="19"/>
              </w:rPr>
              <w:t>Contact with special interest groups</w:t>
            </w:r>
          </w:p>
        </w:tc>
        <w:tc>
          <w:tcPr>
            <w:tcW w:w="4700" w:type="dxa"/>
            <w:tcMar>
              <w:top w:w="60" w:type="dxa"/>
              <w:left w:w="80" w:type="dxa"/>
              <w:bottom w:w="60" w:type="dxa"/>
              <w:right w:w="80" w:type="dxa"/>
            </w:tcMar>
            <w:vAlign w:val="center"/>
          </w:tcPr>
          <w:p w14:paraId="178C084C">
            <w:pPr>
              <w:jc w:val="center"/>
            </w:pPr>
            <w:r>
              <w:rPr>
                <w:rFonts w:ascii="Calibri" w:hAnsi="Calibri" w:eastAsia="Calibri" w:cs="Calibri"/>
                <w:color w:val="000000"/>
                <w:sz w:val="19"/>
                <w:szCs w:val="19"/>
              </w:rPr>
              <w:t>No structured engagement with industry groups.</w:t>
            </w:r>
          </w:p>
        </w:tc>
        <w:tc>
          <w:tcPr>
            <w:tcW w:w="4700" w:type="dxa"/>
            <w:tcMar>
              <w:top w:w="60" w:type="dxa"/>
              <w:left w:w="80" w:type="dxa"/>
              <w:bottom w:w="60" w:type="dxa"/>
              <w:right w:w="80" w:type="dxa"/>
            </w:tcMar>
            <w:vAlign w:val="center"/>
          </w:tcPr>
          <w:p w14:paraId="51817B90">
            <w:pPr>
              <w:jc w:val="center"/>
            </w:pPr>
            <w:r>
              <w:rPr>
                <w:rFonts w:ascii="Calibri" w:hAnsi="Calibri" w:eastAsia="Calibri" w:cs="Calibri"/>
                <w:color w:val="000000"/>
                <w:sz w:val="19"/>
                <w:szCs w:val="19"/>
              </w:rPr>
              <w:t>Not part of any banking sector ISAC or forum.</w:t>
            </w:r>
          </w:p>
        </w:tc>
        <w:tc>
          <w:tcPr>
            <w:tcW w:w="1000" w:type="dxa"/>
            <w:tcMar>
              <w:top w:w="60" w:type="dxa"/>
              <w:left w:w="80" w:type="dxa"/>
              <w:bottom w:w="60" w:type="dxa"/>
              <w:right w:w="80" w:type="dxa"/>
            </w:tcMar>
            <w:vAlign w:val="center"/>
          </w:tcPr>
          <w:p w14:paraId="7774BA0D">
            <w:pPr>
              <w:jc w:val="center"/>
            </w:pPr>
            <w:r>
              <w:rPr>
                <w:rFonts w:ascii="Calibri" w:hAnsi="Calibri" w:eastAsia="Calibri" w:cs="Calibri"/>
                <w:b/>
                <w:bCs/>
                <w:color w:val="375623"/>
                <w:sz w:val="19"/>
                <w:szCs w:val="19"/>
              </w:rPr>
              <w:t>Low</w:t>
            </w:r>
          </w:p>
        </w:tc>
      </w:tr>
      <w:tr w14:paraId="75B2B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146207C2">
            <w:pPr>
              <w:jc w:val="center"/>
            </w:pPr>
            <w:r>
              <w:rPr>
                <w:rFonts w:ascii="Calibri" w:hAnsi="Calibri" w:eastAsia="Calibri" w:cs="Calibri"/>
                <w:color w:val="000000"/>
                <w:sz w:val="19"/>
                <w:szCs w:val="19"/>
              </w:rPr>
              <w:t>5.7</w:t>
            </w:r>
          </w:p>
        </w:tc>
        <w:tc>
          <w:tcPr>
            <w:tcW w:w="3300" w:type="dxa"/>
            <w:tcMar>
              <w:top w:w="60" w:type="dxa"/>
              <w:left w:w="80" w:type="dxa"/>
              <w:bottom w:w="60" w:type="dxa"/>
              <w:right w:w="80" w:type="dxa"/>
            </w:tcMar>
            <w:vAlign w:val="center"/>
          </w:tcPr>
          <w:p w14:paraId="65855FB6">
            <w:pPr>
              <w:jc w:val="center"/>
            </w:pPr>
            <w:r>
              <w:rPr>
                <w:rFonts w:ascii="Calibri" w:hAnsi="Calibri" w:eastAsia="Calibri" w:cs="Calibri"/>
                <w:color w:val="000000"/>
                <w:sz w:val="19"/>
                <w:szCs w:val="19"/>
              </w:rPr>
              <w:t>Threat intelligence</w:t>
            </w:r>
          </w:p>
        </w:tc>
        <w:tc>
          <w:tcPr>
            <w:tcW w:w="4700" w:type="dxa"/>
            <w:tcMar>
              <w:top w:w="60" w:type="dxa"/>
              <w:left w:w="80" w:type="dxa"/>
              <w:bottom w:w="60" w:type="dxa"/>
              <w:right w:w="80" w:type="dxa"/>
            </w:tcMar>
            <w:vAlign w:val="center"/>
          </w:tcPr>
          <w:p w14:paraId="38B4954A">
            <w:pPr>
              <w:jc w:val="center"/>
            </w:pPr>
            <w:r>
              <w:rPr>
                <w:rFonts w:ascii="Calibri" w:hAnsi="Calibri" w:eastAsia="Calibri" w:cs="Calibri"/>
                <w:color w:val="000000"/>
                <w:sz w:val="19"/>
                <w:szCs w:val="19"/>
              </w:rPr>
              <w:t>SIEM generates alerts; no dedicated threat feed.</w:t>
            </w:r>
          </w:p>
        </w:tc>
        <w:tc>
          <w:tcPr>
            <w:tcW w:w="4700" w:type="dxa"/>
            <w:tcMar>
              <w:top w:w="60" w:type="dxa"/>
              <w:left w:w="80" w:type="dxa"/>
              <w:bottom w:w="60" w:type="dxa"/>
              <w:right w:w="80" w:type="dxa"/>
            </w:tcMar>
            <w:vAlign w:val="center"/>
          </w:tcPr>
          <w:p w14:paraId="2F3D17B3">
            <w:pPr>
              <w:jc w:val="center"/>
            </w:pPr>
            <w:r>
              <w:rPr>
                <w:rFonts w:ascii="Calibri" w:hAnsi="Calibri" w:eastAsia="Calibri" w:cs="Calibri"/>
                <w:color w:val="000000"/>
                <w:sz w:val="19"/>
                <w:szCs w:val="19"/>
              </w:rPr>
              <w:t>No formal threat intelligence process defined.</w:t>
            </w:r>
          </w:p>
        </w:tc>
        <w:tc>
          <w:tcPr>
            <w:tcW w:w="1000" w:type="dxa"/>
            <w:tcMar>
              <w:top w:w="60" w:type="dxa"/>
              <w:left w:w="80" w:type="dxa"/>
              <w:bottom w:w="60" w:type="dxa"/>
              <w:right w:w="80" w:type="dxa"/>
            </w:tcMar>
            <w:vAlign w:val="center"/>
          </w:tcPr>
          <w:p w14:paraId="0A7E341E">
            <w:pPr>
              <w:jc w:val="center"/>
            </w:pPr>
            <w:r>
              <w:rPr>
                <w:rFonts w:ascii="Calibri" w:hAnsi="Calibri" w:eastAsia="Calibri" w:cs="Calibri"/>
                <w:b/>
                <w:bCs/>
                <w:color w:val="C00000"/>
                <w:sz w:val="19"/>
                <w:szCs w:val="19"/>
              </w:rPr>
              <w:t>High</w:t>
            </w:r>
          </w:p>
        </w:tc>
      </w:tr>
      <w:tr w14:paraId="22C06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28162F7C">
            <w:pPr>
              <w:jc w:val="center"/>
            </w:pPr>
            <w:r>
              <w:rPr>
                <w:rFonts w:ascii="Calibri" w:hAnsi="Calibri" w:eastAsia="Calibri" w:cs="Calibri"/>
                <w:color w:val="000000"/>
                <w:sz w:val="19"/>
                <w:szCs w:val="19"/>
              </w:rPr>
              <w:t>5.8</w:t>
            </w:r>
          </w:p>
        </w:tc>
        <w:tc>
          <w:tcPr>
            <w:tcW w:w="3300" w:type="dxa"/>
            <w:tcMar>
              <w:top w:w="60" w:type="dxa"/>
              <w:left w:w="80" w:type="dxa"/>
              <w:bottom w:w="60" w:type="dxa"/>
              <w:right w:w="80" w:type="dxa"/>
            </w:tcMar>
            <w:vAlign w:val="center"/>
          </w:tcPr>
          <w:p w14:paraId="44F9415B">
            <w:pPr>
              <w:jc w:val="center"/>
            </w:pPr>
            <w:r>
              <w:rPr>
                <w:rFonts w:ascii="Calibri" w:hAnsi="Calibri" w:eastAsia="Calibri" w:cs="Calibri"/>
                <w:color w:val="000000"/>
                <w:sz w:val="19"/>
                <w:szCs w:val="19"/>
              </w:rPr>
              <w:t>Information security in project management</w:t>
            </w:r>
          </w:p>
        </w:tc>
        <w:tc>
          <w:tcPr>
            <w:tcW w:w="4700" w:type="dxa"/>
            <w:tcMar>
              <w:top w:w="60" w:type="dxa"/>
              <w:left w:w="80" w:type="dxa"/>
              <w:bottom w:w="60" w:type="dxa"/>
              <w:right w:w="80" w:type="dxa"/>
            </w:tcMar>
            <w:vAlign w:val="center"/>
          </w:tcPr>
          <w:p w14:paraId="28C116B3">
            <w:pPr>
              <w:jc w:val="center"/>
            </w:pPr>
            <w:r>
              <w:rPr>
                <w:rFonts w:ascii="Calibri" w:hAnsi="Calibri" w:eastAsia="Calibri" w:cs="Calibri"/>
                <w:color w:val="000000"/>
                <w:sz w:val="19"/>
                <w:szCs w:val="19"/>
              </w:rPr>
              <w:t>Security reviewed late in the project lifecycle.</w:t>
            </w:r>
          </w:p>
        </w:tc>
        <w:tc>
          <w:tcPr>
            <w:tcW w:w="4700" w:type="dxa"/>
            <w:tcMar>
              <w:top w:w="60" w:type="dxa"/>
              <w:left w:w="80" w:type="dxa"/>
              <w:bottom w:w="60" w:type="dxa"/>
              <w:right w:w="80" w:type="dxa"/>
            </w:tcMar>
            <w:vAlign w:val="center"/>
          </w:tcPr>
          <w:p w14:paraId="7FE31A53">
            <w:pPr>
              <w:jc w:val="center"/>
            </w:pPr>
            <w:r>
              <w:rPr>
                <w:rFonts w:ascii="Calibri" w:hAnsi="Calibri" w:eastAsia="Calibri" w:cs="Calibri"/>
                <w:color w:val="000000"/>
                <w:sz w:val="19"/>
                <w:szCs w:val="19"/>
              </w:rPr>
              <w:t>No mandatory security gate at design phase.</w:t>
            </w:r>
          </w:p>
        </w:tc>
        <w:tc>
          <w:tcPr>
            <w:tcW w:w="1000" w:type="dxa"/>
            <w:tcMar>
              <w:top w:w="60" w:type="dxa"/>
              <w:left w:w="80" w:type="dxa"/>
              <w:bottom w:w="60" w:type="dxa"/>
              <w:right w:w="80" w:type="dxa"/>
            </w:tcMar>
            <w:vAlign w:val="center"/>
          </w:tcPr>
          <w:p w14:paraId="36326EB2">
            <w:pPr>
              <w:jc w:val="center"/>
            </w:pPr>
            <w:r>
              <w:rPr>
                <w:rFonts w:ascii="Calibri" w:hAnsi="Calibri" w:eastAsia="Calibri" w:cs="Calibri"/>
                <w:b/>
                <w:bCs/>
                <w:color w:val="C00000"/>
                <w:sz w:val="19"/>
                <w:szCs w:val="19"/>
              </w:rPr>
              <w:t>High</w:t>
            </w:r>
          </w:p>
        </w:tc>
      </w:tr>
      <w:tr w14:paraId="59D43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5D063A5E">
            <w:pPr>
              <w:jc w:val="center"/>
            </w:pPr>
            <w:r>
              <w:rPr>
                <w:rFonts w:ascii="Calibri" w:hAnsi="Calibri" w:eastAsia="Calibri" w:cs="Calibri"/>
                <w:color w:val="000000"/>
                <w:sz w:val="19"/>
                <w:szCs w:val="19"/>
              </w:rPr>
              <w:t>5.9</w:t>
            </w:r>
          </w:p>
        </w:tc>
        <w:tc>
          <w:tcPr>
            <w:tcW w:w="3300" w:type="dxa"/>
            <w:tcMar>
              <w:top w:w="60" w:type="dxa"/>
              <w:left w:w="80" w:type="dxa"/>
              <w:bottom w:w="60" w:type="dxa"/>
              <w:right w:w="80" w:type="dxa"/>
            </w:tcMar>
            <w:vAlign w:val="center"/>
          </w:tcPr>
          <w:p w14:paraId="54FBC55B">
            <w:pPr>
              <w:jc w:val="center"/>
            </w:pPr>
            <w:r>
              <w:rPr>
                <w:rFonts w:ascii="Calibri" w:hAnsi="Calibri" w:eastAsia="Calibri" w:cs="Calibri"/>
                <w:color w:val="000000"/>
                <w:sz w:val="19"/>
                <w:szCs w:val="19"/>
              </w:rPr>
              <w:t>Inventory of information and other associated assets</w:t>
            </w:r>
          </w:p>
        </w:tc>
        <w:tc>
          <w:tcPr>
            <w:tcW w:w="4700" w:type="dxa"/>
            <w:tcMar>
              <w:top w:w="60" w:type="dxa"/>
              <w:left w:w="80" w:type="dxa"/>
              <w:bottom w:w="60" w:type="dxa"/>
              <w:right w:w="80" w:type="dxa"/>
            </w:tcMar>
            <w:vAlign w:val="center"/>
          </w:tcPr>
          <w:p w14:paraId="1C09E4D3">
            <w:pPr>
              <w:jc w:val="center"/>
            </w:pPr>
            <w:r>
              <w:rPr>
                <w:rFonts w:ascii="Calibri" w:hAnsi="Calibri" w:eastAsia="Calibri" w:cs="Calibri"/>
                <w:color w:val="000000"/>
                <w:sz w:val="19"/>
                <w:szCs w:val="19"/>
              </w:rPr>
              <w:t>Partial asset inventory maintained in spreadsheets.</w:t>
            </w:r>
          </w:p>
        </w:tc>
        <w:tc>
          <w:tcPr>
            <w:tcW w:w="4700" w:type="dxa"/>
            <w:tcMar>
              <w:top w:w="60" w:type="dxa"/>
              <w:left w:w="80" w:type="dxa"/>
              <w:bottom w:w="60" w:type="dxa"/>
              <w:right w:w="80" w:type="dxa"/>
            </w:tcMar>
            <w:vAlign w:val="center"/>
          </w:tcPr>
          <w:p w14:paraId="71C23A05">
            <w:pPr>
              <w:jc w:val="center"/>
            </w:pPr>
            <w:r>
              <w:rPr>
                <w:rFonts w:ascii="Calibri" w:hAnsi="Calibri" w:eastAsia="Calibri" w:cs="Calibri"/>
                <w:color w:val="000000"/>
                <w:sz w:val="19"/>
                <w:szCs w:val="19"/>
              </w:rPr>
              <w:t>No centralized, automated asset register (CMDB).</w:t>
            </w:r>
          </w:p>
        </w:tc>
        <w:tc>
          <w:tcPr>
            <w:tcW w:w="1000" w:type="dxa"/>
            <w:tcMar>
              <w:top w:w="60" w:type="dxa"/>
              <w:left w:w="80" w:type="dxa"/>
              <w:bottom w:w="60" w:type="dxa"/>
              <w:right w:w="80" w:type="dxa"/>
            </w:tcMar>
            <w:vAlign w:val="center"/>
          </w:tcPr>
          <w:p w14:paraId="5B32C660">
            <w:pPr>
              <w:jc w:val="center"/>
            </w:pPr>
            <w:r>
              <w:rPr>
                <w:rFonts w:ascii="Calibri" w:hAnsi="Calibri" w:eastAsia="Calibri" w:cs="Calibri"/>
                <w:b/>
                <w:bCs/>
                <w:color w:val="C00000"/>
                <w:sz w:val="19"/>
                <w:szCs w:val="19"/>
              </w:rPr>
              <w:t>High</w:t>
            </w:r>
          </w:p>
        </w:tc>
      </w:tr>
      <w:tr w14:paraId="2E5F6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7430714E">
            <w:pPr>
              <w:jc w:val="center"/>
            </w:pPr>
            <w:r>
              <w:rPr>
                <w:rFonts w:ascii="Calibri" w:hAnsi="Calibri" w:eastAsia="Calibri" w:cs="Calibri"/>
                <w:color w:val="000000"/>
                <w:sz w:val="19"/>
                <w:szCs w:val="19"/>
              </w:rPr>
              <w:t>5.10</w:t>
            </w:r>
          </w:p>
        </w:tc>
        <w:tc>
          <w:tcPr>
            <w:tcW w:w="3300" w:type="dxa"/>
            <w:tcMar>
              <w:top w:w="60" w:type="dxa"/>
              <w:left w:w="80" w:type="dxa"/>
              <w:bottom w:w="60" w:type="dxa"/>
              <w:right w:w="80" w:type="dxa"/>
            </w:tcMar>
            <w:vAlign w:val="center"/>
          </w:tcPr>
          <w:p w14:paraId="16A88B7B">
            <w:pPr>
              <w:jc w:val="center"/>
            </w:pPr>
            <w:r>
              <w:rPr>
                <w:rFonts w:ascii="Calibri" w:hAnsi="Calibri" w:eastAsia="Calibri" w:cs="Calibri"/>
                <w:color w:val="000000"/>
                <w:sz w:val="19"/>
                <w:szCs w:val="19"/>
              </w:rPr>
              <w:t>Acceptable use of information and other associated assets</w:t>
            </w:r>
          </w:p>
        </w:tc>
        <w:tc>
          <w:tcPr>
            <w:tcW w:w="4700" w:type="dxa"/>
            <w:tcMar>
              <w:top w:w="60" w:type="dxa"/>
              <w:left w:w="80" w:type="dxa"/>
              <w:bottom w:w="60" w:type="dxa"/>
              <w:right w:w="80" w:type="dxa"/>
            </w:tcMar>
            <w:vAlign w:val="center"/>
          </w:tcPr>
          <w:p w14:paraId="53DA297C">
            <w:pPr>
              <w:jc w:val="center"/>
            </w:pPr>
            <w:r>
              <w:rPr>
                <w:rFonts w:ascii="Calibri" w:hAnsi="Calibri" w:eastAsia="Calibri" w:cs="Calibri"/>
                <w:color w:val="000000"/>
                <w:sz w:val="19"/>
                <w:szCs w:val="19"/>
              </w:rPr>
              <w:t>Acceptable Use Policy signed at onboarding.</w:t>
            </w:r>
          </w:p>
        </w:tc>
        <w:tc>
          <w:tcPr>
            <w:tcW w:w="4700" w:type="dxa"/>
            <w:tcMar>
              <w:top w:w="60" w:type="dxa"/>
              <w:left w:w="80" w:type="dxa"/>
              <w:bottom w:w="60" w:type="dxa"/>
              <w:right w:w="80" w:type="dxa"/>
            </w:tcMar>
            <w:vAlign w:val="center"/>
          </w:tcPr>
          <w:p w14:paraId="7BBC6907">
            <w:pPr>
              <w:jc w:val="center"/>
            </w:pPr>
            <w:r>
              <w:rPr>
                <w:rFonts w:ascii="Calibri" w:hAnsi="Calibri" w:eastAsia="Calibri" w:cs="Calibri"/>
                <w:color w:val="000000"/>
                <w:sz w:val="19"/>
                <w:szCs w:val="19"/>
              </w:rPr>
              <w:t>Not refreshed or re-acknowledged annually.</w:t>
            </w:r>
          </w:p>
        </w:tc>
        <w:tc>
          <w:tcPr>
            <w:tcW w:w="1000" w:type="dxa"/>
            <w:tcMar>
              <w:top w:w="60" w:type="dxa"/>
              <w:left w:w="80" w:type="dxa"/>
              <w:bottom w:w="60" w:type="dxa"/>
              <w:right w:w="80" w:type="dxa"/>
            </w:tcMar>
            <w:vAlign w:val="center"/>
          </w:tcPr>
          <w:p w14:paraId="4962A506">
            <w:pPr>
              <w:jc w:val="center"/>
            </w:pPr>
            <w:r>
              <w:rPr>
                <w:rFonts w:ascii="Calibri" w:hAnsi="Calibri" w:eastAsia="Calibri" w:cs="Calibri"/>
                <w:b/>
                <w:bCs/>
                <w:color w:val="375623"/>
                <w:sz w:val="19"/>
                <w:szCs w:val="19"/>
              </w:rPr>
              <w:t>Low</w:t>
            </w:r>
          </w:p>
        </w:tc>
      </w:tr>
      <w:tr w14:paraId="70C71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3C443776">
            <w:pPr>
              <w:jc w:val="center"/>
            </w:pPr>
            <w:r>
              <w:rPr>
                <w:rFonts w:ascii="Calibri" w:hAnsi="Calibri" w:eastAsia="Calibri" w:cs="Calibri"/>
                <w:color w:val="000000"/>
                <w:sz w:val="19"/>
                <w:szCs w:val="19"/>
              </w:rPr>
              <w:t>5.11</w:t>
            </w:r>
          </w:p>
        </w:tc>
        <w:tc>
          <w:tcPr>
            <w:tcW w:w="3300" w:type="dxa"/>
            <w:tcMar>
              <w:top w:w="60" w:type="dxa"/>
              <w:left w:w="80" w:type="dxa"/>
              <w:bottom w:w="60" w:type="dxa"/>
              <w:right w:w="80" w:type="dxa"/>
            </w:tcMar>
            <w:vAlign w:val="center"/>
          </w:tcPr>
          <w:p w14:paraId="0ED686F1">
            <w:pPr>
              <w:jc w:val="center"/>
            </w:pPr>
            <w:r>
              <w:rPr>
                <w:rFonts w:ascii="Calibri" w:hAnsi="Calibri" w:eastAsia="Calibri" w:cs="Calibri"/>
                <w:color w:val="000000"/>
                <w:sz w:val="19"/>
                <w:szCs w:val="19"/>
              </w:rPr>
              <w:t>Return of assets</w:t>
            </w:r>
          </w:p>
        </w:tc>
        <w:tc>
          <w:tcPr>
            <w:tcW w:w="4700" w:type="dxa"/>
            <w:tcMar>
              <w:top w:w="60" w:type="dxa"/>
              <w:left w:w="80" w:type="dxa"/>
              <w:bottom w:w="60" w:type="dxa"/>
              <w:right w:w="80" w:type="dxa"/>
            </w:tcMar>
            <w:vAlign w:val="center"/>
          </w:tcPr>
          <w:p w14:paraId="018E407E">
            <w:pPr>
              <w:jc w:val="center"/>
            </w:pPr>
            <w:r>
              <w:rPr>
                <w:rFonts w:ascii="Calibri" w:hAnsi="Calibri" w:eastAsia="Calibri" w:cs="Calibri"/>
                <w:color w:val="000000"/>
                <w:sz w:val="19"/>
                <w:szCs w:val="19"/>
              </w:rPr>
              <w:t>Manual checklist used at staff offboarding.</w:t>
            </w:r>
          </w:p>
        </w:tc>
        <w:tc>
          <w:tcPr>
            <w:tcW w:w="4700" w:type="dxa"/>
            <w:tcMar>
              <w:top w:w="60" w:type="dxa"/>
              <w:left w:w="80" w:type="dxa"/>
              <w:bottom w:w="60" w:type="dxa"/>
              <w:right w:w="80" w:type="dxa"/>
            </w:tcMar>
            <w:vAlign w:val="center"/>
          </w:tcPr>
          <w:p w14:paraId="7A270DC0">
            <w:pPr>
              <w:jc w:val="center"/>
            </w:pPr>
            <w:r>
              <w:rPr>
                <w:rFonts w:ascii="Calibri" w:hAnsi="Calibri" w:eastAsia="Calibri" w:cs="Calibri"/>
                <w:color w:val="000000"/>
                <w:sz w:val="19"/>
                <w:szCs w:val="19"/>
              </w:rPr>
              <w:t>Not consistently enforced across departments.</w:t>
            </w:r>
          </w:p>
        </w:tc>
        <w:tc>
          <w:tcPr>
            <w:tcW w:w="1000" w:type="dxa"/>
            <w:tcMar>
              <w:top w:w="60" w:type="dxa"/>
              <w:left w:w="80" w:type="dxa"/>
              <w:bottom w:w="60" w:type="dxa"/>
              <w:right w:w="80" w:type="dxa"/>
            </w:tcMar>
            <w:vAlign w:val="center"/>
          </w:tcPr>
          <w:p w14:paraId="7FFC8D3D">
            <w:pPr>
              <w:jc w:val="center"/>
            </w:pPr>
            <w:r>
              <w:rPr>
                <w:rFonts w:ascii="Calibri" w:hAnsi="Calibri" w:eastAsia="Calibri" w:cs="Calibri"/>
                <w:b/>
                <w:bCs/>
                <w:color w:val="9C6500"/>
                <w:sz w:val="19"/>
                <w:szCs w:val="19"/>
              </w:rPr>
              <w:t>Medium</w:t>
            </w:r>
          </w:p>
        </w:tc>
      </w:tr>
      <w:tr w14:paraId="72435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7511E822">
            <w:pPr>
              <w:jc w:val="center"/>
            </w:pPr>
            <w:r>
              <w:rPr>
                <w:rFonts w:ascii="Calibri" w:hAnsi="Calibri" w:eastAsia="Calibri" w:cs="Calibri"/>
                <w:color w:val="000000"/>
                <w:sz w:val="19"/>
                <w:szCs w:val="19"/>
              </w:rPr>
              <w:t>5.12</w:t>
            </w:r>
          </w:p>
        </w:tc>
        <w:tc>
          <w:tcPr>
            <w:tcW w:w="3300" w:type="dxa"/>
            <w:tcMar>
              <w:top w:w="60" w:type="dxa"/>
              <w:left w:w="80" w:type="dxa"/>
              <w:bottom w:w="60" w:type="dxa"/>
              <w:right w:w="80" w:type="dxa"/>
            </w:tcMar>
            <w:vAlign w:val="center"/>
          </w:tcPr>
          <w:p w14:paraId="133B3FF4">
            <w:pPr>
              <w:jc w:val="center"/>
            </w:pPr>
            <w:r>
              <w:rPr>
                <w:rFonts w:ascii="Calibri" w:hAnsi="Calibri" w:eastAsia="Calibri" w:cs="Calibri"/>
                <w:color w:val="000000"/>
                <w:sz w:val="19"/>
                <w:szCs w:val="19"/>
              </w:rPr>
              <w:t>Classification of information</w:t>
            </w:r>
          </w:p>
        </w:tc>
        <w:tc>
          <w:tcPr>
            <w:tcW w:w="4700" w:type="dxa"/>
            <w:tcMar>
              <w:top w:w="60" w:type="dxa"/>
              <w:left w:w="80" w:type="dxa"/>
              <w:bottom w:w="60" w:type="dxa"/>
              <w:right w:w="80" w:type="dxa"/>
            </w:tcMar>
            <w:vAlign w:val="center"/>
          </w:tcPr>
          <w:p w14:paraId="0BFCD6EB">
            <w:pPr>
              <w:jc w:val="center"/>
            </w:pPr>
            <w:r>
              <w:rPr>
                <w:rFonts w:ascii="Calibri" w:hAnsi="Calibri" w:eastAsia="Calibri" w:cs="Calibri"/>
                <w:color w:val="000000"/>
                <w:sz w:val="19"/>
                <w:szCs w:val="19"/>
              </w:rPr>
              <w:t>No formal information classification scheme.</w:t>
            </w:r>
          </w:p>
        </w:tc>
        <w:tc>
          <w:tcPr>
            <w:tcW w:w="4700" w:type="dxa"/>
            <w:tcMar>
              <w:top w:w="60" w:type="dxa"/>
              <w:left w:w="80" w:type="dxa"/>
              <w:bottom w:w="60" w:type="dxa"/>
              <w:right w:w="80" w:type="dxa"/>
            </w:tcMar>
            <w:vAlign w:val="center"/>
          </w:tcPr>
          <w:p w14:paraId="4F24E10F">
            <w:pPr>
              <w:jc w:val="center"/>
            </w:pPr>
            <w:r>
              <w:rPr>
                <w:rFonts w:ascii="Calibri" w:hAnsi="Calibri" w:eastAsia="Calibri" w:cs="Calibri"/>
                <w:color w:val="000000"/>
                <w:sz w:val="19"/>
                <w:szCs w:val="19"/>
              </w:rPr>
              <w:t>Sensitive data is not consistently labeled by sensitivity.</w:t>
            </w:r>
          </w:p>
        </w:tc>
        <w:tc>
          <w:tcPr>
            <w:tcW w:w="1000" w:type="dxa"/>
            <w:tcMar>
              <w:top w:w="60" w:type="dxa"/>
              <w:left w:w="80" w:type="dxa"/>
              <w:bottom w:w="60" w:type="dxa"/>
              <w:right w:w="80" w:type="dxa"/>
            </w:tcMar>
            <w:vAlign w:val="center"/>
          </w:tcPr>
          <w:p w14:paraId="51D20CD3">
            <w:pPr>
              <w:jc w:val="center"/>
            </w:pPr>
            <w:r>
              <w:rPr>
                <w:rFonts w:ascii="Calibri" w:hAnsi="Calibri" w:eastAsia="Calibri" w:cs="Calibri"/>
                <w:b/>
                <w:bCs/>
                <w:color w:val="C00000"/>
                <w:sz w:val="19"/>
                <w:szCs w:val="19"/>
              </w:rPr>
              <w:t>High</w:t>
            </w:r>
          </w:p>
        </w:tc>
      </w:tr>
      <w:tr w14:paraId="1163D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039BBBF2">
            <w:pPr>
              <w:jc w:val="center"/>
            </w:pPr>
            <w:r>
              <w:rPr>
                <w:rFonts w:ascii="Calibri" w:hAnsi="Calibri" w:eastAsia="Calibri" w:cs="Calibri"/>
                <w:color w:val="000000"/>
                <w:sz w:val="19"/>
                <w:szCs w:val="19"/>
              </w:rPr>
              <w:t>5.13</w:t>
            </w:r>
          </w:p>
        </w:tc>
        <w:tc>
          <w:tcPr>
            <w:tcW w:w="3300" w:type="dxa"/>
            <w:tcMar>
              <w:top w:w="60" w:type="dxa"/>
              <w:left w:w="80" w:type="dxa"/>
              <w:bottom w:w="60" w:type="dxa"/>
              <w:right w:w="80" w:type="dxa"/>
            </w:tcMar>
            <w:vAlign w:val="center"/>
          </w:tcPr>
          <w:p w14:paraId="09E3FEF8">
            <w:pPr>
              <w:jc w:val="center"/>
            </w:pPr>
            <w:r>
              <w:rPr>
                <w:rFonts w:ascii="Calibri" w:hAnsi="Calibri" w:eastAsia="Calibri" w:cs="Calibri"/>
                <w:color w:val="000000"/>
                <w:sz w:val="19"/>
                <w:szCs w:val="19"/>
              </w:rPr>
              <w:t>Labelling of information</w:t>
            </w:r>
          </w:p>
        </w:tc>
        <w:tc>
          <w:tcPr>
            <w:tcW w:w="4700" w:type="dxa"/>
            <w:tcMar>
              <w:top w:w="60" w:type="dxa"/>
              <w:left w:w="80" w:type="dxa"/>
              <w:bottom w:w="60" w:type="dxa"/>
              <w:right w:w="80" w:type="dxa"/>
            </w:tcMar>
            <w:vAlign w:val="center"/>
          </w:tcPr>
          <w:p w14:paraId="5198E2D4">
            <w:pPr>
              <w:jc w:val="center"/>
            </w:pPr>
            <w:r>
              <w:rPr>
                <w:rFonts w:ascii="Calibri" w:hAnsi="Calibri" w:eastAsia="Calibri" w:cs="Calibri"/>
                <w:color w:val="000000"/>
                <w:sz w:val="19"/>
                <w:szCs w:val="19"/>
              </w:rPr>
              <w:t>Not implemented.</w:t>
            </w:r>
          </w:p>
        </w:tc>
        <w:tc>
          <w:tcPr>
            <w:tcW w:w="4700" w:type="dxa"/>
            <w:tcMar>
              <w:top w:w="60" w:type="dxa"/>
              <w:left w:w="80" w:type="dxa"/>
              <w:bottom w:w="60" w:type="dxa"/>
              <w:right w:w="80" w:type="dxa"/>
            </w:tcMar>
            <w:vAlign w:val="center"/>
          </w:tcPr>
          <w:p w14:paraId="171AFB0E">
            <w:pPr>
              <w:jc w:val="center"/>
            </w:pPr>
            <w:r>
              <w:rPr>
                <w:rFonts w:ascii="Calibri" w:hAnsi="Calibri" w:eastAsia="Calibri" w:cs="Calibri"/>
                <w:color w:val="000000"/>
                <w:sz w:val="19"/>
                <w:szCs w:val="19"/>
              </w:rPr>
              <w:t>No labelling standard linked to classification.</w:t>
            </w:r>
          </w:p>
        </w:tc>
        <w:tc>
          <w:tcPr>
            <w:tcW w:w="1000" w:type="dxa"/>
            <w:tcMar>
              <w:top w:w="60" w:type="dxa"/>
              <w:left w:w="80" w:type="dxa"/>
              <w:bottom w:w="60" w:type="dxa"/>
              <w:right w:w="80" w:type="dxa"/>
            </w:tcMar>
            <w:vAlign w:val="center"/>
          </w:tcPr>
          <w:p w14:paraId="10DE3490">
            <w:pPr>
              <w:jc w:val="center"/>
            </w:pPr>
            <w:r>
              <w:rPr>
                <w:rFonts w:ascii="Calibri" w:hAnsi="Calibri" w:eastAsia="Calibri" w:cs="Calibri"/>
                <w:b/>
                <w:bCs/>
                <w:color w:val="C00000"/>
                <w:sz w:val="19"/>
                <w:szCs w:val="19"/>
              </w:rPr>
              <w:t>High</w:t>
            </w:r>
          </w:p>
        </w:tc>
      </w:tr>
      <w:tr w14:paraId="3C303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199D80F3">
            <w:pPr>
              <w:jc w:val="center"/>
            </w:pPr>
            <w:r>
              <w:rPr>
                <w:rFonts w:ascii="Calibri" w:hAnsi="Calibri" w:eastAsia="Calibri" w:cs="Calibri"/>
                <w:color w:val="000000"/>
                <w:sz w:val="19"/>
                <w:szCs w:val="19"/>
              </w:rPr>
              <w:t>5.14</w:t>
            </w:r>
          </w:p>
        </w:tc>
        <w:tc>
          <w:tcPr>
            <w:tcW w:w="3300" w:type="dxa"/>
            <w:tcMar>
              <w:top w:w="60" w:type="dxa"/>
              <w:left w:w="80" w:type="dxa"/>
              <w:bottom w:w="60" w:type="dxa"/>
              <w:right w:w="80" w:type="dxa"/>
            </w:tcMar>
            <w:vAlign w:val="center"/>
          </w:tcPr>
          <w:p w14:paraId="28CA9B81">
            <w:pPr>
              <w:jc w:val="center"/>
            </w:pPr>
            <w:r>
              <w:rPr>
                <w:rFonts w:ascii="Calibri" w:hAnsi="Calibri" w:eastAsia="Calibri" w:cs="Calibri"/>
                <w:color w:val="000000"/>
                <w:sz w:val="19"/>
                <w:szCs w:val="19"/>
              </w:rPr>
              <w:t>Information transfer</w:t>
            </w:r>
          </w:p>
        </w:tc>
        <w:tc>
          <w:tcPr>
            <w:tcW w:w="4700" w:type="dxa"/>
            <w:tcMar>
              <w:top w:w="60" w:type="dxa"/>
              <w:left w:w="80" w:type="dxa"/>
              <w:bottom w:w="60" w:type="dxa"/>
              <w:right w:w="80" w:type="dxa"/>
            </w:tcMar>
            <w:vAlign w:val="center"/>
          </w:tcPr>
          <w:p w14:paraId="5A802C9D">
            <w:pPr>
              <w:jc w:val="center"/>
            </w:pPr>
            <w:r>
              <w:rPr>
                <w:rFonts w:ascii="Calibri" w:hAnsi="Calibri" w:eastAsia="Calibri" w:cs="Calibri"/>
                <w:color w:val="000000"/>
                <w:sz w:val="19"/>
                <w:szCs w:val="19"/>
              </w:rPr>
              <w:t>Encrypted channels used for core banking data only.</w:t>
            </w:r>
          </w:p>
        </w:tc>
        <w:tc>
          <w:tcPr>
            <w:tcW w:w="4700" w:type="dxa"/>
            <w:tcMar>
              <w:top w:w="60" w:type="dxa"/>
              <w:left w:w="80" w:type="dxa"/>
              <w:bottom w:w="60" w:type="dxa"/>
              <w:right w:w="80" w:type="dxa"/>
            </w:tcMar>
            <w:vAlign w:val="center"/>
          </w:tcPr>
          <w:p w14:paraId="14BBDB19">
            <w:pPr>
              <w:jc w:val="center"/>
            </w:pPr>
            <w:r>
              <w:rPr>
                <w:rFonts w:ascii="Calibri" w:hAnsi="Calibri" w:eastAsia="Calibri" w:cs="Calibri"/>
                <w:color w:val="000000"/>
                <w:sz w:val="19"/>
                <w:szCs w:val="19"/>
              </w:rPr>
              <w:t>No policy governing email or file transfer.</w:t>
            </w:r>
          </w:p>
        </w:tc>
        <w:tc>
          <w:tcPr>
            <w:tcW w:w="1000" w:type="dxa"/>
            <w:tcMar>
              <w:top w:w="60" w:type="dxa"/>
              <w:left w:w="80" w:type="dxa"/>
              <w:bottom w:w="60" w:type="dxa"/>
              <w:right w:w="80" w:type="dxa"/>
            </w:tcMar>
            <w:vAlign w:val="center"/>
          </w:tcPr>
          <w:p w14:paraId="15883F7C">
            <w:pPr>
              <w:jc w:val="center"/>
            </w:pPr>
            <w:r>
              <w:rPr>
                <w:rFonts w:ascii="Calibri" w:hAnsi="Calibri" w:eastAsia="Calibri" w:cs="Calibri"/>
                <w:b/>
                <w:bCs/>
                <w:color w:val="9C6500"/>
                <w:sz w:val="19"/>
                <w:szCs w:val="19"/>
              </w:rPr>
              <w:t>Medium</w:t>
            </w:r>
          </w:p>
        </w:tc>
      </w:tr>
      <w:tr w14:paraId="647A4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1D399C88">
            <w:pPr>
              <w:jc w:val="center"/>
            </w:pPr>
            <w:r>
              <w:rPr>
                <w:rFonts w:ascii="Calibri" w:hAnsi="Calibri" w:eastAsia="Calibri" w:cs="Calibri"/>
                <w:color w:val="000000"/>
                <w:sz w:val="19"/>
                <w:szCs w:val="19"/>
              </w:rPr>
              <w:t>5.15</w:t>
            </w:r>
          </w:p>
        </w:tc>
        <w:tc>
          <w:tcPr>
            <w:tcW w:w="3300" w:type="dxa"/>
            <w:tcMar>
              <w:top w:w="60" w:type="dxa"/>
              <w:left w:w="80" w:type="dxa"/>
              <w:bottom w:w="60" w:type="dxa"/>
              <w:right w:w="80" w:type="dxa"/>
            </w:tcMar>
            <w:vAlign w:val="center"/>
          </w:tcPr>
          <w:p w14:paraId="7058FA2E">
            <w:pPr>
              <w:jc w:val="center"/>
            </w:pPr>
            <w:r>
              <w:rPr>
                <w:rFonts w:ascii="Calibri" w:hAnsi="Calibri" w:eastAsia="Calibri" w:cs="Calibri"/>
                <w:color w:val="000000"/>
                <w:sz w:val="19"/>
                <w:szCs w:val="19"/>
              </w:rPr>
              <w:t>Access control</w:t>
            </w:r>
          </w:p>
        </w:tc>
        <w:tc>
          <w:tcPr>
            <w:tcW w:w="4700" w:type="dxa"/>
            <w:tcMar>
              <w:top w:w="60" w:type="dxa"/>
              <w:left w:w="80" w:type="dxa"/>
              <w:bottom w:w="60" w:type="dxa"/>
              <w:right w:w="80" w:type="dxa"/>
            </w:tcMar>
            <w:vAlign w:val="center"/>
          </w:tcPr>
          <w:p w14:paraId="1B144DAE">
            <w:pPr>
              <w:jc w:val="center"/>
            </w:pPr>
            <w:r>
              <w:rPr>
                <w:rFonts w:ascii="Calibri" w:hAnsi="Calibri" w:eastAsia="Calibri" w:cs="Calibri"/>
                <w:color w:val="000000"/>
                <w:sz w:val="19"/>
                <w:szCs w:val="19"/>
              </w:rPr>
              <w:t>Role-based access control implemented on core systems.</w:t>
            </w:r>
          </w:p>
        </w:tc>
        <w:tc>
          <w:tcPr>
            <w:tcW w:w="4700" w:type="dxa"/>
            <w:tcMar>
              <w:top w:w="60" w:type="dxa"/>
              <w:left w:w="80" w:type="dxa"/>
              <w:bottom w:w="60" w:type="dxa"/>
              <w:right w:w="80" w:type="dxa"/>
            </w:tcMar>
            <w:vAlign w:val="center"/>
          </w:tcPr>
          <w:p w14:paraId="4EDAF80A">
            <w:pPr>
              <w:jc w:val="center"/>
            </w:pPr>
            <w:r>
              <w:rPr>
                <w:rFonts w:ascii="Calibri" w:hAnsi="Calibri" w:eastAsia="Calibri" w:cs="Calibri"/>
                <w:color w:val="000000"/>
                <w:sz w:val="19"/>
                <w:szCs w:val="19"/>
              </w:rPr>
              <w:t>Access control policy not formally documented.</w:t>
            </w:r>
          </w:p>
        </w:tc>
        <w:tc>
          <w:tcPr>
            <w:tcW w:w="1000" w:type="dxa"/>
            <w:tcMar>
              <w:top w:w="60" w:type="dxa"/>
              <w:left w:w="80" w:type="dxa"/>
              <w:bottom w:w="60" w:type="dxa"/>
              <w:right w:w="80" w:type="dxa"/>
            </w:tcMar>
            <w:vAlign w:val="center"/>
          </w:tcPr>
          <w:p w14:paraId="7B0B4831">
            <w:pPr>
              <w:jc w:val="center"/>
            </w:pPr>
            <w:r>
              <w:rPr>
                <w:rFonts w:ascii="Calibri" w:hAnsi="Calibri" w:eastAsia="Calibri" w:cs="Calibri"/>
                <w:b/>
                <w:bCs/>
                <w:color w:val="9C6500"/>
                <w:sz w:val="19"/>
                <w:szCs w:val="19"/>
              </w:rPr>
              <w:t>Medium</w:t>
            </w:r>
          </w:p>
        </w:tc>
      </w:tr>
      <w:tr w14:paraId="5C481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649BD078">
            <w:pPr>
              <w:jc w:val="center"/>
            </w:pPr>
            <w:r>
              <w:rPr>
                <w:rFonts w:ascii="Calibri" w:hAnsi="Calibri" w:eastAsia="Calibri" w:cs="Calibri"/>
                <w:color w:val="000000"/>
                <w:sz w:val="19"/>
                <w:szCs w:val="19"/>
              </w:rPr>
              <w:t>5.16</w:t>
            </w:r>
          </w:p>
        </w:tc>
        <w:tc>
          <w:tcPr>
            <w:tcW w:w="3300" w:type="dxa"/>
            <w:tcMar>
              <w:top w:w="60" w:type="dxa"/>
              <w:left w:w="80" w:type="dxa"/>
              <w:bottom w:w="60" w:type="dxa"/>
              <w:right w:w="80" w:type="dxa"/>
            </w:tcMar>
            <w:vAlign w:val="center"/>
          </w:tcPr>
          <w:p w14:paraId="0D260943">
            <w:pPr>
              <w:jc w:val="center"/>
            </w:pPr>
            <w:r>
              <w:rPr>
                <w:rFonts w:ascii="Calibri" w:hAnsi="Calibri" w:eastAsia="Calibri" w:cs="Calibri"/>
                <w:color w:val="000000"/>
                <w:sz w:val="19"/>
                <w:szCs w:val="19"/>
              </w:rPr>
              <w:t>Identity management</w:t>
            </w:r>
          </w:p>
        </w:tc>
        <w:tc>
          <w:tcPr>
            <w:tcW w:w="4700" w:type="dxa"/>
            <w:tcMar>
              <w:top w:w="60" w:type="dxa"/>
              <w:left w:w="80" w:type="dxa"/>
              <w:bottom w:w="60" w:type="dxa"/>
              <w:right w:w="80" w:type="dxa"/>
            </w:tcMar>
            <w:vAlign w:val="center"/>
          </w:tcPr>
          <w:p w14:paraId="3ABC06D4">
            <w:pPr>
              <w:jc w:val="center"/>
            </w:pPr>
            <w:r>
              <w:rPr>
                <w:rFonts w:ascii="Calibri" w:hAnsi="Calibri" w:eastAsia="Calibri" w:cs="Calibri"/>
                <w:color w:val="000000"/>
                <w:sz w:val="19"/>
                <w:szCs w:val="19"/>
              </w:rPr>
              <w:t>Centralized identity management for core banking.</w:t>
            </w:r>
          </w:p>
        </w:tc>
        <w:tc>
          <w:tcPr>
            <w:tcW w:w="4700" w:type="dxa"/>
            <w:tcMar>
              <w:top w:w="60" w:type="dxa"/>
              <w:left w:w="80" w:type="dxa"/>
              <w:bottom w:w="60" w:type="dxa"/>
              <w:right w:w="80" w:type="dxa"/>
            </w:tcMar>
            <w:vAlign w:val="center"/>
          </w:tcPr>
          <w:p w14:paraId="221E02C4">
            <w:pPr>
              <w:jc w:val="center"/>
            </w:pPr>
            <w:r>
              <w:rPr>
                <w:rFonts w:ascii="Calibri" w:hAnsi="Calibri" w:eastAsia="Calibri" w:cs="Calibri"/>
                <w:color w:val="000000"/>
                <w:sz w:val="19"/>
                <w:szCs w:val="19"/>
              </w:rPr>
              <w:t>Not extended to all SaaS and third-party tools.</w:t>
            </w:r>
          </w:p>
        </w:tc>
        <w:tc>
          <w:tcPr>
            <w:tcW w:w="1000" w:type="dxa"/>
            <w:tcMar>
              <w:top w:w="60" w:type="dxa"/>
              <w:left w:w="80" w:type="dxa"/>
              <w:bottom w:w="60" w:type="dxa"/>
              <w:right w:w="80" w:type="dxa"/>
            </w:tcMar>
            <w:vAlign w:val="center"/>
          </w:tcPr>
          <w:p w14:paraId="7C2CFB71">
            <w:pPr>
              <w:jc w:val="center"/>
            </w:pPr>
            <w:r>
              <w:rPr>
                <w:rFonts w:ascii="Calibri" w:hAnsi="Calibri" w:eastAsia="Calibri" w:cs="Calibri"/>
                <w:b/>
                <w:bCs/>
                <w:color w:val="9C6500"/>
                <w:sz w:val="19"/>
                <w:szCs w:val="19"/>
              </w:rPr>
              <w:t>Medium</w:t>
            </w:r>
          </w:p>
        </w:tc>
      </w:tr>
      <w:tr w14:paraId="57238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718C7E5D">
            <w:pPr>
              <w:jc w:val="center"/>
            </w:pPr>
            <w:r>
              <w:rPr>
                <w:rFonts w:ascii="Calibri" w:hAnsi="Calibri" w:eastAsia="Calibri" w:cs="Calibri"/>
                <w:color w:val="000000"/>
                <w:sz w:val="19"/>
                <w:szCs w:val="19"/>
              </w:rPr>
              <w:t>5.17</w:t>
            </w:r>
          </w:p>
        </w:tc>
        <w:tc>
          <w:tcPr>
            <w:tcW w:w="3300" w:type="dxa"/>
            <w:tcMar>
              <w:top w:w="60" w:type="dxa"/>
              <w:left w:w="80" w:type="dxa"/>
              <w:bottom w:w="60" w:type="dxa"/>
              <w:right w:w="80" w:type="dxa"/>
            </w:tcMar>
            <w:vAlign w:val="center"/>
          </w:tcPr>
          <w:p w14:paraId="27D414B3">
            <w:pPr>
              <w:jc w:val="center"/>
            </w:pPr>
            <w:r>
              <w:rPr>
                <w:rFonts w:ascii="Calibri" w:hAnsi="Calibri" w:eastAsia="Calibri" w:cs="Calibri"/>
                <w:color w:val="000000"/>
                <w:sz w:val="19"/>
                <w:szCs w:val="19"/>
              </w:rPr>
              <w:t>Authentication information</w:t>
            </w:r>
          </w:p>
        </w:tc>
        <w:tc>
          <w:tcPr>
            <w:tcW w:w="4700" w:type="dxa"/>
            <w:tcMar>
              <w:top w:w="60" w:type="dxa"/>
              <w:left w:w="80" w:type="dxa"/>
              <w:bottom w:w="60" w:type="dxa"/>
              <w:right w:w="80" w:type="dxa"/>
            </w:tcMar>
            <w:vAlign w:val="center"/>
          </w:tcPr>
          <w:p w14:paraId="784AE20D">
            <w:pPr>
              <w:jc w:val="center"/>
            </w:pPr>
            <w:r>
              <w:rPr>
                <w:rFonts w:ascii="Calibri" w:hAnsi="Calibri" w:eastAsia="Calibri" w:cs="Calibri"/>
                <w:color w:val="000000"/>
                <w:sz w:val="19"/>
                <w:szCs w:val="19"/>
              </w:rPr>
              <w:t>Password policy enforced on core systems.</w:t>
            </w:r>
          </w:p>
        </w:tc>
        <w:tc>
          <w:tcPr>
            <w:tcW w:w="4700" w:type="dxa"/>
            <w:tcMar>
              <w:top w:w="60" w:type="dxa"/>
              <w:left w:w="80" w:type="dxa"/>
              <w:bottom w:w="60" w:type="dxa"/>
              <w:right w:w="80" w:type="dxa"/>
            </w:tcMar>
            <w:vAlign w:val="center"/>
          </w:tcPr>
          <w:p w14:paraId="02A98C81">
            <w:pPr>
              <w:jc w:val="center"/>
            </w:pPr>
            <w:r>
              <w:rPr>
                <w:rFonts w:ascii="Calibri" w:hAnsi="Calibri" w:eastAsia="Calibri" w:cs="Calibri"/>
                <w:color w:val="000000"/>
                <w:sz w:val="19"/>
                <w:szCs w:val="19"/>
              </w:rPr>
              <w:t>No formal secrets/credential management policy.</w:t>
            </w:r>
          </w:p>
        </w:tc>
        <w:tc>
          <w:tcPr>
            <w:tcW w:w="1000" w:type="dxa"/>
            <w:tcMar>
              <w:top w:w="60" w:type="dxa"/>
              <w:left w:w="80" w:type="dxa"/>
              <w:bottom w:w="60" w:type="dxa"/>
              <w:right w:w="80" w:type="dxa"/>
            </w:tcMar>
            <w:vAlign w:val="center"/>
          </w:tcPr>
          <w:p w14:paraId="66391B9D">
            <w:pPr>
              <w:jc w:val="center"/>
            </w:pPr>
            <w:r>
              <w:rPr>
                <w:rFonts w:ascii="Calibri" w:hAnsi="Calibri" w:eastAsia="Calibri" w:cs="Calibri"/>
                <w:b/>
                <w:bCs/>
                <w:color w:val="9C6500"/>
                <w:sz w:val="19"/>
                <w:szCs w:val="19"/>
              </w:rPr>
              <w:t>Medium</w:t>
            </w:r>
          </w:p>
        </w:tc>
      </w:tr>
      <w:tr w14:paraId="66F79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39471C5C">
            <w:pPr>
              <w:jc w:val="center"/>
            </w:pPr>
            <w:r>
              <w:rPr>
                <w:rFonts w:ascii="Calibri" w:hAnsi="Calibri" w:eastAsia="Calibri" w:cs="Calibri"/>
                <w:color w:val="000000"/>
                <w:sz w:val="19"/>
                <w:szCs w:val="19"/>
              </w:rPr>
              <w:t>5.18</w:t>
            </w:r>
          </w:p>
        </w:tc>
        <w:tc>
          <w:tcPr>
            <w:tcW w:w="3300" w:type="dxa"/>
            <w:tcMar>
              <w:top w:w="60" w:type="dxa"/>
              <w:left w:w="80" w:type="dxa"/>
              <w:bottom w:w="60" w:type="dxa"/>
              <w:right w:w="80" w:type="dxa"/>
            </w:tcMar>
            <w:vAlign w:val="center"/>
          </w:tcPr>
          <w:p w14:paraId="5D421789">
            <w:pPr>
              <w:jc w:val="center"/>
            </w:pPr>
            <w:r>
              <w:rPr>
                <w:rFonts w:ascii="Calibri" w:hAnsi="Calibri" w:eastAsia="Calibri" w:cs="Calibri"/>
                <w:color w:val="000000"/>
                <w:sz w:val="19"/>
                <w:szCs w:val="19"/>
              </w:rPr>
              <w:t>Access rights</w:t>
            </w:r>
          </w:p>
        </w:tc>
        <w:tc>
          <w:tcPr>
            <w:tcW w:w="4700" w:type="dxa"/>
            <w:tcMar>
              <w:top w:w="60" w:type="dxa"/>
              <w:left w:w="80" w:type="dxa"/>
              <w:bottom w:w="60" w:type="dxa"/>
              <w:right w:w="80" w:type="dxa"/>
            </w:tcMar>
            <w:vAlign w:val="center"/>
          </w:tcPr>
          <w:p w14:paraId="78534BF4">
            <w:pPr>
              <w:jc w:val="center"/>
            </w:pPr>
            <w:r>
              <w:rPr>
                <w:rFonts w:ascii="Calibri" w:hAnsi="Calibri" w:eastAsia="Calibri" w:cs="Calibri"/>
                <w:color w:val="000000"/>
                <w:sz w:val="19"/>
                <w:szCs w:val="19"/>
              </w:rPr>
              <w:t>Access provisioned on request by line managers.</w:t>
            </w:r>
          </w:p>
        </w:tc>
        <w:tc>
          <w:tcPr>
            <w:tcW w:w="4700" w:type="dxa"/>
            <w:tcMar>
              <w:top w:w="60" w:type="dxa"/>
              <w:left w:w="80" w:type="dxa"/>
              <w:bottom w:w="60" w:type="dxa"/>
              <w:right w:w="80" w:type="dxa"/>
            </w:tcMar>
            <w:vAlign w:val="center"/>
          </w:tcPr>
          <w:p w14:paraId="1FE22551">
            <w:pPr>
              <w:jc w:val="center"/>
            </w:pPr>
            <w:r>
              <w:rPr>
                <w:rFonts w:ascii="Calibri" w:hAnsi="Calibri" w:eastAsia="Calibri" w:cs="Calibri"/>
                <w:color w:val="000000"/>
                <w:sz w:val="19"/>
                <w:szCs w:val="19"/>
              </w:rPr>
              <w:t>No periodic access recertification process.</w:t>
            </w:r>
          </w:p>
        </w:tc>
        <w:tc>
          <w:tcPr>
            <w:tcW w:w="1000" w:type="dxa"/>
            <w:tcMar>
              <w:top w:w="60" w:type="dxa"/>
              <w:left w:w="80" w:type="dxa"/>
              <w:bottom w:w="60" w:type="dxa"/>
              <w:right w:w="80" w:type="dxa"/>
            </w:tcMar>
            <w:vAlign w:val="center"/>
          </w:tcPr>
          <w:p w14:paraId="077738C4">
            <w:pPr>
              <w:jc w:val="center"/>
            </w:pPr>
            <w:r>
              <w:rPr>
                <w:rFonts w:ascii="Calibri" w:hAnsi="Calibri" w:eastAsia="Calibri" w:cs="Calibri"/>
                <w:b/>
                <w:bCs/>
                <w:color w:val="C00000"/>
                <w:sz w:val="19"/>
                <w:szCs w:val="19"/>
              </w:rPr>
              <w:t>High</w:t>
            </w:r>
          </w:p>
        </w:tc>
      </w:tr>
      <w:tr w14:paraId="5CAC3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735E3B1A">
            <w:pPr>
              <w:jc w:val="center"/>
            </w:pPr>
            <w:r>
              <w:rPr>
                <w:rFonts w:ascii="Calibri" w:hAnsi="Calibri" w:eastAsia="Calibri" w:cs="Calibri"/>
                <w:color w:val="000000"/>
                <w:sz w:val="19"/>
                <w:szCs w:val="19"/>
              </w:rPr>
              <w:t>5.19</w:t>
            </w:r>
          </w:p>
        </w:tc>
        <w:tc>
          <w:tcPr>
            <w:tcW w:w="3300" w:type="dxa"/>
            <w:tcMar>
              <w:top w:w="60" w:type="dxa"/>
              <w:left w:w="80" w:type="dxa"/>
              <w:bottom w:w="60" w:type="dxa"/>
              <w:right w:w="80" w:type="dxa"/>
            </w:tcMar>
            <w:vAlign w:val="center"/>
          </w:tcPr>
          <w:p w14:paraId="700EE9F6">
            <w:pPr>
              <w:jc w:val="center"/>
            </w:pPr>
            <w:r>
              <w:rPr>
                <w:rFonts w:ascii="Calibri" w:hAnsi="Calibri" w:eastAsia="Calibri" w:cs="Calibri"/>
                <w:color w:val="000000"/>
                <w:sz w:val="19"/>
                <w:szCs w:val="19"/>
              </w:rPr>
              <w:t>Information security in supplier relationships</w:t>
            </w:r>
          </w:p>
        </w:tc>
        <w:tc>
          <w:tcPr>
            <w:tcW w:w="4700" w:type="dxa"/>
            <w:tcMar>
              <w:top w:w="60" w:type="dxa"/>
              <w:left w:w="80" w:type="dxa"/>
              <w:bottom w:w="60" w:type="dxa"/>
              <w:right w:w="80" w:type="dxa"/>
            </w:tcMar>
            <w:vAlign w:val="center"/>
          </w:tcPr>
          <w:p w14:paraId="7265BC8B">
            <w:pPr>
              <w:jc w:val="center"/>
            </w:pPr>
            <w:r>
              <w:rPr>
                <w:rFonts w:ascii="Calibri" w:hAnsi="Calibri" w:eastAsia="Calibri" w:cs="Calibri"/>
                <w:color w:val="000000"/>
                <w:sz w:val="19"/>
                <w:szCs w:val="19"/>
              </w:rPr>
              <w:t>Vendor contracts signed without a standard security clause.</w:t>
            </w:r>
          </w:p>
        </w:tc>
        <w:tc>
          <w:tcPr>
            <w:tcW w:w="4700" w:type="dxa"/>
            <w:tcMar>
              <w:top w:w="60" w:type="dxa"/>
              <w:left w:w="80" w:type="dxa"/>
              <w:bottom w:w="60" w:type="dxa"/>
              <w:right w:w="80" w:type="dxa"/>
            </w:tcMar>
            <w:vAlign w:val="center"/>
          </w:tcPr>
          <w:p w14:paraId="465BB101">
            <w:pPr>
              <w:jc w:val="center"/>
            </w:pPr>
            <w:r>
              <w:rPr>
                <w:rFonts w:ascii="Calibri" w:hAnsi="Calibri" w:eastAsia="Calibri" w:cs="Calibri"/>
                <w:color w:val="000000"/>
                <w:sz w:val="19"/>
                <w:szCs w:val="19"/>
              </w:rPr>
              <w:t>No formal supplier security risk assessment.</w:t>
            </w:r>
          </w:p>
        </w:tc>
        <w:tc>
          <w:tcPr>
            <w:tcW w:w="1000" w:type="dxa"/>
            <w:tcMar>
              <w:top w:w="60" w:type="dxa"/>
              <w:left w:w="80" w:type="dxa"/>
              <w:bottom w:w="60" w:type="dxa"/>
              <w:right w:w="80" w:type="dxa"/>
            </w:tcMar>
            <w:vAlign w:val="center"/>
          </w:tcPr>
          <w:p w14:paraId="572EF4A4">
            <w:pPr>
              <w:jc w:val="center"/>
            </w:pPr>
            <w:r>
              <w:rPr>
                <w:rFonts w:ascii="Calibri" w:hAnsi="Calibri" w:eastAsia="Calibri" w:cs="Calibri"/>
                <w:b/>
                <w:bCs/>
                <w:color w:val="C00000"/>
                <w:sz w:val="19"/>
                <w:szCs w:val="19"/>
              </w:rPr>
              <w:t>High</w:t>
            </w:r>
          </w:p>
        </w:tc>
      </w:tr>
      <w:tr w14:paraId="5EFB9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00AC5ECB">
            <w:pPr>
              <w:jc w:val="center"/>
            </w:pPr>
            <w:r>
              <w:rPr>
                <w:rFonts w:ascii="Calibri" w:hAnsi="Calibri" w:eastAsia="Calibri" w:cs="Calibri"/>
                <w:color w:val="000000"/>
                <w:sz w:val="19"/>
                <w:szCs w:val="19"/>
              </w:rPr>
              <w:t>5.20</w:t>
            </w:r>
          </w:p>
        </w:tc>
        <w:tc>
          <w:tcPr>
            <w:tcW w:w="3300" w:type="dxa"/>
            <w:tcMar>
              <w:top w:w="60" w:type="dxa"/>
              <w:left w:w="80" w:type="dxa"/>
              <w:bottom w:w="60" w:type="dxa"/>
              <w:right w:w="80" w:type="dxa"/>
            </w:tcMar>
            <w:vAlign w:val="center"/>
          </w:tcPr>
          <w:p w14:paraId="782ADF68">
            <w:pPr>
              <w:jc w:val="center"/>
            </w:pPr>
            <w:r>
              <w:rPr>
                <w:rFonts w:ascii="Calibri" w:hAnsi="Calibri" w:eastAsia="Calibri" w:cs="Calibri"/>
                <w:color w:val="000000"/>
                <w:sz w:val="19"/>
                <w:szCs w:val="19"/>
              </w:rPr>
              <w:t>Addressing information security within supplier agreements</w:t>
            </w:r>
          </w:p>
        </w:tc>
        <w:tc>
          <w:tcPr>
            <w:tcW w:w="4700" w:type="dxa"/>
            <w:tcMar>
              <w:top w:w="60" w:type="dxa"/>
              <w:left w:w="80" w:type="dxa"/>
              <w:bottom w:w="60" w:type="dxa"/>
              <w:right w:w="80" w:type="dxa"/>
            </w:tcMar>
            <w:vAlign w:val="center"/>
          </w:tcPr>
          <w:p w14:paraId="6BDD57BB">
            <w:pPr>
              <w:jc w:val="center"/>
            </w:pPr>
            <w:r>
              <w:rPr>
                <w:rFonts w:ascii="Calibri" w:hAnsi="Calibri" w:eastAsia="Calibri" w:cs="Calibri"/>
                <w:color w:val="000000"/>
                <w:sz w:val="19"/>
                <w:szCs w:val="19"/>
              </w:rPr>
              <w:t>Generic legal clauses used in supplier contracts.</w:t>
            </w:r>
          </w:p>
        </w:tc>
        <w:tc>
          <w:tcPr>
            <w:tcW w:w="4700" w:type="dxa"/>
            <w:tcMar>
              <w:top w:w="60" w:type="dxa"/>
              <w:left w:w="80" w:type="dxa"/>
              <w:bottom w:w="60" w:type="dxa"/>
              <w:right w:w="80" w:type="dxa"/>
            </w:tcMar>
            <w:vAlign w:val="center"/>
          </w:tcPr>
          <w:p w14:paraId="2B4E4FD7">
            <w:pPr>
              <w:jc w:val="center"/>
            </w:pPr>
            <w:r>
              <w:rPr>
                <w:rFonts w:ascii="Calibri" w:hAnsi="Calibri" w:eastAsia="Calibri" w:cs="Calibri"/>
                <w:color w:val="000000"/>
                <w:sz w:val="19"/>
                <w:szCs w:val="19"/>
              </w:rPr>
              <w:t>No defined security SLAs in agreements.</w:t>
            </w:r>
          </w:p>
        </w:tc>
        <w:tc>
          <w:tcPr>
            <w:tcW w:w="1000" w:type="dxa"/>
            <w:tcMar>
              <w:top w:w="60" w:type="dxa"/>
              <w:left w:w="80" w:type="dxa"/>
              <w:bottom w:w="60" w:type="dxa"/>
              <w:right w:w="80" w:type="dxa"/>
            </w:tcMar>
            <w:vAlign w:val="center"/>
          </w:tcPr>
          <w:p w14:paraId="71B6C3B3">
            <w:pPr>
              <w:jc w:val="center"/>
            </w:pPr>
            <w:r>
              <w:rPr>
                <w:rFonts w:ascii="Calibri" w:hAnsi="Calibri" w:eastAsia="Calibri" w:cs="Calibri"/>
                <w:b/>
                <w:bCs/>
                <w:color w:val="C00000"/>
                <w:sz w:val="19"/>
                <w:szCs w:val="19"/>
              </w:rPr>
              <w:t>High</w:t>
            </w:r>
          </w:p>
        </w:tc>
      </w:tr>
      <w:tr w14:paraId="7B657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2358F299">
            <w:pPr>
              <w:jc w:val="center"/>
            </w:pPr>
            <w:r>
              <w:rPr>
                <w:rFonts w:ascii="Calibri" w:hAnsi="Calibri" w:eastAsia="Calibri" w:cs="Calibri"/>
                <w:color w:val="000000"/>
                <w:sz w:val="19"/>
                <w:szCs w:val="19"/>
              </w:rPr>
              <w:t>5.21</w:t>
            </w:r>
          </w:p>
        </w:tc>
        <w:tc>
          <w:tcPr>
            <w:tcW w:w="3300" w:type="dxa"/>
            <w:tcMar>
              <w:top w:w="60" w:type="dxa"/>
              <w:left w:w="80" w:type="dxa"/>
              <w:bottom w:w="60" w:type="dxa"/>
              <w:right w:w="80" w:type="dxa"/>
            </w:tcMar>
            <w:vAlign w:val="center"/>
          </w:tcPr>
          <w:p w14:paraId="0B320214">
            <w:pPr>
              <w:jc w:val="center"/>
            </w:pPr>
            <w:r>
              <w:rPr>
                <w:rFonts w:ascii="Calibri" w:hAnsi="Calibri" w:eastAsia="Calibri" w:cs="Calibri"/>
                <w:color w:val="000000"/>
                <w:sz w:val="19"/>
                <w:szCs w:val="19"/>
              </w:rPr>
              <w:t>Managing information security in the ICT supply chain</w:t>
            </w:r>
          </w:p>
        </w:tc>
        <w:tc>
          <w:tcPr>
            <w:tcW w:w="4700" w:type="dxa"/>
            <w:tcMar>
              <w:top w:w="60" w:type="dxa"/>
              <w:left w:w="80" w:type="dxa"/>
              <w:bottom w:w="60" w:type="dxa"/>
              <w:right w:w="80" w:type="dxa"/>
            </w:tcMar>
            <w:vAlign w:val="center"/>
          </w:tcPr>
          <w:p w14:paraId="105A3994">
            <w:pPr>
              <w:jc w:val="center"/>
            </w:pPr>
            <w:r>
              <w:rPr>
                <w:rFonts w:ascii="Calibri" w:hAnsi="Calibri" w:eastAsia="Calibri" w:cs="Calibri"/>
                <w:color w:val="000000"/>
                <w:sz w:val="19"/>
                <w:szCs w:val="19"/>
              </w:rPr>
              <w:t>Vendors selected mainly on cost and functionality.</w:t>
            </w:r>
          </w:p>
        </w:tc>
        <w:tc>
          <w:tcPr>
            <w:tcW w:w="4700" w:type="dxa"/>
            <w:tcMar>
              <w:top w:w="60" w:type="dxa"/>
              <w:left w:w="80" w:type="dxa"/>
              <w:bottom w:w="60" w:type="dxa"/>
              <w:right w:w="80" w:type="dxa"/>
            </w:tcMar>
            <w:vAlign w:val="center"/>
          </w:tcPr>
          <w:p w14:paraId="672C9154">
            <w:pPr>
              <w:jc w:val="center"/>
            </w:pPr>
            <w:r>
              <w:rPr>
                <w:rFonts w:ascii="Calibri" w:hAnsi="Calibri" w:eastAsia="Calibri" w:cs="Calibri"/>
                <w:color w:val="000000"/>
                <w:sz w:val="19"/>
                <w:szCs w:val="19"/>
              </w:rPr>
              <w:t>No supply chain risk review process.</w:t>
            </w:r>
          </w:p>
        </w:tc>
        <w:tc>
          <w:tcPr>
            <w:tcW w:w="1000" w:type="dxa"/>
            <w:tcMar>
              <w:top w:w="60" w:type="dxa"/>
              <w:left w:w="80" w:type="dxa"/>
              <w:bottom w:w="60" w:type="dxa"/>
              <w:right w:w="80" w:type="dxa"/>
            </w:tcMar>
            <w:vAlign w:val="center"/>
          </w:tcPr>
          <w:p w14:paraId="121AC26D">
            <w:pPr>
              <w:jc w:val="center"/>
            </w:pPr>
            <w:r>
              <w:rPr>
                <w:rFonts w:ascii="Calibri" w:hAnsi="Calibri" w:eastAsia="Calibri" w:cs="Calibri"/>
                <w:b/>
                <w:bCs/>
                <w:color w:val="9C6500"/>
                <w:sz w:val="19"/>
                <w:szCs w:val="19"/>
              </w:rPr>
              <w:t>Medium</w:t>
            </w:r>
          </w:p>
        </w:tc>
      </w:tr>
      <w:tr w14:paraId="6168D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5350E6AB">
            <w:pPr>
              <w:jc w:val="center"/>
            </w:pPr>
            <w:r>
              <w:rPr>
                <w:rFonts w:ascii="Calibri" w:hAnsi="Calibri" w:eastAsia="Calibri" w:cs="Calibri"/>
                <w:color w:val="000000"/>
                <w:sz w:val="19"/>
                <w:szCs w:val="19"/>
              </w:rPr>
              <w:t>5.22</w:t>
            </w:r>
          </w:p>
        </w:tc>
        <w:tc>
          <w:tcPr>
            <w:tcW w:w="3300" w:type="dxa"/>
            <w:tcMar>
              <w:top w:w="60" w:type="dxa"/>
              <w:left w:w="80" w:type="dxa"/>
              <w:bottom w:w="60" w:type="dxa"/>
              <w:right w:w="80" w:type="dxa"/>
            </w:tcMar>
            <w:vAlign w:val="center"/>
          </w:tcPr>
          <w:p w14:paraId="0EC5B284">
            <w:pPr>
              <w:jc w:val="center"/>
            </w:pPr>
            <w:r>
              <w:rPr>
                <w:rFonts w:ascii="Calibri" w:hAnsi="Calibri" w:eastAsia="Calibri" w:cs="Calibri"/>
                <w:color w:val="000000"/>
                <w:sz w:val="19"/>
                <w:szCs w:val="19"/>
              </w:rPr>
              <w:t>Monitoring, review and change management of supplier services</w:t>
            </w:r>
          </w:p>
        </w:tc>
        <w:tc>
          <w:tcPr>
            <w:tcW w:w="4700" w:type="dxa"/>
            <w:tcMar>
              <w:top w:w="60" w:type="dxa"/>
              <w:left w:w="80" w:type="dxa"/>
              <w:bottom w:w="60" w:type="dxa"/>
              <w:right w:w="80" w:type="dxa"/>
            </w:tcMar>
            <w:vAlign w:val="center"/>
          </w:tcPr>
          <w:p w14:paraId="1231ED0F">
            <w:pPr>
              <w:jc w:val="center"/>
            </w:pPr>
            <w:r>
              <w:rPr>
                <w:rFonts w:ascii="Calibri" w:hAnsi="Calibri" w:eastAsia="Calibri" w:cs="Calibri"/>
                <w:color w:val="000000"/>
                <w:sz w:val="19"/>
                <w:szCs w:val="19"/>
              </w:rPr>
              <w:t>Informal check-ins with key vendors.</w:t>
            </w:r>
          </w:p>
        </w:tc>
        <w:tc>
          <w:tcPr>
            <w:tcW w:w="4700" w:type="dxa"/>
            <w:tcMar>
              <w:top w:w="60" w:type="dxa"/>
              <w:left w:w="80" w:type="dxa"/>
              <w:bottom w:w="60" w:type="dxa"/>
              <w:right w:w="80" w:type="dxa"/>
            </w:tcMar>
            <w:vAlign w:val="center"/>
          </w:tcPr>
          <w:p w14:paraId="62F90A4B">
            <w:pPr>
              <w:jc w:val="center"/>
            </w:pPr>
            <w:r>
              <w:rPr>
                <w:rFonts w:ascii="Calibri" w:hAnsi="Calibri" w:eastAsia="Calibri" w:cs="Calibri"/>
                <w:color w:val="000000"/>
                <w:sz w:val="19"/>
                <w:szCs w:val="19"/>
              </w:rPr>
              <w:t>No structured supplier performance/security audits.</w:t>
            </w:r>
          </w:p>
        </w:tc>
        <w:tc>
          <w:tcPr>
            <w:tcW w:w="1000" w:type="dxa"/>
            <w:tcMar>
              <w:top w:w="60" w:type="dxa"/>
              <w:left w:w="80" w:type="dxa"/>
              <w:bottom w:w="60" w:type="dxa"/>
              <w:right w:w="80" w:type="dxa"/>
            </w:tcMar>
            <w:vAlign w:val="center"/>
          </w:tcPr>
          <w:p w14:paraId="4E5C7E11">
            <w:pPr>
              <w:jc w:val="center"/>
            </w:pPr>
            <w:r>
              <w:rPr>
                <w:rFonts w:ascii="Calibri" w:hAnsi="Calibri" w:eastAsia="Calibri" w:cs="Calibri"/>
                <w:b/>
                <w:bCs/>
                <w:color w:val="9C6500"/>
                <w:sz w:val="19"/>
                <w:szCs w:val="19"/>
              </w:rPr>
              <w:t>Medium</w:t>
            </w:r>
          </w:p>
        </w:tc>
      </w:tr>
      <w:tr w14:paraId="3FC12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14D918C2">
            <w:pPr>
              <w:jc w:val="center"/>
            </w:pPr>
            <w:r>
              <w:rPr>
                <w:rFonts w:ascii="Calibri" w:hAnsi="Calibri" w:eastAsia="Calibri" w:cs="Calibri"/>
                <w:color w:val="000000"/>
                <w:sz w:val="19"/>
                <w:szCs w:val="19"/>
              </w:rPr>
              <w:t>5.23</w:t>
            </w:r>
          </w:p>
        </w:tc>
        <w:tc>
          <w:tcPr>
            <w:tcW w:w="3300" w:type="dxa"/>
            <w:tcMar>
              <w:top w:w="60" w:type="dxa"/>
              <w:left w:w="80" w:type="dxa"/>
              <w:bottom w:w="60" w:type="dxa"/>
              <w:right w:w="80" w:type="dxa"/>
            </w:tcMar>
            <w:vAlign w:val="center"/>
          </w:tcPr>
          <w:p w14:paraId="136DEADA">
            <w:pPr>
              <w:jc w:val="center"/>
            </w:pPr>
            <w:r>
              <w:rPr>
                <w:rFonts w:ascii="Calibri" w:hAnsi="Calibri" w:eastAsia="Calibri" w:cs="Calibri"/>
                <w:color w:val="000000"/>
                <w:sz w:val="19"/>
                <w:szCs w:val="19"/>
              </w:rPr>
              <w:t>Information security for use of cloud services</w:t>
            </w:r>
          </w:p>
        </w:tc>
        <w:tc>
          <w:tcPr>
            <w:tcW w:w="4700" w:type="dxa"/>
            <w:tcMar>
              <w:top w:w="60" w:type="dxa"/>
              <w:left w:w="80" w:type="dxa"/>
              <w:bottom w:w="60" w:type="dxa"/>
              <w:right w:w="80" w:type="dxa"/>
            </w:tcMar>
            <w:vAlign w:val="center"/>
          </w:tcPr>
          <w:p w14:paraId="51AF2577">
            <w:pPr>
              <w:jc w:val="center"/>
            </w:pPr>
            <w:r>
              <w:rPr>
                <w:rFonts w:ascii="Calibri" w:hAnsi="Calibri" w:eastAsia="Calibri" w:cs="Calibri"/>
                <w:color w:val="000000"/>
                <w:sz w:val="19"/>
                <w:szCs w:val="19"/>
              </w:rPr>
              <w:t>Some analytics and BI workloads run in the cloud.</w:t>
            </w:r>
          </w:p>
        </w:tc>
        <w:tc>
          <w:tcPr>
            <w:tcW w:w="4700" w:type="dxa"/>
            <w:tcMar>
              <w:top w:w="60" w:type="dxa"/>
              <w:left w:w="80" w:type="dxa"/>
              <w:bottom w:w="60" w:type="dxa"/>
              <w:right w:w="80" w:type="dxa"/>
            </w:tcMar>
            <w:vAlign w:val="center"/>
          </w:tcPr>
          <w:p w14:paraId="1699F54B">
            <w:pPr>
              <w:jc w:val="center"/>
            </w:pPr>
            <w:r>
              <w:rPr>
                <w:rFonts w:ascii="Calibri" w:hAnsi="Calibri" w:eastAsia="Calibri" w:cs="Calibri"/>
                <w:color w:val="000000"/>
                <w:sz w:val="19"/>
                <w:szCs w:val="19"/>
              </w:rPr>
              <w:t>No formal cloud security policy or checklist.</w:t>
            </w:r>
          </w:p>
        </w:tc>
        <w:tc>
          <w:tcPr>
            <w:tcW w:w="1000" w:type="dxa"/>
            <w:tcMar>
              <w:top w:w="60" w:type="dxa"/>
              <w:left w:w="80" w:type="dxa"/>
              <w:bottom w:w="60" w:type="dxa"/>
              <w:right w:w="80" w:type="dxa"/>
            </w:tcMar>
            <w:vAlign w:val="center"/>
          </w:tcPr>
          <w:p w14:paraId="4E360155">
            <w:pPr>
              <w:jc w:val="center"/>
            </w:pPr>
            <w:r>
              <w:rPr>
                <w:rFonts w:ascii="Calibri" w:hAnsi="Calibri" w:eastAsia="Calibri" w:cs="Calibri"/>
                <w:b/>
                <w:bCs/>
                <w:color w:val="C00000"/>
                <w:sz w:val="19"/>
                <w:szCs w:val="19"/>
              </w:rPr>
              <w:t>High</w:t>
            </w:r>
          </w:p>
        </w:tc>
      </w:tr>
      <w:tr w14:paraId="0D09D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37A290E5">
            <w:pPr>
              <w:jc w:val="center"/>
            </w:pPr>
            <w:r>
              <w:rPr>
                <w:rFonts w:ascii="Calibri" w:hAnsi="Calibri" w:eastAsia="Calibri" w:cs="Calibri"/>
                <w:color w:val="000000"/>
                <w:sz w:val="19"/>
                <w:szCs w:val="19"/>
              </w:rPr>
              <w:t>5.24</w:t>
            </w:r>
          </w:p>
        </w:tc>
        <w:tc>
          <w:tcPr>
            <w:tcW w:w="3300" w:type="dxa"/>
            <w:tcMar>
              <w:top w:w="60" w:type="dxa"/>
              <w:left w:w="80" w:type="dxa"/>
              <w:bottom w:w="60" w:type="dxa"/>
              <w:right w:w="80" w:type="dxa"/>
            </w:tcMar>
            <w:vAlign w:val="center"/>
          </w:tcPr>
          <w:p w14:paraId="68C413E4">
            <w:pPr>
              <w:jc w:val="center"/>
            </w:pPr>
            <w:r>
              <w:rPr>
                <w:rFonts w:ascii="Calibri" w:hAnsi="Calibri" w:eastAsia="Calibri" w:cs="Calibri"/>
                <w:color w:val="000000"/>
                <w:sz w:val="19"/>
                <w:szCs w:val="19"/>
              </w:rPr>
              <w:t>Information security incident management planning and preparation</w:t>
            </w:r>
          </w:p>
        </w:tc>
        <w:tc>
          <w:tcPr>
            <w:tcW w:w="4700" w:type="dxa"/>
            <w:tcMar>
              <w:top w:w="60" w:type="dxa"/>
              <w:left w:w="80" w:type="dxa"/>
              <w:bottom w:w="60" w:type="dxa"/>
              <w:right w:w="80" w:type="dxa"/>
            </w:tcMar>
            <w:vAlign w:val="center"/>
          </w:tcPr>
          <w:p w14:paraId="43E4470A">
            <w:pPr>
              <w:jc w:val="center"/>
            </w:pPr>
            <w:r>
              <w:rPr>
                <w:rFonts w:ascii="Calibri" w:hAnsi="Calibri" w:eastAsia="Calibri" w:cs="Calibri"/>
                <w:color w:val="000000"/>
                <w:sz w:val="19"/>
                <w:szCs w:val="19"/>
              </w:rPr>
              <w:t>Basic incident response plan exists for fraud events.</w:t>
            </w:r>
          </w:p>
        </w:tc>
        <w:tc>
          <w:tcPr>
            <w:tcW w:w="4700" w:type="dxa"/>
            <w:tcMar>
              <w:top w:w="60" w:type="dxa"/>
              <w:left w:w="80" w:type="dxa"/>
              <w:bottom w:w="60" w:type="dxa"/>
              <w:right w:w="80" w:type="dxa"/>
            </w:tcMar>
            <w:vAlign w:val="center"/>
          </w:tcPr>
          <w:p w14:paraId="6DFF7B0C">
            <w:pPr>
              <w:jc w:val="center"/>
            </w:pPr>
            <w:r>
              <w:rPr>
                <w:rFonts w:ascii="Calibri" w:hAnsi="Calibri" w:eastAsia="Calibri" w:cs="Calibri"/>
                <w:color w:val="000000"/>
                <w:sz w:val="19"/>
                <w:szCs w:val="19"/>
              </w:rPr>
              <w:t>Plan not tested organization-wide.</w:t>
            </w:r>
          </w:p>
        </w:tc>
        <w:tc>
          <w:tcPr>
            <w:tcW w:w="1000" w:type="dxa"/>
            <w:tcMar>
              <w:top w:w="60" w:type="dxa"/>
              <w:left w:w="80" w:type="dxa"/>
              <w:bottom w:w="60" w:type="dxa"/>
              <w:right w:w="80" w:type="dxa"/>
            </w:tcMar>
            <w:vAlign w:val="center"/>
          </w:tcPr>
          <w:p w14:paraId="07FA02F8">
            <w:pPr>
              <w:jc w:val="center"/>
            </w:pPr>
            <w:r>
              <w:rPr>
                <w:rFonts w:ascii="Calibri" w:hAnsi="Calibri" w:eastAsia="Calibri" w:cs="Calibri"/>
                <w:b/>
                <w:bCs/>
                <w:color w:val="C00000"/>
                <w:sz w:val="19"/>
                <w:szCs w:val="19"/>
              </w:rPr>
              <w:t>High</w:t>
            </w:r>
          </w:p>
        </w:tc>
      </w:tr>
      <w:tr w14:paraId="34B52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64971DD4">
            <w:pPr>
              <w:jc w:val="center"/>
            </w:pPr>
            <w:r>
              <w:rPr>
                <w:rFonts w:ascii="Calibri" w:hAnsi="Calibri" w:eastAsia="Calibri" w:cs="Calibri"/>
                <w:color w:val="000000"/>
                <w:sz w:val="19"/>
                <w:szCs w:val="19"/>
              </w:rPr>
              <w:t>5.25</w:t>
            </w:r>
          </w:p>
        </w:tc>
        <w:tc>
          <w:tcPr>
            <w:tcW w:w="3300" w:type="dxa"/>
            <w:tcMar>
              <w:top w:w="60" w:type="dxa"/>
              <w:left w:w="80" w:type="dxa"/>
              <w:bottom w:w="60" w:type="dxa"/>
              <w:right w:w="80" w:type="dxa"/>
            </w:tcMar>
            <w:vAlign w:val="center"/>
          </w:tcPr>
          <w:p w14:paraId="073A84B2">
            <w:pPr>
              <w:jc w:val="center"/>
            </w:pPr>
            <w:r>
              <w:rPr>
                <w:rFonts w:ascii="Calibri" w:hAnsi="Calibri" w:eastAsia="Calibri" w:cs="Calibri"/>
                <w:color w:val="000000"/>
                <w:sz w:val="19"/>
                <w:szCs w:val="19"/>
              </w:rPr>
              <w:t>Assessment and decision on information security events</w:t>
            </w:r>
          </w:p>
        </w:tc>
        <w:tc>
          <w:tcPr>
            <w:tcW w:w="4700" w:type="dxa"/>
            <w:tcMar>
              <w:top w:w="60" w:type="dxa"/>
              <w:left w:w="80" w:type="dxa"/>
              <w:bottom w:w="60" w:type="dxa"/>
              <w:right w:w="80" w:type="dxa"/>
            </w:tcMar>
            <w:vAlign w:val="center"/>
          </w:tcPr>
          <w:p w14:paraId="4C6F8EE3">
            <w:pPr>
              <w:jc w:val="center"/>
            </w:pPr>
            <w:r>
              <w:rPr>
                <w:rFonts w:ascii="Calibri" w:hAnsi="Calibri" w:eastAsia="Calibri" w:cs="Calibri"/>
                <w:color w:val="000000"/>
                <w:sz w:val="19"/>
                <w:szCs w:val="19"/>
              </w:rPr>
              <w:t>SOC triages alerts generated by SIEM.</w:t>
            </w:r>
          </w:p>
        </w:tc>
        <w:tc>
          <w:tcPr>
            <w:tcW w:w="4700" w:type="dxa"/>
            <w:tcMar>
              <w:top w:w="60" w:type="dxa"/>
              <w:left w:w="80" w:type="dxa"/>
              <w:bottom w:w="60" w:type="dxa"/>
              <w:right w:w="80" w:type="dxa"/>
            </w:tcMar>
            <w:vAlign w:val="center"/>
          </w:tcPr>
          <w:p w14:paraId="60812E1D">
            <w:pPr>
              <w:jc w:val="center"/>
            </w:pPr>
            <w:r>
              <w:rPr>
                <w:rFonts w:ascii="Calibri" w:hAnsi="Calibri" w:eastAsia="Calibri" w:cs="Calibri"/>
                <w:color w:val="000000"/>
                <w:sz w:val="19"/>
                <w:szCs w:val="19"/>
              </w:rPr>
              <w:t>No formal severity classification matrix.</w:t>
            </w:r>
          </w:p>
        </w:tc>
        <w:tc>
          <w:tcPr>
            <w:tcW w:w="1000" w:type="dxa"/>
            <w:tcMar>
              <w:top w:w="60" w:type="dxa"/>
              <w:left w:w="80" w:type="dxa"/>
              <w:bottom w:w="60" w:type="dxa"/>
              <w:right w:w="80" w:type="dxa"/>
            </w:tcMar>
            <w:vAlign w:val="center"/>
          </w:tcPr>
          <w:p w14:paraId="1AECA346">
            <w:pPr>
              <w:jc w:val="center"/>
            </w:pPr>
            <w:r>
              <w:rPr>
                <w:rFonts w:ascii="Calibri" w:hAnsi="Calibri" w:eastAsia="Calibri" w:cs="Calibri"/>
                <w:b/>
                <w:bCs/>
                <w:color w:val="9C6500"/>
                <w:sz w:val="19"/>
                <w:szCs w:val="19"/>
              </w:rPr>
              <w:t>Medium</w:t>
            </w:r>
          </w:p>
        </w:tc>
      </w:tr>
      <w:tr w14:paraId="7AF10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716B2CAD">
            <w:pPr>
              <w:jc w:val="center"/>
            </w:pPr>
            <w:r>
              <w:rPr>
                <w:rFonts w:ascii="Calibri" w:hAnsi="Calibri" w:eastAsia="Calibri" w:cs="Calibri"/>
                <w:color w:val="000000"/>
                <w:sz w:val="19"/>
                <w:szCs w:val="19"/>
              </w:rPr>
              <w:t>5.26</w:t>
            </w:r>
          </w:p>
        </w:tc>
        <w:tc>
          <w:tcPr>
            <w:tcW w:w="3300" w:type="dxa"/>
            <w:tcMar>
              <w:top w:w="60" w:type="dxa"/>
              <w:left w:w="80" w:type="dxa"/>
              <w:bottom w:w="60" w:type="dxa"/>
              <w:right w:w="80" w:type="dxa"/>
            </w:tcMar>
            <w:vAlign w:val="center"/>
          </w:tcPr>
          <w:p w14:paraId="5B6893E9">
            <w:pPr>
              <w:jc w:val="center"/>
            </w:pPr>
            <w:r>
              <w:rPr>
                <w:rFonts w:ascii="Calibri" w:hAnsi="Calibri" w:eastAsia="Calibri" w:cs="Calibri"/>
                <w:color w:val="000000"/>
                <w:sz w:val="19"/>
                <w:szCs w:val="19"/>
              </w:rPr>
              <w:t>Response to information security incidents</w:t>
            </w:r>
          </w:p>
        </w:tc>
        <w:tc>
          <w:tcPr>
            <w:tcW w:w="4700" w:type="dxa"/>
            <w:tcMar>
              <w:top w:w="60" w:type="dxa"/>
              <w:left w:w="80" w:type="dxa"/>
              <w:bottom w:w="60" w:type="dxa"/>
              <w:right w:w="80" w:type="dxa"/>
            </w:tcMar>
            <w:vAlign w:val="center"/>
          </w:tcPr>
          <w:p w14:paraId="64340E82">
            <w:pPr>
              <w:jc w:val="center"/>
            </w:pPr>
            <w:r>
              <w:rPr>
                <w:rFonts w:ascii="Calibri" w:hAnsi="Calibri" w:eastAsia="Calibri" w:cs="Calibri"/>
                <w:color w:val="000000"/>
                <w:sz w:val="19"/>
                <w:szCs w:val="19"/>
              </w:rPr>
              <w:t>Ad hoc response coordinated by IT and security team.</w:t>
            </w:r>
          </w:p>
        </w:tc>
        <w:tc>
          <w:tcPr>
            <w:tcW w:w="4700" w:type="dxa"/>
            <w:tcMar>
              <w:top w:w="60" w:type="dxa"/>
              <w:left w:w="80" w:type="dxa"/>
              <w:bottom w:w="60" w:type="dxa"/>
              <w:right w:w="80" w:type="dxa"/>
            </w:tcMar>
            <w:vAlign w:val="center"/>
          </w:tcPr>
          <w:p w14:paraId="1275BB2A">
            <w:pPr>
              <w:jc w:val="center"/>
            </w:pPr>
            <w:r>
              <w:rPr>
                <w:rFonts w:ascii="Calibri" w:hAnsi="Calibri" w:eastAsia="Calibri" w:cs="Calibri"/>
                <w:color w:val="000000"/>
                <w:sz w:val="19"/>
                <w:szCs w:val="19"/>
              </w:rPr>
              <w:t>No documented playbooks per incident type.</w:t>
            </w:r>
          </w:p>
        </w:tc>
        <w:tc>
          <w:tcPr>
            <w:tcW w:w="1000" w:type="dxa"/>
            <w:tcMar>
              <w:top w:w="60" w:type="dxa"/>
              <w:left w:w="80" w:type="dxa"/>
              <w:bottom w:w="60" w:type="dxa"/>
              <w:right w:w="80" w:type="dxa"/>
            </w:tcMar>
            <w:vAlign w:val="center"/>
          </w:tcPr>
          <w:p w14:paraId="69225F6E">
            <w:pPr>
              <w:jc w:val="center"/>
            </w:pPr>
            <w:r>
              <w:rPr>
                <w:rFonts w:ascii="Calibri" w:hAnsi="Calibri" w:eastAsia="Calibri" w:cs="Calibri"/>
                <w:b/>
                <w:bCs/>
                <w:color w:val="C00000"/>
                <w:sz w:val="19"/>
                <w:szCs w:val="19"/>
              </w:rPr>
              <w:t>High</w:t>
            </w:r>
          </w:p>
        </w:tc>
      </w:tr>
      <w:tr w14:paraId="43659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2C839819">
            <w:pPr>
              <w:jc w:val="center"/>
            </w:pPr>
            <w:r>
              <w:rPr>
                <w:rFonts w:ascii="Calibri" w:hAnsi="Calibri" w:eastAsia="Calibri" w:cs="Calibri"/>
                <w:color w:val="000000"/>
                <w:sz w:val="19"/>
                <w:szCs w:val="19"/>
              </w:rPr>
              <w:t>5.27</w:t>
            </w:r>
          </w:p>
        </w:tc>
        <w:tc>
          <w:tcPr>
            <w:tcW w:w="3300" w:type="dxa"/>
            <w:tcMar>
              <w:top w:w="60" w:type="dxa"/>
              <w:left w:w="80" w:type="dxa"/>
              <w:bottom w:w="60" w:type="dxa"/>
              <w:right w:w="80" w:type="dxa"/>
            </w:tcMar>
            <w:vAlign w:val="center"/>
          </w:tcPr>
          <w:p w14:paraId="63C7DCC0">
            <w:pPr>
              <w:jc w:val="center"/>
            </w:pPr>
            <w:r>
              <w:rPr>
                <w:rFonts w:ascii="Calibri" w:hAnsi="Calibri" w:eastAsia="Calibri" w:cs="Calibri"/>
                <w:color w:val="000000"/>
                <w:sz w:val="19"/>
                <w:szCs w:val="19"/>
              </w:rPr>
              <w:t>Learning from information security incidents</w:t>
            </w:r>
          </w:p>
        </w:tc>
        <w:tc>
          <w:tcPr>
            <w:tcW w:w="4700" w:type="dxa"/>
            <w:tcMar>
              <w:top w:w="60" w:type="dxa"/>
              <w:left w:w="80" w:type="dxa"/>
              <w:bottom w:w="60" w:type="dxa"/>
              <w:right w:w="80" w:type="dxa"/>
            </w:tcMar>
            <w:vAlign w:val="center"/>
          </w:tcPr>
          <w:p w14:paraId="456D2D09">
            <w:pPr>
              <w:jc w:val="center"/>
            </w:pPr>
            <w:r>
              <w:rPr>
                <w:rFonts w:ascii="Calibri" w:hAnsi="Calibri" w:eastAsia="Calibri" w:cs="Calibri"/>
                <w:color w:val="000000"/>
                <w:sz w:val="19"/>
                <w:szCs w:val="19"/>
              </w:rPr>
              <w:t>Lessons learned not formally captured.</w:t>
            </w:r>
          </w:p>
        </w:tc>
        <w:tc>
          <w:tcPr>
            <w:tcW w:w="4700" w:type="dxa"/>
            <w:tcMar>
              <w:top w:w="60" w:type="dxa"/>
              <w:left w:w="80" w:type="dxa"/>
              <w:bottom w:w="60" w:type="dxa"/>
              <w:right w:w="80" w:type="dxa"/>
            </w:tcMar>
            <w:vAlign w:val="center"/>
          </w:tcPr>
          <w:p w14:paraId="73DD0F1E">
            <w:pPr>
              <w:jc w:val="center"/>
            </w:pPr>
            <w:r>
              <w:rPr>
                <w:rFonts w:ascii="Calibri" w:hAnsi="Calibri" w:eastAsia="Calibri" w:cs="Calibri"/>
                <w:color w:val="000000"/>
                <w:sz w:val="19"/>
                <w:szCs w:val="19"/>
              </w:rPr>
              <w:t>No structured post-incident review process.</w:t>
            </w:r>
          </w:p>
        </w:tc>
        <w:tc>
          <w:tcPr>
            <w:tcW w:w="1000" w:type="dxa"/>
            <w:tcMar>
              <w:top w:w="60" w:type="dxa"/>
              <w:left w:w="80" w:type="dxa"/>
              <w:bottom w:w="60" w:type="dxa"/>
              <w:right w:w="80" w:type="dxa"/>
            </w:tcMar>
            <w:vAlign w:val="center"/>
          </w:tcPr>
          <w:p w14:paraId="500EF1CA">
            <w:pPr>
              <w:jc w:val="center"/>
            </w:pPr>
            <w:r>
              <w:rPr>
                <w:rFonts w:ascii="Calibri" w:hAnsi="Calibri" w:eastAsia="Calibri" w:cs="Calibri"/>
                <w:b/>
                <w:bCs/>
                <w:color w:val="9C6500"/>
                <w:sz w:val="19"/>
                <w:szCs w:val="19"/>
              </w:rPr>
              <w:t>Medium</w:t>
            </w:r>
          </w:p>
        </w:tc>
      </w:tr>
      <w:tr w14:paraId="21E3E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5CC7A090">
            <w:pPr>
              <w:jc w:val="center"/>
            </w:pPr>
            <w:r>
              <w:rPr>
                <w:rFonts w:ascii="Calibri" w:hAnsi="Calibri" w:eastAsia="Calibri" w:cs="Calibri"/>
                <w:color w:val="000000"/>
                <w:sz w:val="19"/>
                <w:szCs w:val="19"/>
              </w:rPr>
              <w:t>5.28</w:t>
            </w:r>
          </w:p>
        </w:tc>
        <w:tc>
          <w:tcPr>
            <w:tcW w:w="3300" w:type="dxa"/>
            <w:tcMar>
              <w:top w:w="60" w:type="dxa"/>
              <w:left w:w="80" w:type="dxa"/>
              <w:bottom w:w="60" w:type="dxa"/>
              <w:right w:w="80" w:type="dxa"/>
            </w:tcMar>
            <w:vAlign w:val="center"/>
          </w:tcPr>
          <w:p w14:paraId="10CFB40D">
            <w:pPr>
              <w:jc w:val="center"/>
            </w:pPr>
            <w:r>
              <w:rPr>
                <w:rFonts w:ascii="Calibri" w:hAnsi="Calibri" w:eastAsia="Calibri" w:cs="Calibri"/>
                <w:color w:val="000000"/>
                <w:sz w:val="19"/>
                <w:szCs w:val="19"/>
              </w:rPr>
              <w:t>Collection of evidence</w:t>
            </w:r>
          </w:p>
        </w:tc>
        <w:tc>
          <w:tcPr>
            <w:tcW w:w="4700" w:type="dxa"/>
            <w:tcMar>
              <w:top w:w="60" w:type="dxa"/>
              <w:left w:w="80" w:type="dxa"/>
              <w:bottom w:w="60" w:type="dxa"/>
              <w:right w:w="80" w:type="dxa"/>
            </w:tcMar>
            <w:vAlign w:val="center"/>
          </w:tcPr>
          <w:p w14:paraId="5F5B831E">
            <w:pPr>
              <w:jc w:val="center"/>
            </w:pPr>
            <w:r>
              <w:rPr>
                <w:rFonts w:ascii="Calibri" w:hAnsi="Calibri" w:eastAsia="Calibri" w:cs="Calibri"/>
                <w:color w:val="000000"/>
                <w:sz w:val="19"/>
                <w:szCs w:val="19"/>
              </w:rPr>
              <w:t>Logs retained within the SIEM platform.</w:t>
            </w:r>
          </w:p>
        </w:tc>
        <w:tc>
          <w:tcPr>
            <w:tcW w:w="4700" w:type="dxa"/>
            <w:tcMar>
              <w:top w:w="60" w:type="dxa"/>
              <w:left w:w="80" w:type="dxa"/>
              <w:bottom w:w="60" w:type="dxa"/>
              <w:right w:w="80" w:type="dxa"/>
            </w:tcMar>
            <w:vAlign w:val="center"/>
          </w:tcPr>
          <w:p w14:paraId="4275CD00">
            <w:pPr>
              <w:jc w:val="center"/>
            </w:pPr>
            <w:r>
              <w:rPr>
                <w:rFonts w:ascii="Calibri" w:hAnsi="Calibri" w:eastAsia="Calibri" w:cs="Calibri"/>
                <w:color w:val="000000"/>
                <w:sz w:val="19"/>
                <w:szCs w:val="19"/>
              </w:rPr>
              <w:t>No formal forensic evidence handling procedure.</w:t>
            </w:r>
          </w:p>
        </w:tc>
        <w:tc>
          <w:tcPr>
            <w:tcW w:w="1000" w:type="dxa"/>
            <w:tcMar>
              <w:top w:w="60" w:type="dxa"/>
              <w:left w:w="80" w:type="dxa"/>
              <w:bottom w:w="60" w:type="dxa"/>
              <w:right w:w="80" w:type="dxa"/>
            </w:tcMar>
            <w:vAlign w:val="center"/>
          </w:tcPr>
          <w:p w14:paraId="5028BB19">
            <w:pPr>
              <w:jc w:val="center"/>
            </w:pPr>
            <w:r>
              <w:rPr>
                <w:rFonts w:ascii="Calibri" w:hAnsi="Calibri" w:eastAsia="Calibri" w:cs="Calibri"/>
                <w:b/>
                <w:bCs/>
                <w:color w:val="9C6500"/>
                <w:sz w:val="19"/>
                <w:szCs w:val="19"/>
              </w:rPr>
              <w:t>Medium</w:t>
            </w:r>
          </w:p>
        </w:tc>
      </w:tr>
      <w:tr w14:paraId="53D29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49FCE8BB">
            <w:pPr>
              <w:jc w:val="center"/>
            </w:pPr>
            <w:r>
              <w:rPr>
                <w:rFonts w:ascii="Calibri" w:hAnsi="Calibri" w:eastAsia="Calibri" w:cs="Calibri"/>
                <w:color w:val="000000"/>
                <w:sz w:val="19"/>
                <w:szCs w:val="19"/>
              </w:rPr>
              <w:t>5.29</w:t>
            </w:r>
          </w:p>
        </w:tc>
        <w:tc>
          <w:tcPr>
            <w:tcW w:w="3300" w:type="dxa"/>
            <w:tcMar>
              <w:top w:w="60" w:type="dxa"/>
              <w:left w:w="80" w:type="dxa"/>
              <w:bottom w:w="60" w:type="dxa"/>
              <w:right w:w="80" w:type="dxa"/>
            </w:tcMar>
            <w:vAlign w:val="center"/>
          </w:tcPr>
          <w:p w14:paraId="3520E4DB">
            <w:pPr>
              <w:jc w:val="center"/>
            </w:pPr>
            <w:r>
              <w:rPr>
                <w:rFonts w:ascii="Calibri" w:hAnsi="Calibri" w:eastAsia="Calibri" w:cs="Calibri"/>
                <w:color w:val="000000"/>
                <w:sz w:val="19"/>
                <w:szCs w:val="19"/>
              </w:rPr>
              <w:t>Information security during disruption</w:t>
            </w:r>
          </w:p>
        </w:tc>
        <w:tc>
          <w:tcPr>
            <w:tcW w:w="4700" w:type="dxa"/>
            <w:tcMar>
              <w:top w:w="60" w:type="dxa"/>
              <w:left w:w="80" w:type="dxa"/>
              <w:bottom w:w="60" w:type="dxa"/>
              <w:right w:w="80" w:type="dxa"/>
            </w:tcMar>
            <w:vAlign w:val="center"/>
          </w:tcPr>
          <w:p w14:paraId="45FFAA43">
            <w:pPr>
              <w:jc w:val="center"/>
            </w:pPr>
            <w:r>
              <w:rPr>
                <w:rFonts w:ascii="Calibri" w:hAnsi="Calibri" w:eastAsia="Calibri" w:cs="Calibri"/>
                <w:color w:val="000000"/>
                <w:sz w:val="19"/>
                <w:szCs w:val="19"/>
              </w:rPr>
              <w:t>DR site with data replication is operational.</w:t>
            </w:r>
          </w:p>
        </w:tc>
        <w:tc>
          <w:tcPr>
            <w:tcW w:w="4700" w:type="dxa"/>
            <w:tcMar>
              <w:top w:w="60" w:type="dxa"/>
              <w:left w:w="80" w:type="dxa"/>
              <w:bottom w:w="60" w:type="dxa"/>
              <w:right w:w="80" w:type="dxa"/>
            </w:tcMar>
            <w:vAlign w:val="center"/>
          </w:tcPr>
          <w:p w14:paraId="530916F3">
            <w:pPr>
              <w:jc w:val="center"/>
            </w:pPr>
            <w:r>
              <w:rPr>
                <w:rFonts w:ascii="Calibri" w:hAnsi="Calibri" w:eastAsia="Calibri" w:cs="Calibri"/>
                <w:color w:val="000000"/>
                <w:sz w:val="19"/>
                <w:szCs w:val="19"/>
              </w:rPr>
              <w:t>Security controls not validated during DR exercises.</w:t>
            </w:r>
          </w:p>
        </w:tc>
        <w:tc>
          <w:tcPr>
            <w:tcW w:w="1000" w:type="dxa"/>
            <w:tcMar>
              <w:top w:w="60" w:type="dxa"/>
              <w:left w:w="80" w:type="dxa"/>
              <w:bottom w:w="60" w:type="dxa"/>
              <w:right w:w="80" w:type="dxa"/>
            </w:tcMar>
            <w:vAlign w:val="center"/>
          </w:tcPr>
          <w:p w14:paraId="7C03524D">
            <w:pPr>
              <w:jc w:val="center"/>
            </w:pPr>
            <w:r>
              <w:rPr>
                <w:rFonts w:ascii="Calibri" w:hAnsi="Calibri" w:eastAsia="Calibri" w:cs="Calibri"/>
                <w:b/>
                <w:bCs/>
                <w:color w:val="9C6500"/>
                <w:sz w:val="19"/>
                <w:szCs w:val="19"/>
              </w:rPr>
              <w:t>Medium</w:t>
            </w:r>
          </w:p>
        </w:tc>
      </w:tr>
      <w:tr w14:paraId="5A4E5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2D8B110F">
            <w:pPr>
              <w:jc w:val="center"/>
            </w:pPr>
            <w:r>
              <w:rPr>
                <w:rFonts w:ascii="Calibri" w:hAnsi="Calibri" w:eastAsia="Calibri" w:cs="Calibri"/>
                <w:color w:val="000000"/>
                <w:sz w:val="19"/>
                <w:szCs w:val="19"/>
              </w:rPr>
              <w:t>5.30</w:t>
            </w:r>
          </w:p>
        </w:tc>
        <w:tc>
          <w:tcPr>
            <w:tcW w:w="3300" w:type="dxa"/>
            <w:tcMar>
              <w:top w:w="60" w:type="dxa"/>
              <w:left w:w="80" w:type="dxa"/>
              <w:bottom w:w="60" w:type="dxa"/>
              <w:right w:w="80" w:type="dxa"/>
            </w:tcMar>
            <w:vAlign w:val="center"/>
          </w:tcPr>
          <w:p w14:paraId="3BF20CE4">
            <w:pPr>
              <w:jc w:val="center"/>
            </w:pPr>
            <w:r>
              <w:rPr>
                <w:rFonts w:ascii="Calibri" w:hAnsi="Calibri" w:eastAsia="Calibri" w:cs="Calibri"/>
                <w:color w:val="000000"/>
                <w:sz w:val="19"/>
                <w:szCs w:val="19"/>
              </w:rPr>
              <w:t>ICT readiness for business continuity</w:t>
            </w:r>
          </w:p>
        </w:tc>
        <w:tc>
          <w:tcPr>
            <w:tcW w:w="4700" w:type="dxa"/>
            <w:tcMar>
              <w:top w:w="60" w:type="dxa"/>
              <w:left w:w="80" w:type="dxa"/>
              <w:bottom w:w="60" w:type="dxa"/>
              <w:right w:w="80" w:type="dxa"/>
            </w:tcMar>
            <w:vAlign w:val="center"/>
          </w:tcPr>
          <w:p w14:paraId="73021B26">
            <w:pPr>
              <w:jc w:val="center"/>
            </w:pPr>
            <w:r>
              <w:rPr>
                <w:rFonts w:ascii="Calibri" w:hAnsi="Calibri" w:eastAsia="Calibri" w:cs="Calibri"/>
                <w:color w:val="000000"/>
                <w:sz w:val="19"/>
                <w:szCs w:val="19"/>
              </w:rPr>
              <w:t>DR site operational for core banking systems.</w:t>
            </w:r>
          </w:p>
        </w:tc>
        <w:tc>
          <w:tcPr>
            <w:tcW w:w="4700" w:type="dxa"/>
            <w:tcMar>
              <w:top w:w="60" w:type="dxa"/>
              <w:left w:w="80" w:type="dxa"/>
              <w:bottom w:w="60" w:type="dxa"/>
              <w:right w:w="80" w:type="dxa"/>
            </w:tcMar>
            <w:vAlign w:val="center"/>
          </w:tcPr>
          <w:p w14:paraId="50D908BC">
            <w:pPr>
              <w:jc w:val="center"/>
            </w:pPr>
            <w:r>
              <w:rPr>
                <w:rFonts w:ascii="Calibri" w:hAnsi="Calibri" w:eastAsia="Calibri" w:cs="Calibri"/>
                <w:color w:val="000000"/>
                <w:sz w:val="19"/>
                <w:szCs w:val="19"/>
              </w:rPr>
              <w:t>No formal, scheduled BCP testing programme.</w:t>
            </w:r>
          </w:p>
        </w:tc>
        <w:tc>
          <w:tcPr>
            <w:tcW w:w="1000" w:type="dxa"/>
            <w:tcMar>
              <w:top w:w="60" w:type="dxa"/>
              <w:left w:w="80" w:type="dxa"/>
              <w:bottom w:w="60" w:type="dxa"/>
              <w:right w:w="80" w:type="dxa"/>
            </w:tcMar>
            <w:vAlign w:val="center"/>
          </w:tcPr>
          <w:p w14:paraId="3176F6AF">
            <w:pPr>
              <w:jc w:val="center"/>
            </w:pPr>
            <w:r>
              <w:rPr>
                <w:rFonts w:ascii="Calibri" w:hAnsi="Calibri" w:eastAsia="Calibri" w:cs="Calibri"/>
                <w:b/>
                <w:bCs/>
                <w:color w:val="9C6500"/>
                <w:sz w:val="19"/>
                <w:szCs w:val="19"/>
              </w:rPr>
              <w:t>Medium</w:t>
            </w:r>
          </w:p>
        </w:tc>
      </w:tr>
      <w:tr w14:paraId="4ACA1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375484FB">
            <w:pPr>
              <w:jc w:val="center"/>
            </w:pPr>
            <w:r>
              <w:rPr>
                <w:rFonts w:ascii="Calibri" w:hAnsi="Calibri" w:eastAsia="Calibri" w:cs="Calibri"/>
                <w:color w:val="000000"/>
                <w:sz w:val="19"/>
                <w:szCs w:val="19"/>
              </w:rPr>
              <w:t>5.31</w:t>
            </w:r>
          </w:p>
        </w:tc>
        <w:tc>
          <w:tcPr>
            <w:tcW w:w="3300" w:type="dxa"/>
            <w:tcMar>
              <w:top w:w="60" w:type="dxa"/>
              <w:left w:w="80" w:type="dxa"/>
              <w:bottom w:w="60" w:type="dxa"/>
              <w:right w:w="80" w:type="dxa"/>
            </w:tcMar>
            <w:vAlign w:val="center"/>
          </w:tcPr>
          <w:p w14:paraId="16341401">
            <w:pPr>
              <w:jc w:val="center"/>
            </w:pPr>
            <w:r>
              <w:rPr>
                <w:rFonts w:ascii="Calibri" w:hAnsi="Calibri" w:eastAsia="Calibri" w:cs="Calibri"/>
                <w:color w:val="000000"/>
                <w:sz w:val="19"/>
                <w:szCs w:val="19"/>
              </w:rPr>
              <w:t>Legal, statutory, regulatory and contractual requirements</w:t>
            </w:r>
          </w:p>
        </w:tc>
        <w:tc>
          <w:tcPr>
            <w:tcW w:w="4700" w:type="dxa"/>
            <w:tcMar>
              <w:top w:w="60" w:type="dxa"/>
              <w:left w:w="80" w:type="dxa"/>
              <w:bottom w:w="60" w:type="dxa"/>
              <w:right w:w="80" w:type="dxa"/>
            </w:tcMar>
            <w:vAlign w:val="center"/>
          </w:tcPr>
          <w:p w14:paraId="5AA333E8">
            <w:pPr>
              <w:jc w:val="center"/>
            </w:pPr>
            <w:r>
              <w:rPr>
                <w:rFonts w:ascii="Calibri" w:hAnsi="Calibri" w:eastAsia="Calibri" w:cs="Calibri"/>
                <w:color w:val="000000"/>
                <w:sz w:val="19"/>
                <w:szCs w:val="19"/>
              </w:rPr>
              <w:t>Regulatory compliance tracked for banking supervisor.</w:t>
            </w:r>
          </w:p>
        </w:tc>
        <w:tc>
          <w:tcPr>
            <w:tcW w:w="4700" w:type="dxa"/>
            <w:tcMar>
              <w:top w:w="60" w:type="dxa"/>
              <w:left w:w="80" w:type="dxa"/>
              <w:bottom w:w="60" w:type="dxa"/>
              <w:right w:w="80" w:type="dxa"/>
            </w:tcMar>
            <w:vAlign w:val="center"/>
          </w:tcPr>
          <w:p w14:paraId="6E3AF99B">
            <w:pPr>
              <w:jc w:val="center"/>
            </w:pPr>
            <w:r>
              <w:rPr>
                <w:rFonts w:ascii="Calibri" w:hAnsi="Calibri" w:eastAsia="Calibri" w:cs="Calibri"/>
                <w:color w:val="000000"/>
                <w:sz w:val="19"/>
                <w:szCs w:val="19"/>
              </w:rPr>
              <w:t>No consolidated legal register for information security.</w:t>
            </w:r>
          </w:p>
        </w:tc>
        <w:tc>
          <w:tcPr>
            <w:tcW w:w="1000" w:type="dxa"/>
            <w:tcMar>
              <w:top w:w="60" w:type="dxa"/>
              <w:left w:w="80" w:type="dxa"/>
              <w:bottom w:w="60" w:type="dxa"/>
              <w:right w:w="80" w:type="dxa"/>
            </w:tcMar>
            <w:vAlign w:val="center"/>
          </w:tcPr>
          <w:p w14:paraId="54B9DE32">
            <w:pPr>
              <w:jc w:val="center"/>
            </w:pPr>
            <w:r>
              <w:rPr>
                <w:rFonts w:ascii="Calibri" w:hAnsi="Calibri" w:eastAsia="Calibri" w:cs="Calibri"/>
                <w:b/>
                <w:bCs/>
                <w:color w:val="9C6500"/>
                <w:sz w:val="19"/>
                <w:szCs w:val="19"/>
              </w:rPr>
              <w:t>Medium</w:t>
            </w:r>
          </w:p>
        </w:tc>
      </w:tr>
      <w:tr w14:paraId="3E31E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4B7F7EED">
            <w:pPr>
              <w:jc w:val="center"/>
            </w:pPr>
            <w:r>
              <w:rPr>
                <w:rFonts w:ascii="Calibri" w:hAnsi="Calibri" w:eastAsia="Calibri" w:cs="Calibri"/>
                <w:color w:val="000000"/>
                <w:sz w:val="19"/>
                <w:szCs w:val="19"/>
              </w:rPr>
              <w:t>5.32</w:t>
            </w:r>
          </w:p>
        </w:tc>
        <w:tc>
          <w:tcPr>
            <w:tcW w:w="3300" w:type="dxa"/>
            <w:tcMar>
              <w:top w:w="60" w:type="dxa"/>
              <w:left w:w="80" w:type="dxa"/>
              <w:bottom w:w="60" w:type="dxa"/>
              <w:right w:w="80" w:type="dxa"/>
            </w:tcMar>
            <w:vAlign w:val="center"/>
          </w:tcPr>
          <w:p w14:paraId="7B3274F0">
            <w:pPr>
              <w:jc w:val="center"/>
            </w:pPr>
            <w:r>
              <w:rPr>
                <w:rFonts w:ascii="Calibri" w:hAnsi="Calibri" w:eastAsia="Calibri" w:cs="Calibri"/>
                <w:color w:val="000000"/>
                <w:sz w:val="19"/>
                <w:szCs w:val="19"/>
              </w:rPr>
              <w:t>Intellectual property rights</w:t>
            </w:r>
          </w:p>
        </w:tc>
        <w:tc>
          <w:tcPr>
            <w:tcW w:w="4700" w:type="dxa"/>
            <w:tcMar>
              <w:top w:w="60" w:type="dxa"/>
              <w:left w:w="80" w:type="dxa"/>
              <w:bottom w:w="60" w:type="dxa"/>
              <w:right w:w="80" w:type="dxa"/>
            </w:tcMar>
            <w:vAlign w:val="center"/>
          </w:tcPr>
          <w:p w14:paraId="3FC56DB6">
            <w:pPr>
              <w:jc w:val="center"/>
            </w:pPr>
            <w:r>
              <w:rPr>
                <w:rFonts w:ascii="Calibri" w:hAnsi="Calibri" w:eastAsia="Calibri" w:cs="Calibri"/>
                <w:color w:val="000000"/>
                <w:sz w:val="19"/>
                <w:szCs w:val="19"/>
              </w:rPr>
              <w:t>Software licenses tracked informally by IT.</w:t>
            </w:r>
          </w:p>
        </w:tc>
        <w:tc>
          <w:tcPr>
            <w:tcW w:w="4700" w:type="dxa"/>
            <w:tcMar>
              <w:top w:w="60" w:type="dxa"/>
              <w:left w:w="80" w:type="dxa"/>
              <w:bottom w:w="60" w:type="dxa"/>
              <w:right w:w="80" w:type="dxa"/>
            </w:tcMar>
            <w:vAlign w:val="center"/>
          </w:tcPr>
          <w:p w14:paraId="40FF390D">
            <w:pPr>
              <w:jc w:val="center"/>
            </w:pPr>
            <w:r>
              <w:rPr>
                <w:rFonts w:ascii="Calibri" w:hAnsi="Calibri" w:eastAsia="Calibri" w:cs="Calibri"/>
                <w:color w:val="000000"/>
                <w:sz w:val="19"/>
                <w:szCs w:val="19"/>
              </w:rPr>
              <w:t>No formal IP compliance register.</w:t>
            </w:r>
          </w:p>
        </w:tc>
        <w:tc>
          <w:tcPr>
            <w:tcW w:w="1000" w:type="dxa"/>
            <w:tcMar>
              <w:top w:w="60" w:type="dxa"/>
              <w:left w:w="80" w:type="dxa"/>
              <w:bottom w:w="60" w:type="dxa"/>
              <w:right w:w="80" w:type="dxa"/>
            </w:tcMar>
            <w:vAlign w:val="center"/>
          </w:tcPr>
          <w:p w14:paraId="7399EE1E">
            <w:pPr>
              <w:jc w:val="center"/>
            </w:pPr>
            <w:r>
              <w:rPr>
                <w:rFonts w:ascii="Calibri" w:hAnsi="Calibri" w:eastAsia="Calibri" w:cs="Calibri"/>
                <w:b/>
                <w:bCs/>
                <w:color w:val="375623"/>
                <w:sz w:val="19"/>
                <w:szCs w:val="19"/>
              </w:rPr>
              <w:t>Low</w:t>
            </w:r>
          </w:p>
        </w:tc>
      </w:tr>
      <w:tr w14:paraId="27263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746E76FC">
            <w:pPr>
              <w:jc w:val="center"/>
            </w:pPr>
            <w:r>
              <w:rPr>
                <w:rFonts w:ascii="Calibri" w:hAnsi="Calibri" w:eastAsia="Calibri" w:cs="Calibri"/>
                <w:color w:val="000000"/>
                <w:sz w:val="19"/>
                <w:szCs w:val="19"/>
              </w:rPr>
              <w:t>5.33</w:t>
            </w:r>
          </w:p>
        </w:tc>
        <w:tc>
          <w:tcPr>
            <w:tcW w:w="3300" w:type="dxa"/>
            <w:tcMar>
              <w:top w:w="60" w:type="dxa"/>
              <w:left w:w="80" w:type="dxa"/>
              <w:bottom w:w="60" w:type="dxa"/>
              <w:right w:w="80" w:type="dxa"/>
            </w:tcMar>
            <w:vAlign w:val="center"/>
          </w:tcPr>
          <w:p w14:paraId="72BEFC6B">
            <w:pPr>
              <w:jc w:val="center"/>
            </w:pPr>
            <w:r>
              <w:rPr>
                <w:rFonts w:ascii="Calibri" w:hAnsi="Calibri" w:eastAsia="Calibri" w:cs="Calibri"/>
                <w:color w:val="000000"/>
                <w:sz w:val="19"/>
                <w:szCs w:val="19"/>
              </w:rPr>
              <w:t>Protection of records</w:t>
            </w:r>
          </w:p>
        </w:tc>
        <w:tc>
          <w:tcPr>
            <w:tcW w:w="4700" w:type="dxa"/>
            <w:tcMar>
              <w:top w:w="60" w:type="dxa"/>
              <w:left w:w="80" w:type="dxa"/>
              <w:bottom w:w="60" w:type="dxa"/>
              <w:right w:w="80" w:type="dxa"/>
            </w:tcMar>
            <w:vAlign w:val="center"/>
          </w:tcPr>
          <w:p w14:paraId="7028FBAC">
            <w:pPr>
              <w:jc w:val="center"/>
            </w:pPr>
            <w:r>
              <w:rPr>
                <w:rFonts w:ascii="Calibri" w:hAnsi="Calibri" w:eastAsia="Calibri" w:cs="Calibri"/>
                <w:color w:val="000000"/>
                <w:sz w:val="19"/>
                <w:szCs w:val="19"/>
              </w:rPr>
              <w:t>Core banking records are regularly backed up.</w:t>
            </w:r>
          </w:p>
        </w:tc>
        <w:tc>
          <w:tcPr>
            <w:tcW w:w="4700" w:type="dxa"/>
            <w:tcMar>
              <w:top w:w="60" w:type="dxa"/>
              <w:left w:w="80" w:type="dxa"/>
              <w:bottom w:w="60" w:type="dxa"/>
              <w:right w:w="80" w:type="dxa"/>
            </w:tcMar>
            <w:vAlign w:val="center"/>
          </w:tcPr>
          <w:p w14:paraId="5BD608DD">
            <w:pPr>
              <w:jc w:val="center"/>
            </w:pPr>
            <w:r>
              <w:rPr>
                <w:rFonts w:ascii="Calibri" w:hAnsi="Calibri" w:eastAsia="Calibri" w:cs="Calibri"/>
                <w:color w:val="000000"/>
                <w:sz w:val="19"/>
                <w:szCs w:val="19"/>
              </w:rPr>
              <w:t>Records retention policy not formally defined.</w:t>
            </w:r>
          </w:p>
        </w:tc>
        <w:tc>
          <w:tcPr>
            <w:tcW w:w="1000" w:type="dxa"/>
            <w:tcMar>
              <w:top w:w="60" w:type="dxa"/>
              <w:left w:w="80" w:type="dxa"/>
              <w:bottom w:w="60" w:type="dxa"/>
              <w:right w:w="80" w:type="dxa"/>
            </w:tcMar>
            <w:vAlign w:val="center"/>
          </w:tcPr>
          <w:p w14:paraId="324968CC">
            <w:pPr>
              <w:jc w:val="center"/>
            </w:pPr>
            <w:r>
              <w:rPr>
                <w:rFonts w:ascii="Calibri" w:hAnsi="Calibri" w:eastAsia="Calibri" w:cs="Calibri"/>
                <w:b/>
                <w:bCs/>
                <w:color w:val="9C6500"/>
                <w:sz w:val="19"/>
                <w:szCs w:val="19"/>
              </w:rPr>
              <w:t>Medium</w:t>
            </w:r>
          </w:p>
        </w:tc>
      </w:tr>
      <w:tr w14:paraId="0B7D6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00DCAA96">
            <w:pPr>
              <w:jc w:val="center"/>
            </w:pPr>
            <w:r>
              <w:rPr>
                <w:rFonts w:ascii="Calibri" w:hAnsi="Calibri" w:eastAsia="Calibri" w:cs="Calibri"/>
                <w:color w:val="000000"/>
                <w:sz w:val="19"/>
                <w:szCs w:val="19"/>
              </w:rPr>
              <w:t>5.34</w:t>
            </w:r>
          </w:p>
        </w:tc>
        <w:tc>
          <w:tcPr>
            <w:tcW w:w="3300" w:type="dxa"/>
            <w:tcMar>
              <w:top w:w="60" w:type="dxa"/>
              <w:left w:w="80" w:type="dxa"/>
              <w:bottom w:w="60" w:type="dxa"/>
              <w:right w:w="80" w:type="dxa"/>
            </w:tcMar>
            <w:vAlign w:val="center"/>
          </w:tcPr>
          <w:p w14:paraId="1031C1E1">
            <w:pPr>
              <w:jc w:val="center"/>
            </w:pPr>
            <w:r>
              <w:rPr>
                <w:rFonts w:ascii="Calibri" w:hAnsi="Calibri" w:eastAsia="Calibri" w:cs="Calibri"/>
                <w:color w:val="000000"/>
                <w:sz w:val="19"/>
                <w:szCs w:val="19"/>
              </w:rPr>
              <w:t>Privacy and protection of PII</w:t>
            </w:r>
          </w:p>
        </w:tc>
        <w:tc>
          <w:tcPr>
            <w:tcW w:w="4700" w:type="dxa"/>
            <w:tcMar>
              <w:top w:w="60" w:type="dxa"/>
              <w:left w:w="80" w:type="dxa"/>
              <w:bottom w:w="60" w:type="dxa"/>
              <w:right w:w="80" w:type="dxa"/>
            </w:tcMar>
            <w:vAlign w:val="center"/>
          </w:tcPr>
          <w:p w14:paraId="3113F1CB">
            <w:pPr>
              <w:jc w:val="center"/>
            </w:pPr>
            <w:r>
              <w:rPr>
                <w:rFonts w:ascii="Calibri" w:hAnsi="Calibri" w:eastAsia="Calibri" w:cs="Calibri"/>
                <w:color w:val="000000"/>
                <w:sz w:val="19"/>
                <w:szCs w:val="19"/>
              </w:rPr>
              <w:t>KYC repository is access-controlled.</w:t>
            </w:r>
          </w:p>
        </w:tc>
        <w:tc>
          <w:tcPr>
            <w:tcW w:w="4700" w:type="dxa"/>
            <w:tcMar>
              <w:top w:w="60" w:type="dxa"/>
              <w:left w:w="80" w:type="dxa"/>
              <w:bottom w:w="60" w:type="dxa"/>
              <w:right w:w="80" w:type="dxa"/>
            </w:tcMar>
            <w:vAlign w:val="center"/>
          </w:tcPr>
          <w:p w14:paraId="091B9F97">
            <w:pPr>
              <w:jc w:val="center"/>
            </w:pPr>
            <w:r>
              <w:rPr>
                <w:rFonts w:ascii="Calibri" w:hAnsi="Calibri" w:eastAsia="Calibri" w:cs="Calibri"/>
                <w:color w:val="000000"/>
                <w:sz w:val="19"/>
                <w:szCs w:val="19"/>
              </w:rPr>
              <w:t>No formal privacy / data protection policy.</w:t>
            </w:r>
          </w:p>
        </w:tc>
        <w:tc>
          <w:tcPr>
            <w:tcW w:w="1000" w:type="dxa"/>
            <w:tcMar>
              <w:top w:w="60" w:type="dxa"/>
              <w:left w:w="80" w:type="dxa"/>
              <w:bottom w:w="60" w:type="dxa"/>
              <w:right w:w="80" w:type="dxa"/>
            </w:tcMar>
            <w:vAlign w:val="center"/>
          </w:tcPr>
          <w:p w14:paraId="5C0D1C99">
            <w:pPr>
              <w:jc w:val="center"/>
            </w:pPr>
            <w:r>
              <w:rPr>
                <w:rFonts w:ascii="Calibri" w:hAnsi="Calibri" w:eastAsia="Calibri" w:cs="Calibri"/>
                <w:b/>
                <w:bCs/>
                <w:color w:val="C00000"/>
                <w:sz w:val="19"/>
                <w:szCs w:val="19"/>
              </w:rPr>
              <w:t>High</w:t>
            </w:r>
          </w:p>
        </w:tc>
      </w:tr>
      <w:tr w14:paraId="2EC71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4D79A8A9">
            <w:pPr>
              <w:jc w:val="center"/>
            </w:pPr>
            <w:r>
              <w:rPr>
                <w:rFonts w:ascii="Calibri" w:hAnsi="Calibri" w:eastAsia="Calibri" w:cs="Calibri"/>
                <w:color w:val="000000"/>
                <w:sz w:val="19"/>
                <w:szCs w:val="19"/>
              </w:rPr>
              <w:t>5.35</w:t>
            </w:r>
          </w:p>
        </w:tc>
        <w:tc>
          <w:tcPr>
            <w:tcW w:w="3300" w:type="dxa"/>
            <w:tcMar>
              <w:top w:w="60" w:type="dxa"/>
              <w:left w:w="80" w:type="dxa"/>
              <w:bottom w:w="60" w:type="dxa"/>
              <w:right w:w="80" w:type="dxa"/>
            </w:tcMar>
            <w:vAlign w:val="center"/>
          </w:tcPr>
          <w:p w14:paraId="58EF1468">
            <w:pPr>
              <w:jc w:val="center"/>
            </w:pPr>
            <w:r>
              <w:rPr>
                <w:rFonts w:ascii="Calibri" w:hAnsi="Calibri" w:eastAsia="Calibri" w:cs="Calibri"/>
                <w:color w:val="000000"/>
                <w:sz w:val="19"/>
                <w:szCs w:val="19"/>
              </w:rPr>
              <w:t>Independent review of information security</w:t>
            </w:r>
          </w:p>
        </w:tc>
        <w:tc>
          <w:tcPr>
            <w:tcW w:w="4700" w:type="dxa"/>
            <w:tcMar>
              <w:top w:w="60" w:type="dxa"/>
              <w:left w:w="80" w:type="dxa"/>
              <w:bottom w:w="60" w:type="dxa"/>
              <w:right w:w="80" w:type="dxa"/>
            </w:tcMar>
            <w:vAlign w:val="center"/>
          </w:tcPr>
          <w:p w14:paraId="746026A2">
            <w:pPr>
              <w:jc w:val="center"/>
            </w:pPr>
            <w:r>
              <w:rPr>
                <w:rFonts w:ascii="Calibri" w:hAnsi="Calibri" w:eastAsia="Calibri" w:cs="Calibri"/>
                <w:color w:val="000000"/>
                <w:sz w:val="19"/>
                <w:szCs w:val="19"/>
              </w:rPr>
              <w:t>Internal audit reviews IT function annually.</w:t>
            </w:r>
          </w:p>
        </w:tc>
        <w:tc>
          <w:tcPr>
            <w:tcW w:w="4700" w:type="dxa"/>
            <w:tcMar>
              <w:top w:w="60" w:type="dxa"/>
              <w:left w:w="80" w:type="dxa"/>
              <w:bottom w:w="60" w:type="dxa"/>
              <w:right w:w="80" w:type="dxa"/>
            </w:tcMar>
            <w:vAlign w:val="center"/>
          </w:tcPr>
          <w:p w14:paraId="7E0DEC71">
            <w:pPr>
              <w:jc w:val="center"/>
            </w:pPr>
            <w:r>
              <w:rPr>
                <w:rFonts w:ascii="Calibri" w:hAnsi="Calibri" w:eastAsia="Calibri" w:cs="Calibri"/>
                <w:color w:val="000000"/>
                <w:sz w:val="19"/>
                <w:szCs w:val="19"/>
              </w:rPr>
              <w:t>No dedicated ISMS internal audit programme.</w:t>
            </w:r>
          </w:p>
        </w:tc>
        <w:tc>
          <w:tcPr>
            <w:tcW w:w="1000" w:type="dxa"/>
            <w:tcMar>
              <w:top w:w="60" w:type="dxa"/>
              <w:left w:w="80" w:type="dxa"/>
              <w:bottom w:w="60" w:type="dxa"/>
              <w:right w:w="80" w:type="dxa"/>
            </w:tcMar>
            <w:vAlign w:val="center"/>
          </w:tcPr>
          <w:p w14:paraId="48A9DD00">
            <w:pPr>
              <w:jc w:val="center"/>
            </w:pPr>
            <w:r>
              <w:rPr>
                <w:rFonts w:ascii="Calibri" w:hAnsi="Calibri" w:eastAsia="Calibri" w:cs="Calibri"/>
                <w:b/>
                <w:bCs/>
                <w:color w:val="C00000"/>
                <w:sz w:val="19"/>
                <w:szCs w:val="19"/>
              </w:rPr>
              <w:t>High</w:t>
            </w:r>
          </w:p>
        </w:tc>
      </w:tr>
      <w:tr w14:paraId="60357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5D89B081">
            <w:pPr>
              <w:jc w:val="center"/>
            </w:pPr>
            <w:r>
              <w:rPr>
                <w:rFonts w:ascii="Calibri" w:hAnsi="Calibri" w:eastAsia="Calibri" w:cs="Calibri"/>
                <w:color w:val="000000"/>
                <w:sz w:val="19"/>
                <w:szCs w:val="19"/>
              </w:rPr>
              <w:t>5.36</w:t>
            </w:r>
          </w:p>
        </w:tc>
        <w:tc>
          <w:tcPr>
            <w:tcW w:w="3300" w:type="dxa"/>
            <w:tcMar>
              <w:top w:w="60" w:type="dxa"/>
              <w:left w:w="80" w:type="dxa"/>
              <w:bottom w:w="60" w:type="dxa"/>
              <w:right w:w="80" w:type="dxa"/>
            </w:tcMar>
            <w:vAlign w:val="center"/>
          </w:tcPr>
          <w:p w14:paraId="6C9882D5">
            <w:pPr>
              <w:jc w:val="center"/>
            </w:pPr>
            <w:r>
              <w:rPr>
                <w:rFonts w:ascii="Calibri" w:hAnsi="Calibri" w:eastAsia="Calibri" w:cs="Calibri"/>
                <w:color w:val="000000"/>
                <w:sz w:val="19"/>
                <w:szCs w:val="19"/>
              </w:rPr>
              <w:t>Compliance with policies, rules and standards for information security</w:t>
            </w:r>
          </w:p>
        </w:tc>
        <w:tc>
          <w:tcPr>
            <w:tcW w:w="4700" w:type="dxa"/>
            <w:tcMar>
              <w:top w:w="60" w:type="dxa"/>
              <w:left w:w="80" w:type="dxa"/>
              <w:bottom w:w="60" w:type="dxa"/>
              <w:right w:w="80" w:type="dxa"/>
            </w:tcMar>
            <w:vAlign w:val="center"/>
          </w:tcPr>
          <w:p w14:paraId="48CCA400">
            <w:pPr>
              <w:jc w:val="center"/>
            </w:pPr>
            <w:r>
              <w:rPr>
                <w:rFonts w:ascii="Calibri" w:hAnsi="Calibri" w:eastAsia="Calibri" w:cs="Calibri"/>
                <w:color w:val="000000"/>
                <w:sz w:val="19"/>
                <w:szCs w:val="19"/>
              </w:rPr>
              <w:t>Compliance checked mainly during external audits.</w:t>
            </w:r>
          </w:p>
        </w:tc>
        <w:tc>
          <w:tcPr>
            <w:tcW w:w="4700" w:type="dxa"/>
            <w:tcMar>
              <w:top w:w="60" w:type="dxa"/>
              <w:left w:w="80" w:type="dxa"/>
              <w:bottom w:w="60" w:type="dxa"/>
              <w:right w:w="80" w:type="dxa"/>
            </w:tcMar>
            <w:vAlign w:val="center"/>
          </w:tcPr>
          <w:p w14:paraId="228537E1">
            <w:pPr>
              <w:jc w:val="center"/>
            </w:pPr>
            <w:r>
              <w:rPr>
                <w:rFonts w:ascii="Calibri" w:hAnsi="Calibri" w:eastAsia="Calibri" w:cs="Calibri"/>
                <w:color w:val="000000"/>
                <w:sz w:val="19"/>
                <w:szCs w:val="19"/>
              </w:rPr>
              <w:t>No continuous compliance monitoring in place.</w:t>
            </w:r>
          </w:p>
        </w:tc>
        <w:tc>
          <w:tcPr>
            <w:tcW w:w="1000" w:type="dxa"/>
            <w:tcMar>
              <w:top w:w="60" w:type="dxa"/>
              <w:left w:w="80" w:type="dxa"/>
              <w:bottom w:w="60" w:type="dxa"/>
              <w:right w:w="80" w:type="dxa"/>
            </w:tcMar>
            <w:vAlign w:val="center"/>
          </w:tcPr>
          <w:p w14:paraId="08CC1DC3">
            <w:pPr>
              <w:jc w:val="center"/>
            </w:pPr>
            <w:r>
              <w:rPr>
                <w:rFonts w:ascii="Calibri" w:hAnsi="Calibri" w:eastAsia="Calibri" w:cs="Calibri"/>
                <w:b/>
                <w:bCs/>
                <w:color w:val="9C6500"/>
                <w:sz w:val="19"/>
                <w:szCs w:val="19"/>
              </w:rPr>
              <w:t>Medium</w:t>
            </w:r>
          </w:p>
        </w:tc>
      </w:tr>
      <w:tr w14:paraId="536E1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260531A2">
            <w:pPr>
              <w:jc w:val="center"/>
            </w:pPr>
            <w:r>
              <w:rPr>
                <w:rFonts w:ascii="Calibri" w:hAnsi="Calibri" w:eastAsia="Calibri" w:cs="Calibri"/>
                <w:color w:val="000000"/>
                <w:sz w:val="19"/>
                <w:szCs w:val="19"/>
              </w:rPr>
              <w:t>5.37</w:t>
            </w:r>
          </w:p>
        </w:tc>
        <w:tc>
          <w:tcPr>
            <w:tcW w:w="3300" w:type="dxa"/>
            <w:tcMar>
              <w:top w:w="60" w:type="dxa"/>
              <w:left w:w="80" w:type="dxa"/>
              <w:bottom w:w="60" w:type="dxa"/>
              <w:right w:w="80" w:type="dxa"/>
            </w:tcMar>
            <w:vAlign w:val="center"/>
          </w:tcPr>
          <w:p w14:paraId="37C9FD7E">
            <w:pPr>
              <w:jc w:val="center"/>
            </w:pPr>
            <w:r>
              <w:rPr>
                <w:rFonts w:ascii="Calibri" w:hAnsi="Calibri" w:eastAsia="Calibri" w:cs="Calibri"/>
                <w:color w:val="000000"/>
                <w:sz w:val="19"/>
                <w:szCs w:val="19"/>
              </w:rPr>
              <w:t>Documented operating procedures</w:t>
            </w:r>
          </w:p>
        </w:tc>
        <w:tc>
          <w:tcPr>
            <w:tcW w:w="4700" w:type="dxa"/>
            <w:tcMar>
              <w:top w:w="60" w:type="dxa"/>
              <w:left w:w="80" w:type="dxa"/>
              <w:bottom w:w="60" w:type="dxa"/>
              <w:right w:w="80" w:type="dxa"/>
            </w:tcMar>
            <w:vAlign w:val="center"/>
          </w:tcPr>
          <w:p w14:paraId="1140CBFA">
            <w:pPr>
              <w:jc w:val="center"/>
            </w:pPr>
            <w:r>
              <w:rPr>
                <w:rFonts w:ascii="Calibri" w:hAnsi="Calibri" w:eastAsia="Calibri" w:cs="Calibri"/>
                <w:color w:val="000000"/>
                <w:sz w:val="19"/>
                <w:szCs w:val="19"/>
              </w:rPr>
              <w:t>Some SOPs exist for banking operations team.</w:t>
            </w:r>
          </w:p>
        </w:tc>
        <w:tc>
          <w:tcPr>
            <w:tcW w:w="4700" w:type="dxa"/>
            <w:tcMar>
              <w:top w:w="60" w:type="dxa"/>
              <w:left w:w="80" w:type="dxa"/>
              <w:bottom w:w="60" w:type="dxa"/>
              <w:right w:w="80" w:type="dxa"/>
            </w:tcMar>
            <w:vAlign w:val="center"/>
          </w:tcPr>
          <w:p w14:paraId="68EF79D8">
            <w:pPr>
              <w:jc w:val="center"/>
            </w:pPr>
            <w:r>
              <w:rPr>
                <w:rFonts w:ascii="Calibri" w:hAnsi="Calibri" w:eastAsia="Calibri" w:cs="Calibri"/>
                <w:color w:val="000000"/>
                <w:sz w:val="19"/>
                <w:szCs w:val="19"/>
              </w:rPr>
              <w:t>Not standardized across all IT functions.</w:t>
            </w:r>
          </w:p>
        </w:tc>
        <w:tc>
          <w:tcPr>
            <w:tcW w:w="1000" w:type="dxa"/>
            <w:tcMar>
              <w:top w:w="60" w:type="dxa"/>
              <w:left w:w="80" w:type="dxa"/>
              <w:bottom w:w="60" w:type="dxa"/>
              <w:right w:w="80" w:type="dxa"/>
            </w:tcMar>
            <w:vAlign w:val="center"/>
          </w:tcPr>
          <w:p w14:paraId="0A27BD4E">
            <w:pPr>
              <w:jc w:val="center"/>
            </w:pPr>
            <w:r>
              <w:rPr>
                <w:rFonts w:ascii="Calibri" w:hAnsi="Calibri" w:eastAsia="Calibri" w:cs="Calibri"/>
                <w:b/>
                <w:bCs/>
                <w:color w:val="9C6500"/>
                <w:sz w:val="19"/>
                <w:szCs w:val="19"/>
              </w:rPr>
              <w:t>Medium</w:t>
            </w:r>
          </w:p>
        </w:tc>
      </w:tr>
    </w:tbl>
    <w:p w14:paraId="116046BB">
      <w:pPr>
        <w:spacing w:after="200"/>
        <w:jc w:val="center"/>
      </w:pPr>
    </w:p>
    <w:p w14:paraId="5CD808DC">
      <w:pPr>
        <w:spacing w:before="200" w:after="100"/>
        <w:rPr>
          <w:rFonts w:ascii="Times New Roman" w:hAnsi="Times New Roman" w:eastAsia="Times New Roman" w:cs="Times New Roman"/>
          <w:b/>
          <w:bCs/>
          <w:color w:val="000000"/>
          <w:sz w:val="22"/>
          <w:szCs w:val="22"/>
        </w:rPr>
      </w:pPr>
    </w:p>
    <w:p w14:paraId="52262964">
      <w:pPr>
        <w:spacing w:before="200" w:after="100"/>
        <w:jc w:val="center"/>
      </w:pPr>
      <w:r>
        <w:rPr>
          <w:rFonts w:ascii="Times New Roman" w:hAnsi="Times New Roman" w:eastAsia="Times New Roman" w:cs="Times New Roman"/>
          <w:b/>
          <w:bCs/>
          <w:color w:val="000000"/>
          <w:sz w:val="22"/>
          <w:szCs w:val="22"/>
        </w:rPr>
        <w:t>4.2 A.6 - People Controls (8 controls)</w:t>
      </w:r>
    </w:p>
    <w:tbl>
      <w:tblPr>
        <w:tblStyle w:val="9"/>
        <w:tblW w:w="14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3300"/>
        <w:gridCol w:w="4700"/>
        <w:gridCol w:w="4700"/>
        <w:gridCol w:w="1000"/>
      </w:tblGrid>
      <w:tr w14:paraId="15D5E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900" w:type="dxa"/>
            <w:shd w:val="clear" w:color="auto" w:fill="D9D9D9"/>
            <w:tcMar>
              <w:top w:w="60" w:type="dxa"/>
              <w:left w:w="80" w:type="dxa"/>
              <w:bottom w:w="60" w:type="dxa"/>
              <w:right w:w="80" w:type="dxa"/>
            </w:tcMar>
            <w:vAlign w:val="center"/>
          </w:tcPr>
          <w:p w14:paraId="068ABF93">
            <w:pPr>
              <w:jc w:val="center"/>
            </w:pPr>
            <w:r>
              <w:rPr>
                <w:rFonts w:ascii="Calibri" w:hAnsi="Calibri" w:eastAsia="Calibri" w:cs="Calibri"/>
                <w:b/>
                <w:bCs/>
                <w:color w:val="000000"/>
                <w:sz w:val="19"/>
                <w:szCs w:val="19"/>
              </w:rPr>
              <w:t>Ref</w:t>
            </w:r>
          </w:p>
        </w:tc>
        <w:tc>
          <w:tcPr>
            <w:tcW w:w="3300" w:type="dxa"/>
            <w:shd w:val="clear" w:color="auto" w:fill="D9D9D9"/>
            <w:tcMar>
              <w:top w:w="60" w:type="dxa"/>
              <w:left w:w="80" w:type="dxa"/>
              <w:bottom w:w="60" w:type="dxa"/>
              <w:right w:w="80" w:type="dxa"/>
            </w:tcMar>
            <w:vAlign w:val="center"/>
          </w:tcPr>
          <w:p w14:paraId="5808D66F">
            <w:pPr>
              <w:jc w:val="center"/>
            </w:pPr>
            <w:r>
              <w:rPr>
                <w:rFonts w:ascii="Calibri" w:hAnsi="Calibri" w:eastAsia="Calibri" w:cs="Calibri"/>
                <w:b/>
                <w:bCs/>
                <w:color w:val="000000"/>
                <w:sz w:val="19"/>
                <w:szCs w:val="19"/>
              </w:rPr>
              <w:t>Control</w:t>
            </w:r>
          </w:p>
        </w:tc>
        <w:tc>
          <w:tcPr>
            <w:tcW w:w="4700" w:type="dxa"/>
            <w:shd w:val="clear" w:color="auto" w:fill="D9D9D9"/>
            <w:tcMar>
              <w:top w:w="60" w:type="dxa"/>
              <w:left w:w="80" w:type="dxa"/>
              <w:bottom w:w="60" w:type="dxa"/>
              <w:right w:w="80" w:type="dxa"/>
            </w:tcMar>
            <w:vAlign w:val="center"/>
          </w:tcPr>
          <w:p w14:paraId="50B4A43D">
            <w:pPr>
              <w:jc w:val="center"/>
            </w:pPr>
            <w:r>
              <w:rPr>
                <w:rFonts w:ascii="Calibri" w:hAnsi="Calibri" w:eastAsia="Calibri" w:cs="Calibri"/>
                <w:b/>
                <w:bCs/>
                <w:color w:val="000000"/>
                <w:sz w:val="19"/>
                <w:szCs w:val="19"/>
              </w:rPr>
              <w:t>Current State</w:t>
            </w:r>
          </w:p>
        </w:tc>
        <w:tc>
          <w:tcPr>
            <w:tcW w:w="4700" w:type="dxa"/>
            <w:shd w:val="clear" w:color="auto" w:fill="D9D9D9"/>
            <w:tcMar>
              <w:top w:w="60" w:type="dxa"/>
              <w:left w:w="80" w:type="dxa"/>
              <w:bottom w:w="60" w:type="dxa"/>
              <w:right w:w="80" w:type="dxa"/>
            </w:tcMar>
            <w:vAlign w:val="center"/>
          </w:tcPr>
          <w:p w14:paraId="2DD8A742">
            <w:pPr>
              <w:jc w:val="center"/>
            </w:pPr>
            <w:r>
              <w:rPr>
                <w:rFonts w:ascii="Calibri" w:hAnsi="Calibri" w:eastAsia="Calibri" w:cs="Calibri"/>
                <w:b/>
                <w:bCs/>
                <w:color w:val="000000"/>
                <w:sz w:val="19"/>
                <w:szCs w:val="19"/>
              </w:rPr>
              <w:t>Gap Identified</w:t>
            </w:r>
          </w:p>
        </w:tc>
        <w:tc>
          <w:tcPr>
            <w:tcW w:w="1000" w:type="dxa"/>
            <w:shd w:val="clear" w:color="auto" w:fill="D9D9D9"/>
            <w:tcMar>
              <w:top w:w="60" w:type="dxa"/>
              <w:left w:w="80" w:type="dxa"/>
              <w:bottom w:w="60" w:type="dxa"/>
              <w:right w:w="80" w:type="dxa"/>
            </w:tcMar>
            <w:vAlign w:val="center"/>
          </w:tcPr>
          <w:p w14:paraId="24CDF1F9">
            <w:pPr>
              <w:jc w:val="center"/>
            </w:pPr>
            <w:r>
              <w:rPr>
                <w:rFonts w:ascii="Calibri" w:hAnsi="Calibri" w:eastAsia="Calibri" w:cs="Calibri"/>
                <w:b/>
                <w:bCs/>
                <w:color w:val="000000"/>
                <w:sz w:val="19"/>
                <w:szCs w:val="19"/>
              </w:rPr>
              <w:t>Priority</w:t>
            </w:r>
          </w:p>
        </w:tc>
      </w:tr>
      <w:tr w14:paraId="7C7F5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4E06F6D8">
            <w:pPr>
              <w:jc w:val="center"/>
            </w:pPr>
            <w:r>
              <w:rPr>
                <w:rFonts w:ascii="Calibri" w:hAnsi="Calibri" w:eastAsia="Calibri" w:cs="Calibri"/>
                <w:color w:val="000000"/>
                <w:sz w:val="19"/>
                <w:szCs w:val="19"/>
              </w:rPr>
              <w:t>6.1</w:t>
            </w:r>
          </w:p>
        </w:tc>
        <w:tc>
          <w:tcPr>
            <w:tcW w:w="3300" w:type="dxa"/>
            <w:tcMar>
              <w:top w:w="60" w:type="dxa"/>
              <w:left w:w="80" w:type="dxa"/>
              <w:bottom w:w="60" w:type="dxa"/>
              <w:right w:w="80" w:type="dxa"/>
            </w:tcMar>
            <w:vAlign w:val="center"/>
          </w:tcPr>
          <w:p w14:paraId="00364CD8">
            <w:pPr>
              <w:jc w:val="center"/>
            </w:pPr>
            <w:r>
              <w:rPr>
                <w:rFonts w:ascii="Calibri" w:hAnsi="Calibri" w:eastAsia="Calibri" w:cs="Calibri"/>
                <w:color w:val="000000"/>
                <w:sz w:val="19"/>
                <w:szCs w:val="19"/>
              </w:rPr>
              <w:t>Screening</w:t>
            </w:r>
          </w:p>
        </w:tc>
        <w:tc>
          <w:tcPr>
            <w:tcW w:w="4700" w:type="dxa"/>
            <w:tcMar>
              <w:top w:w="60" w:type="dxa"/>
              <w:left w:w="80" w:type="dxa"/>
              <w:bottom w:w="60" w:type="dxa"/>
              <w:right w:w="80" w:type="dxa"/>
            </w:tcMar>
            <w:vAlign w:val="center"/>
          </w:tcPr>
          <w:p w14:paraId="1A8F36F1">
            <w:pPr>
              <w:jc w:val="center"/>
            </w:pPr>
            <w:r>
              <w:rPr>
                <w:rFonts w:ascii="Calibri" w:hAnsi="Calibri" w:eastAsia="Calibri" w:cs="Calibri"/>
                <w:color w:val="000000"/>
                <w:sz w:val="19"/>
                <w:szCs w:val="19"/>
              </w:rPr>
              <w:t>Background checks performed for new employees.</w:t>
            </w:r>
          </w:p>
        </w:tc>
        <w:tc>
          <w:tcPr>
            <w:tcW w:w="4700" w:type="dxa"/>
            <w:tcMar>
              <w:top w:w="60" w:type="dxa"/>
              <w:left w:w="80" w:type="dxa"/>
              <w:bottom w:w="60" w:type="dxa"/>
              <w:right w:w="80" w:type="dxa"/>
            </w:tcMar>
            <w:vAlign w:val="center"/>
          </w:tcPr>
          <w:p w14:paraId="101E5653">
            <w:pPr>
              <w:jc w:val="center"/>
            </w:pPr>
            <w:r>
              <w:rPr>
                <w:rFonts w:ascii="Calibri" w:hAnsi="Calibri" w:eastAsia="Calibri" w:cs="Calibri"/>
                <w:color w:val="000000"/>
                <w:sz w:val="19"/>
                <w:szCs w:val="19"/>
              </w:rPr>
              <w:t>Not extended to contractors and third-party staff.</w:t>
            </w:r>
          </w:p>
        </w:tc>
        <w:tc>
          <w:tcPr>
            <w:tcW w:w="1000" w:type="dxa"/>
            <w:tcMar>
              <w:top w:w="60" w:type="dxa"/>
              <w:left w:w="80" w:type="dxa"/>
              <w:bottom w:w="60" w:type="dxa"/>
              <w:right w:w="80" w:type="dxa"/>
            </w:tcMar>
            <w:vAlign w:val="center"/>
          </w:tcPr>
          <w:p w14:paraId="2559F84F">
            <w:pPr>
              <w:jc w:val="center"/>
            </w:pPr>
            <w:r>
              <w:rPr>
                <w:rFonts w:ascii="Calibri" w:hAnsi="Calibri" w:eastAsia="Calibri" w:cs="Calibri"/>
                <w:b/>
                <w:bCs/>
                <w:color w:val="9C6500"/>
                <w:sz w:val="19"/>
                <w:szCs w:val="19"/>
              </w:rPr>
              <w:t>Medium</w:t>
            </w:r>
          </w:p>
        </w:tc>
      </w:tr>
      <w:tr w14:paraId="17D52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10C2ADC3">
            <w:pPr>
              <w:jc w:val="center"/>
            </w:pPr>
            <w:r>
              <w:rPr>
                <w:rFonts w:ascii="Calibri" w:hAnsi="Calibri" w:eastAsia="Calibri" w:cs="Calibri"/>
                <w:color w:val="000000"/>
                <w:sz w:val="19"/>
                <w:szCs w:val="19"/>
              </w:rPr>
              <w:t>6.2</w:t>
            </w:r>
          </w:p>
        </w:tc>
        <w:tc>
          <w:tcPr>
            <w:tcW w:w="3300" w:type="dxa"/>
            <w:tcMar>
              <w:top w:w="60" w:type="dxa"/>
              <w:left w:w="80" w:type="dxa"/>
              <w:bottom w:w="60" w:type="dxa"/>
              <w:right w:w="80" w:type="dxa"/>
            </w:tcMar>
            <w:vAlign w:val="center"/>
          </w:tcPr>
          <w:p w14:paraId="2C555C80">
            <w:pPr>
              <w:jc w:val="center"/>
            </w:pPr>
            <w:r>
              <w:rPr>
                <w:rFonts w:ascii="Calibri" w:hAnsi="Calibri" w:eastAsia="Calibri" w:cs="Calibri"/>
                <w:color w:val="000000"/>
                <w:sz w:val="19"/>
                <w:szCs w:val="19"/>
              </w:rPr>
              <w:t>Terms and conditions of employment</w:t>
            </w:r>
          </w:p>
        </w:tc>
        <w:tc>
          <w:tcPr>
            <w:tcW w:w="4700" w:type="dxa"/>
            <w:tcMar>
              <w:top w:w="60" w:type="dxa"/>
              <w:left w:w="80" w:type="dxa"/>
              <w:bottom w:w="60" w:type="dxa"/>
              <w:right w:w="80" w:type="dxa"/>
            </w:tcMar>
            <w:vAlign w:val="center"/>
          </w:tcPr>
          <w:p w14:paraId="568A4C99">
            <w:pPr>
              <w:jc w:val="center"/>
            </w:pPr>
            <w:r>
              <w:rPr>
                <w:rFonts w:ascii="Calibri" w:hAnsi="Calibri" w:eastAsia="Calibri" w:cs="Calibri"/>
                <w:color w:val="000000"/>
                <w:sz w:val="19"/>
                <w:szCs w:val="19"/>
              </w:rPr>
              <w:t>Confidentiality clause included in employment contracts.</w:t>
            </w:r>
          </w:p>
        </w:tc>
        <w:tc>
          <w:tcPr>
            <w:tcW w:w="4700" w:type="dxa"/>
            <w:tcMar>
              <w:top w:w="60" w:type="dxa"/>
              <w:left w:w="80" w:type="dxa"/>
              <w:bottom w:w="60" w:type="dxa"/>
              <w:right w:w="80" w:type="dxa"/>
            </w:tcMar>
            <w:vAlign w:val="center"/>
          </w:tcPr>
          <w:p w14:paraId="45DEF6F2">
            <w:pPr>
              <w:jc w:val="center"/>
            </w:pPr>
            <w:r>
              <w:rPr>
                <w:rFonts w:ascii="Calibri" w:hAnsi="Calibri" w:eastAsia="Calibri" w:cs="Calibri"/>
                <w:color w:val="000000"/>
                <w:sz w:val="19"/>
                <w:szCs w:val="19"/>
              </w:rPr>
              <w:t>No explicit information security responsibilities clause.</w:t>
            </w:r>
          </w:p>
        </w:tc>
        <w:tc>
          <w:tcPr>
            <w:tcW w:w="1000" w:type="dxa"/>
            <w:tcMar>
              <w:top w:w="60" w:type="dxa"/>
              <w:left w:w="80" w:type="dxa"/>
              <w:bottom w:w="60" w:type="dxa"/>
              <w:right w:w="80" w:type="dxa"/>
            </w:tcMar>
            <w:vAlign w:val="center"/>
          </w:tcPr>
          <w:p w14:paraId="7849B770">
            <w:pPr>
              <w:jc w:val="center"/>
            </w:pPr>
            <w:r>
              <w:rPr>
                <w:rFonts w:ascii="Calibri" w:hAnsi="Calibri" w:eastAsia="Calibri" w:cs="Calibri"/>
                <w:b/>
                <w:bCs/>
                <w:color w:val="375623"/>
                <w:sz w:val="19"/>
                <w:szCs w:val="19"/>
              </w:rPr>
              <w:t>Low</w:t>
            </w:r>
          </w:p>
        </w:tc>
      </w:tr>
      <w:tr w14:paraId="41D47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27138D7E">
            <w:pPr>
              <w:jc w:val="center"/>
            </w:pPr>
            <w:r>
              <w:rPr>
                <w:rFonts w:ascii="Calibri" w:hAnsi="Calibri" w:eastAsia="Calibri" w:cs="Calibri"/>
                <w:color w:val="000000"/>
                <w:sz w:val="19"/>
                <w:szCs w:val="19"/>
              </w:rPr>
              <w:t>6.3</w:t>
            </w:r>
          </w:p>
        </w:tc>
        <w:tc>
          <w:tcPr>
            <w:tcW w:w="3300" w:type="dxa"/>
            <w:tcMar>
              <w:top w:w="60" w:type="dxa"/>
              <w:left w:w="80" w:type="dxa"/>
              <w:bottom w:w="60" w:type="dxa"/>
              <w:right w:w="80" w:type="dxa"/>
            </w:tcMar>
            <w:vAlign w:val="center"/>
          </w:tcPr>
          <w:p w14:paraId="6AB3E890">
            <w:pPr>
              <w:jc w:val="center"/>
            </w:pPr>
            <w:r>
              <w:rPr>
                <w:rFonts w:ascii="Calibri" w:hAnsi="Calibri" w:eastAsia="Calibri" w:cs="Calibri"/>
                <w:color w:val="000000"/>
                <w:sz w:val="19"/>
                <w:szCs w:val="19"/>
              </w:rPr>
              <w:t>Information security awareness, education and training</w:t>
            </w:r>
          </w:p>
        </w:tc>
        <w:tc>
          <w:tcPr>
            <w:tcW w:w="4700" w:type="dxa"/>
            <w:tcMar>
              <w:top w:w="60" w:type="dxa"/>
              <w:left w:w="80" w:type="dxa"/>
              <w:bottom w:w="60" w:type="dxa"/>
              <w:right w:w="80" w:type="dxa"/>
            </w:tcMar>
            <w:vAlign w:val="center"/>
          </w:tcPr>
          <w:p w14:paraId="2321D7D3">
            <w:pPr>
              <w:jc w:val="center"/>
            </w:pPr>
            <w:r>
              <w:rPr>
                <w:rFonts w:ascii="Calibri" w:hAnsi="Calibri" w:eastAsia="Calibri" w:cs="Calibri"/>
                <w:color w:val="000000"/>
                <w:sz w:val="19"/>
                <w:szCs w:val="19"/>
              </w:rPr>
              <w:t>One-time security briefing delivered at onboarding.</w:t>
            </w:r>
          </w:p>
        </w:tc>
        <w:tc>
          <w:tcPr>
            <w:tcW w:w="4700" w:type="dxa"/>
            <w:tcMar>
              <w:top w:w="60" w:type="dxa"/>
              <w:left w:w="80" w:type="dxa"/>
              <w:bottom w:w="60" w:type="dxa"/>
              <w:right w:w="80" w:type="dxa"/>
            </w:tcMar>
            <w:vAlign w:val="center"/>
          </w:tcPr>
          <w:p w14:paraId="0AF259C4">
            <w:pPr>
              <w:jc w:val="center"/>
            </w:pPr>
            <w:r>
              <w:rPr>
                <w:rFonts w:ascii="Calibri" w:hAnsi="Calibri" w:eastAsia="Calibri" w:cs="Calibri"/>
                <w:color w:val="000000"/>
                <w:sz w:val="19"/>
                <w:szCs w:val="19"/>
              </w:rPr>
              <w:t>No annual refresher training programme.</w:t>
            </w:r>
          </w:p>
        </w:tc>
        <w:tc>
          <w:tcPr>
            <w:tcW w:w="1000" w:type="dxa"/>
            <w:tcMar>
              <w:top w:w="60" w:type="dxa"/>
              <w:left w:w="80" w:type="dxa"/>
              <w:bottom w:w="60" w:type="dxa"/>
              <w:right w:w="80" w:type="dxa"/>
            </w:tcMar>
            <w:vAlign w:val="center"/>
          </w:tcPr>
          <w:p w14:paraId="1F754561">
            <w:pPr>
              <w:jc w:val="center"/>
            </w:pPr>
            <w:r>
              <w:rPr>
                <w:rFonts w:ascii="Calibri" w:hAnsi="Calibri" w:eastAsia="Calibri" w:cs="Calibri"/>
                <w:b/>
                <w:bCs/>
                <w:color w:val="C00000"/>
                <w:sz w:val="19"/>
                <w:szCs w:val="19"/>
              </w:rPr>
              <w:t>High</w:t>
            </w:r>
          </w:p>
        </w:tc>
      </w:tr>
      <w:tr w14:paraId="4CF02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531CB24B">
            <w:pPr>
              <w:jc w:val="center"/>
            </w:pPr>
            <w:r>
              <w:rPr>
                <w:rFonts w:ascii="Calibri" w:hAnsi="Calibri" w:eastAsia="Calibri" w:cs="Calibri"/>
                <w:color w:val="000000"/>
                <w:sz w:val="19"/>
                <w:szCs w:val="19"/>
              </w:rPr>
              <w:t>6.4</w:t>
            </w:r>
          </w:p>
        </w:tc>
        <w:tc>
          <w:tcPr>
            <w:tcW w:w="3300" w:type="dxa"/>
            <w:tcMar>
              <w:top w:w="60" w:type="dxa"/>
              <w:left w:w="80" w:type="dxa"/>
              <w:bottom w:w="60" w:type="dxa"/>
              <w:right w:w="80" w:type="dxa"/>
            </w:tcMar>
            <w:vAlign w:val="center"/>
          </w:tcPr>
          <w:p w14:paraId="5256A1A4">
            <w:pPr>
              <w:jc w:val="center"/>
            </w:pPr>
            <w:r>
              <w:rPr>
                <w:rFonts w:ascii="Calibri" w:hAnsi="Calibri" w:eastAsia="Calibri" w:cs="Calibri"/>
                <w:color w:val="000000"/>
                <w:sz w:val="19"/>
                <w:szCs w:val="19"/>
              </w:rPr>
              <w:t>Disciplinary process</w:t>
            </w:r>
          </w:p>
        </w:tc>
        <w:tc>
          <w:tcPr>
            <w:tcW w:w="4700" w:type="dxa"/>
            <w:tcMar>
              <w:top w:w="60" w:type="dxa"/>
              <w:left w:w="80" w:type="dxa"/>
              <w:bottom w:w="60" w:type="dxa"/>
              <w:right w:w="80" w:type="dxa"/>
            </w:tcMar>
            <w:vAlign w:val="center"/>
          </w:tcPr>
          <w:p w14:paraId="29B3446D">
            <w:pPr>
              <w:jc w:val="center"/>
            </w:pPr>
            <w:r>
              <w:rPr>
                <w:rFonts w:ascii="Calibri" w:hAnsi="Calibri" w:eastAsia="Calibri" w:cs="Calibri"/>
                <w:color w:val="000000"/>
                <w:sz w:val="19"/>
                <w:szCs w:val="19"/>
              </w:rPr>
              <w:t>General HR disciplinary policy exists.</w:t>
            </w:r>
          </w:p>
        </w:tc>
        <w:tc>
          <w:tcPr>
            <w:tcW w:w="4700" w:type="dxa"/>
            <w:tcMar>
              <w:top w:w="60" w:type="dxa"/>
              <w:left w:w="80" w:type="dxa"/>
              <w:bottom w:w="60" w:type="dxa"/>
              <w:right w:w="80" w:type="dxa"/>
            </w:tcMar>
            <w:vAlign w:val="center"/>
          </w:tcPr>
          <w:p w14:paraId="3F8B59A9">
            <w:pPr>
              <w:jc w:val="center"/>
            </w:pPr>
            <w:r>
              <w:rPr>
                <w:rFonts w:ascii="Calibri" w:hAnsi="Calibri" w:eastAsia="Calibri" w:cs="Calibri"/>
                <w:color w:val="000000"/>
                <w:sz w:val="19"/>
                <w:szCs w:val="19"/>
              </w:rPr>
              <w:t>No information-security-specific violation process.</w:t>
            </w:r>
          </w:p>
        </w:tc>
        <w:tc>
          <w:tcPr>
            <w:tcW w:w="1000" w:type="dxa"/>
            <w:tcMar>
              <w:top w:w="60" w:type="dxa"/>
              <w:left w:w="80" w:type="dxa"/>
              <w:bottom w:w="60" w:type="dxa"/>
              <w:right w:w="80" w:type="dxa"/>
            </w:tcMar>
            <w:vAlign w:val="center"/>
          </w:tcPr>
          <w:p w14:paraId="4C0A545B">
            <w:pPr>
              <w:jc w:val="center"/>
            </w:pPr>
            <w:r>
              <w:rPr>
                <w:rFonts w:ascii="Calibri" w:hAnsi="Calibri" w:eastAsia="Calibri" w:cs="Calibri"/>
                <w:b/>
                <w:bCs/>
                <w:color w:val="9C6500"/>
                <w:sz w:val="19"/>
                <w:szCs w:val="19"/>
              </w:rPr>
              <w:t>Medium</w:t>
            </w:r>
          </w:p>
        </w:tc>
      </w:tr>
      <w:tr w14:paraId="72C88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5C81BAE7">
            <w:pPr>
              <w:jc w:val="center"/>
            </w:pPr>
            <w:r>
              <w:rPr>
                <w:rFonts w:ascii="Calibri" w:hAnsi="Calibri" w:eastAsia="Calibri" w:cs="Calibri"/>
                <w:color w:val="000000"/>
                <w:sz w:val="19"/>
                <w:szCs w:val="19"/>
              </w:rPr>
              <w:t>6.5</w:t>
            </w:r>
          </w:p>
        </w:tc>
        <w:tc>
          <w:tcPr>
            <w:tcW w:w="3300" w:type="dxa"/>
            <w:tcMar>
              <w:top w:w="60" w:type="dxa"/>
              <w:left w:w="80" w:type="dxa"/>
              <w:bottom w:w="60" w:type="dxa"/>
              <w:right w:w="80" w:type="dxa"/>
            </w:tcMar>
            <w:vAlign w:val="center"/>
          </w:tcPr>
          <w:p w14:paraId="1ED64176">
            <w:pPr>
              <w:jc w:val="center"/>
            </w:pPr>
            <w:r>
              <w:rPr>
                <w:rFonts w:ascii="Calibri" w:hAnsi="Calibri" w:eastAsia="Calibri" w:cs="Calibri"/>
                <w:color w:val="000000"/>
                <w:sz w:val="19"/>
                <w:szCs w:val="19"/>
              </w:rPr>
              <w:t>Responsibilities after termination or change of employment</w:t>
            </w:r>
          </w:p>
        </w:tc>
        <w:tc>
          <w:tcPr>
            <w:tcW w:w="4700" w:type="dxa"/>
            <w:tcMar>
              <w:top w:w="60" w:type="dxa"/>
              <w:left w:w="80" w:type="dxa"/>
              <w:bottom w:w="60" w:type="dxa"/>
              <w:right w:w="80" w:type="dxa"/>
            </w:tcMar>
            <w:vAlign w:val="center"/>
          </w:tcPr>
          <w:p w14:paraId="03EA30AE">
            <w:pPr>
              <w:jc w:val="center"/>
            </w:pPr>
            <w:r>
              <w:rPr>
                <w:rFonts w:ascii="Calibri" w:hAnsi="Calibri" w:eastAsia="Calibri" w:cs="Calibri"/>
                <w:color w:val="000000"/>
                <w:sz w:val="19"/>
                <w:szCs w:val="19"/>
              </w:rPr>
              <w:t>System access revoked at staff offboarding.</w:t>
            </w:r>
          </w:p>
        </w:tc>
        <w:tc>
          <w:tcPr>
            <w:tcW w:w="4700" w:type="dxa"/>
            <w:tcMar>
              <w:top w:w="60" w:type="dxa"/>
              <w:left w:w="80" w:type="dxa"/>
              <w:bottom w:w="60" w:type="dxa"/>
              <w:right w:w="80" w:type="dxa"/>
            </w:tcMar>
            <w:vAlign w:val="center"/>
          </w:tcPr>
          <w:p w14:paraId="1387ED9A">
            <w:pPr>
              <w:jc w:val="center"/>
            </w:pPr>
            <w:r>
              <w:rPr>
                <w:rFonts w:ascii="Calibri" w:hAnsi="Calibri" w:eastAsia="Calibri" w:cs="Calibri"/>
                <w:color w:val="000000"/>
                <w:sz w:val="19"/>
                <w:szCs w:val="19"/>
              </w:rPr>
              <w:t>Timing not consistently aligned with HR exit process.</w:t>
            </w:r>
          </w:p>
        </w:tc>
        <w:tc>
          <w:tcPr>
            <w:tcW w:w="1000" w:type="dxa"/>
            <w:tcMar>
              <w:top w:w="60" w:type="dxa"/>
              <w:left w:w="80" w:type="dxa"/>
              <w:bottom w:w="60" w:type="dxa"/>
              <w:right w:w="80" w:type="dxa"/>
            </w:tcMar>
            <w:vAlign w:val="center"/>
          </w:tcPr>
          <w:p w14:paraId="2CCD9377">
            <w:pPr>
              <w:jc w:val="center"/>
            </w:pPr>
            <w:r>
              <w:rPr>
                <w:rFonts w:ascii="Calibri" w:hAnsi="Calibri" w:eastAsia="Calibri" w:cs="Calibri"/>
                <w:b/>
                <w:bCs/>
                <w:color w:val="9C6500"/>
                <w:sz w:val="19"/>
                <w:szCs w:val="19"/>
              </w:rPr>
              <w:t>Medium</w:t>
            </w:r>
          </w:p>
        </w:tc>
      </w:tr>
      <w:tr w14:paraId="39C26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7D546292">
            <w:pPr>
              <w:jc w:val="center"/>
            </w:pPr>
            <w:r>
              <w:rPr>
                <w:rFonts w:ascii="Calibri" w:hAnsi="Calibri" w:eastAsia="Calibri" w:cs="Calibri"/>
                <w:color w:val="000000"/>
                <w:sz w:val="19"/>
                <w:szCs w:val="19"/>
              </w:rPr>
              <w:t>6.6</w:t>
            </w:r>
          </w:p>
        </w:tc>
        <w:tc>
          <w:tcPr>
            <w:tcW w:w="3300" w:type="dxa"/>
            <w:tcMar>
              <w:top w:w="60" w:type="dxa"/>
              <w:left w:w="80" w:type="dxa"/>
              <w:bottom w:w="60" w:type="dxa"/>
              <w:right w:w="80" w:type="dxa"/>
            </w:tcMar>
            <w:vAlign w:val="center"/>
          </w:tcPr>
          <w:p w14:paraId="49E5826B">
            <w:pPr>
              <w:jc w:val="center"/>
            </w:pPr>
            <w:r>
              <w:rPr>
                <w:rFonts w:ascii="Calibri" w:hAnsi="Calibri" w:eastAsia="Calibri" w:cs="Calibri"/>
                <w:color w:val="000000"/>
                <w:sz w:val="19"/>
                <w:szCs w:val="19"/>
              </w:rPr>
              <w:t>Confidentiality or non-disclosure agreements</w:t>
            </w:r>
          </w:p>
        </w:tc>
        <w:tc>
          <w:tcPr>
            <w:tcW w:w="4700" w:type="dxa"/>
            <w:tcMar>
              <w:top w:w="60" w:type="dxa"/>
              <w:left w:w="80" w:type="dxa"/>
              <w:bottom w:w="60" w:type="dxa"/>
              <w:right w:w="80" w:type="dxa"/>
            </w:tcMar>
            <w:vAlign w:val="center"/>
          </w:tcPr>
          <w:p w14:paraId="58C81280">
            <w:pPr>
              <w:jc w:val="center"/>
            </w:pPr>
            <w:r>
              <w:rPr>
                <w:rFonts w:ascii="Calibri" w:hAnsi="Calibri" w:eastAsia="Calibri" w:cs="Calibri"/>
                <w:color w:val="000000"/>
                <w:sz w:val="19"/>
                <w:szCs w:val="19"/>
              </w:rPr>
              <w:t>NDA signed by all permanent staff.</w:t>
            </w:r>
          </w:p>
        </w:tc>
        <w:tc>
          <w:tcPr>
            <w:tcW w:w="4700" w:type="dxa"/>
            <w:tcMar>
              <w:top w:w="60" w:type="dxa"/>
              <w:left w:w="80" w:type="dxa"/>
              <w:bottom w:w="60" w:type="dxa"/>
              <w:right w:w="80" w:type="dxa"/>
            </w:tcMar>
            <w:vAlign w:val="center"/>
          </w:tcPr>
          <w:p w14:paraId="23436CF5">
            <w:pPr>
              <w:jc w:val="center"/>
            </w:pPr>
            <w:r>
              <w:rPr>
                <w:rFonts w:ascii="Calibri" w:hAnsi="Calibri" w:eastAsia="Calibri" w:cs="Calibri"/>
                <w:color w:val="000000"/>
                <w:sz w:val="19"/>
                <w:szCs w:val="19"/>
              </w:rPr>
              <w:t>Not consistently extended to third-party contractors.</w:t>
            </w:r>
          </w:p>
        </w:tc>
        <w:tc>
          <w:tcPr>
            <w:tcW w:w="1000" w:type="dxa"/>
            <w:tcMar>
              <w:top w:w="60" w:type="dxa"/>
              <w:left w:w="80" w:type="dxa"/>
              <w:bottom w:w="60" w:type="dxa"/>
              <w:right w:w="80" w:type="dxa"/>
            </w:tcMar>
            <w:vAlign w:val="center"/>
          </w:tcPr>
          <w:p w14:paraId="3C3D6447">
            <w:pPr>
              <w:jc w:val="center"/>
            </w:pPr>
            <w:r>
              <w:rPr>
                <w:rFonts w:ascii="Calibri" w:hAnsi="Calibri" w:eastAsia="Calibri" w:cs="Calibri"/>
                <w:b/>
                <w:bCs/>
                <w:color w:val="375623"/>
                <w:sz w:val="19"/>
                <w:szCs w:val="19"/>
              </w:rPr>
              <w:t>Low</w:t>
            </w:r>
          </w:p>
        </w:tc>
      </w:tr>
      <w:tr w14:paraId="28ED3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1D773557">
            <w:pPr>
              <w:jc w:val="center"/>
            </w:pPr>
            <w:r>
              <w:rPr>
                <w:rFonts w:ascii="Calibri" w:hAnsi="Calibri" w:eastAsia="Calibri" w:cs="Calibri"/>
                <w:color w:val="000000"/>
                <w:sz w:val="19"/>
                <w:szCs w:val="19"/>
              </w:rPr>
              <w:t>6.7</w:t>
            </w:r>
          </w:p>
        </w:tc>
        <w:tc>
          <w:tcPr>
            <w:tcW w:w="3300" w:type="dxa"/>
            <w:tcMar>
              <w:top w:w="60" w:type="dxa"/>
              <w:left w:w="80" w:type="dxa"/>
              <w:bottom w:w="60" w:type="dxa"/>
              <w:right w:w="80" w:type="dxa"/>
            </w:tcMar>
            <w:vAlign w:val="center"/>
          </w:tcPr>
          <w:p w14:paraId="7814F022">
            <w:pPr>
              <w:jc w:val="center"/>
            </w:pPr>
            <w:r>
              <w:rPr>
                <w:rFonts w:ascii="Calibri" w:hAnsi="Calibri" w:eastAsia="Calibri" w:cs="Calibri"/>
                <w:color w:val="000000"/>
                <w:sz w:val="19"/>
                <w:szCs w:val="19"/>
              </w:rPr>
              <w:t>Remote working</w:t>
            </w:r>
          </w:p>
        </w:tc>
        <w:tc>
          <w:tcPr>
            <w:tcW w:w="4700" w:type="dxa"/>
            <w:tcMar>
              <w:top w:w="60" w:type="dxa"/>
              <w:left w:w="80" w:type="dxa"/>
              <w:bottom w:w="60" w:type="dxa"/>
              <w:right w:w="80" w:type="dxa"/>
            </w:tcMar>
            <w:vAlign w:val="center"/>
          </w:tcPr>
          <w:p w14:paraId="76B5582F">
            <w:pPr>
              <w:jc w:val="center"/>
            </w:pPr>
            <w:r>
              <w:rPr>
                <w:rFonts w:ascii="Calibri" w:hAnsi="Calibri" w:eastAsia="Calibri" w:cs="Calibri"/>
                <w:color w:val="000000"/>
                <w:sz w:val="19"/>
                <w:szCs w:val="19"/>
              </w:rPr>
              <w:t>VPN access provided for remote staff.</w:t>
            </w:r>
          </w:p>
        </w:tc>
        <w:tc>
          <w:tcPr>
            <w:tcW w:w="4700" w:type="dxa"/>
            <w:tcMar>
              <w:top w:w="60" w:type="dxa"/>
              <w:left w:w="80" w:type="dxa"/>
              <w:bottom w:w="60" w:type="dxa"/>
              <w:right w:w="80" w:type="dxa"/>
            </w:tcMar>
            <w:vAlign w:val="center"/>
          </w:tcPr>
          <w:p w14:paraId="5CCB069A">
            <w:pPr>
              <w:jc w:val="center"/>
            </w:pPr>
            <w:r>
              <w:rPr>
                <w:rFonts w:ascii="Calibri" w:hAnsi="Calibri" w:eastAsia="Calibri" w:cs="Calibri"/>
                <w:color w:val="000000"/>
                <w:sz w:val="19"/>
                <w:szCs w:val="19"/>
              </w:rPr>
              <w:t>No formal remote working security policy.</w:t>
            </w:r>
          </w:p>
        </w:tc>
        <w:tc>
          <w:tcPr>
            <w:tcW w:w="1000" w:type="dxa"/>
            <w:tcMar>
              <w:top w:w="60" w:type="dxa"/>
              <w:left w:w="80" w:type="dxa"/>
              <w:bottom w:w="60" w:type="dxa"/>
              <w:right w:w="80" w:type="dxa"/>
            </w:tcMar>
            <w:vAlign w:val="center"/>
          </w:tcPr>
          <w:p w14:paraId="160F7AAA">
            <w:pPr>
              <w:jc w:val="center"/>
            </w:pPr>
            <w:r>
              <w:rPr>
                <w:rFonts w:ascii="Calibri" w:hAnsi="Calibri" w:eastAsia="Calibri" w:cs="Calibri"/>
                <w:b/>
                <w:bCs/>
                <w:color w:val="9C6500"/>
                <w:sz w:val="19"/>
                <w:szCs w:val="19"/>
              </w:rPr>
              <w:t>Medium</w:t>
            </w:r>
          </w:p>
        </w:tc>
      </w:tr>
      <w:tr w14:paraId="2B884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20866810">
            <w:pPr>
              <w:jc w:val="center"/>
            </w:pPr>
            <w:r>
              <w:rPr>
                <w:rFonts w:ascii="Calibri" w:hAnsi="Calibri" w:eastAsia="Calibri" w:cs="Calibri"/>
                <w:color w:val="000000"/>
                <w:sz w:val="19"/>
                <w:szCs w:val="19"/>
              </w:rPr>
              <w:t>6.8</w:t>
            </w:r>
          </w:p>
        </w:tc>
        <w:tc>
          <w:tcPr>
            <w:tcW w:w="3300" w:type="dxa"/>
            <w:tcMar>
              <w:top w:w="60" w:type="dxa"/>
              <w:left w:w="80" w:type="dxa"/>
              <w:bottom w:w="60" w:type="dxa"/>
              <w:right w:w="80" w:type="dxa"/>
            </w:tcMar>
            <w:vAlign w:val="center"/>
          </w:tcPr>
          <w:p w14:paraId="296FB955">
            <w:pPr>
              <w:jc w:val="center"/>
            </w:pPr>
            <w:r>
              <w:rPr>
                <w:rFonts w:ascii="Calibri" w:hAnsi="Calibri" w:eastAsia="Calibri" w:cs="Calibri"/>
                <w:color w:val="000000"/>
                <w:sz w:val="19"/>
                <w:szCs w:val="19"/>
              </w:rPr>
              <w:t>Information security event reporting</w:t>
            </w:r>
          </w:p>
        </w:tc>
        <w:tc>
          <w:tcPr>
            <w:tcW w:w="4700" w:type="dxa"/>
            <w:tcMar>
              <w:top w:w="60" w:type="dxa"/>
              <w:left w:w="80" w:type="dxa"/>
              <w:bottom w:w="60" w:type="dxa"/>
              <w:right w:w="80" w:type="dxa"/>
            </w:tcMar>
            <w:vAlign w:val="center"/>
          </w:tcPr>
          <w:p w14:paraId="3326D7BB">
            <w:pPr>
              <w:jc w:val="center"/>
            </w:pPr>
            <w:r>
              <w:rPr>
                <w:rFonts w:ascii="Calibri" w:hAnsi="Calibri" w:eastAsia="Calibri" w:cs="Calibri"/>
                <w:color w:val="000000"/>
                <w:sz w:val="19"/>
                <w:szCs w:val="19"/>
              </w:rPr>
              <w:t>Staff can report issues to the IT helpdesk.</w:t>
            </w:r>
          </w:p>
        </w:tc>
        <w:tc>
          <w:tcPr>
            <w:tcW w:w="4700" w:type="dxa"/>
            <w:tcMar>
              <w:top w:w="60" w:type="dxa"/>
              <w:left w:w="80" w:type="dxa"/>
              <w:bottom w:w="60" w:type="dxa"/>
              <w:right w:w="80" w:type="dxa"/>
            </w:tcMar>
            <w:vAlign w:val="center"/>
          </w:tcPr>
          <w:p w14:paraId="553CAD9B">
            <w:pPr>
              <w:jc w:val="center"/>
            </w:pPr>
            <w:r>
              <w:rPr>
                <w:rFonts w:ascii="Calibri" w:hAnsi="Calibri" w:eastAsia="Calibri" w:cs="Calibri"/>
                <w:color w:val="000000"/>
                <w:sz w:val="19"/>
                <w:szCs w:val="19"/>
              </w:rPr>
              <w:t>No formal, anonymous reporting channel available.</w:t>
            </w:r>
          </w:p>
        </w:tc>
        <w:tc>
          <w:tcPr>
            <w:tcW w:w="1000" w:type="dxa"/>
            <w:tcMar>
              <w:top w:w="60" w:type="dxa"/>
              <w:left w:w="80" w:type="dxa"/>
              <w:bottom w:w="60" w:type="dxa"/>
              <w:right w:w="80" w:type="dxa"/>
            </w:tcMar>
            <w:vAlign w:val="center"/>
          </w:tcPr>
          <w:p w14:paraId="423882D3">
            <w:pPr>
              <w:jc w:val="center"/>
            </w:pPr>
            <w:r>
              <w:rPr>
                <w:rFonts w:ascii="Calibri" w:hAnsi="Calibri" w:eastAsia="Calibri" w:cs="Calibri"/>
                <w:b/>
                <w:bCs/>
                <w:color w:val="9C6500"/>
                <w:sz w:val="19"/>
                <w:szCs w:val="19"/>
              </w:rPr>
              <w:t>Medium</w:t>
            </w:r>
          </w:p>
        </w:tc>
      </w:tr>
    </w:tbl>
    <w:p w14:paraId="79341210">
      <w:pPr>
        <w:spacing w:after="200"/>
      </w:pPr>
    </w:p>
    <w:p w14:paraId="4B0461D9">
      <w:pPr>
        <w:spacing w:before="200" w:after="100"/>
        <w:jc w:val="center"/>
      </w:pPr>
      <w:r>
        <w:rPr>
          <w:rFonts w:ascii="Times New Roman" w:hAnsi="Times New Roman" w:eastAsia="Times New Roman" w:cs="Times New Roman"/>
          <w:b/>
          <w:bCs/>
          <w:color w:val="000000"/>
          <w:sz w:val="22"/>
          <w:szCs w:val="22"/>
        </w:rPr>
        <w:t>4.3 A.7 - Physical Controls (14 controls)</w:t>
      </w:r>
    </w:p>
    <w:tbl>
      <w:tblPr>
        <w:tblStyle w:val="9"/>
        <w:tblW w:w="14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3300"/>
        <w:gridCol w:w="4700"/>
        <w:gridCol w:w="4700"/>
        <w:gridCol w:w="1000"/>
      </w:tblGrid>
      <w:tr w14:paraId="483ED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900" w:type="dxa"/>
            <w:shd w:val="clear" w:color="auto" w:fill="D9D9D9"/>
            <w:tcMar>
              <w:top w:w="60" w:type="dxa"/>
              <w:left w:w="80" w:type="dxa"/>
              <w:bottom w:w="60" w:type="dxa"/>
              <w:right w:w="80" w:type="dxa"/>
            </w:tcMar>
            <w:vAlign w:val="center"/>
          </w:tcPr>
          <w:p w14:paraId="69F7C679">
            <w:pPr>
              <w:jc w:val="center"/>
            </w:pPr>
            <w:r>
              <w:rPr>
                <w:rFonts w:ascii="Calibri" w:hAnsi="Calibri" w:eastAsia="Calibri" w:cs="Calibri"/>
                <w:b/>
                <w:bCs/>
                <w:color w:val="000000"/>
                <w:sz w:val="19"/>
                <w:szCs w:val="19"/>
              </w:rPr>
              <w:t>Ref</w:t>
            </w:r>
          </w:p>
        </w:tc>
        <w:tc>
          <w:tcPr>
            <w:tcW w:w="3300" w:type="dxa"/>
            <w:shd w:val="clear" w:color="auto" w:fill="D9D9D9"/>
            <w:tcMar>
              <w:top w:w="60" w:type="dxa"/>
              <w:left w:w="80" w:type="dxa"/>
              <w:bottom w:w="60" w:type="dxa"/>
              <w:right w:w="80" w:type="dxa"/>
            </w:tcMar>
            <w:vAlign w:val="center"/>
          </w:tcPr>
          <w:p w14:paraId="46D07F20">
            <w:pPr>
              <w:jc w:val="center"/>
            </w:pPr>
            <w:r>
              <w:rPr>
                <w:rFonts w:ascii="Calibri" w:hAnsi="Calibri" w:eastAsia="Calibri" w:cs="Calibri"/>
                <w:b/>
                <w:bCs/>
                <w:color w:val="000000"/>
                <w:sz w:val="19"/>
                <w:szCs w:val="19"/>
              </w:rPr>
              <w:t>Control</w:t>
            </w:r>
          </w:p>
        </w:tc>
        <w:tc>
          <w:tcPr>
            <w:tcW w:w="4700" w:type="dxa"/>
            <w:shd w:val="clear" w:color="auto" w:fill="D9D9D9"/>
            <w:tcMar>
              <w:top w:w="60" w:type="dxa"/>
              <w:left w:w="80" w:type="dxa"/>
              <w:bottom w:w="60" w:type="dxa"/>
              <w:right w:w="80" w:type="dxa"/>
            </w:tcMar>
            <w:vAlign w:val="center"/>
          </w:tcPr>
          <w:p w14:paraId="1239180B">
            <w:pPr>
              <w:jc w:val="center"/>
            </w:pPr>
            <w:r>
              <w:rPr>
                <w:rFonts w:ascii="Calibri" w:hAnsi="Calibri" w:eastAsia="Calibri" w:cs="Calibri"/>
                <w:b/>
                <w:bCs/>
                <w:color w:val="000000"/>
                <w:sz w:val="19"/>
                <w:szCs w:val="19"/>
              </w:rPr>
              <w:t>Current State</w:t>
            </w:r>
          </w:p>
        </w:tc>
        <w:tc>
          <w:tcPr>
            <w:tcW w:w="4700" w:type="dxa"/>
            <w:shd w:val="clear" w:color="auto" w:fill="D9D9D9"/>
            <w:tcMar>
              <w:top w:w="60" w:type="dxa"/>
              <w:left w:w="80" w:type="dxa"/>
              <w:bottom w:w="60" w:type="dxa"/>
              <w:right w:w="80" w:type="dxa"/>
            </w:tcMar>
            <w:vAlign w:val="center"/>
          </w:tcPr>
          <w:p w14:paraId="3F70802D">
            <w:pPr>
              <w:jc w:val="center"/>
            </w:pPr>
            <w:r>
              <w:rPr>
                <w:rFonts w:ascii="Calibri" w:hAnsi="Calibri" w:eastAsia="Calibri" w:cs="Calibri"/>
                <w:b/>
                <w:bCs/>
                <w:color w:val="000000"/>
                <w:sz w:val="19"/>
                <w:szCs w:val="19"/>
              </w:rPr>
              <w:t>Gap Identified</w:t>
            </w:r>
          </w:p>
        </w:tc>
        <w:tc>
          <w:tcPr>
            <w:tcW w:w="1000" w:type="dxa"/>
            <w:shd w:val="clear" w:color="auto" w:fill="D9D9D9"/>
            <w:tcMar>
              <w:top w:w="60" w:type="dxa"/>
              <w:left w:w="80" w:type="dxa"/>
              <w:bottom w:w="60" w:type="dxa"/>
              <w:right w:w="80" w:type="dxa"/>
            </w:tcMar>
            <w:vAlign w:val="center"/>
          </w:tcPr>
          <w:p w14:paraId="79BD582F">
            <w:pPr>
              <w:jc w:val="center"/>
            </w:pPr>
            <w:r>
              <w:rPr>
                <w:rFonts w:ascii="Calibri" w:hAnsi="Calibri" w:eastAsia="Calibri" w:cs="Calibri"/>
                <w:b/>
                <w:bCs/>
                <w:color w:val="000000"/>
                <w:sz w:val="19"/>
                <w:szCs w:val="19"/>
              </w:rPr>
              <w:t>Priority</w:t>
            </w:r>
          </w:p>
        </w:tc>
      </w:tr>
      <w:tr w14:paraId="70EE0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4E783407">
            <w:pPr>
              <w:jc w:val="center"/>
            </w:pPr>
            <w:r>
              <w:rPr>
                <w:rFonts w:ascii="Calibri" w:hAnsi="Calibri" w:eastAsia="Calibri" w:cs="Calibri"/>
                <w:color w:val="000000"/>
                <w:sz w:val="19"/>
                <w:szCs w:val="19"/>
              </w:rPr>
              <w:t>7.1</w:t>
            </w:r>
          </w:p>
        </w:tc>
        <w:tc>
          <w:tcPr>
            <w:tcW w:w="3300" w:type="dxa"/>
            <w:tcMar>
              <w:top w:w="60" w:type="dxa"/>
              <w:left w:w="80" w:type="dxa"/>
              <w:bottom w:w="60" w:type="dxa"/>
              <w:right w:w="80" w:type="dxa"/>
            </w:tcMar>
            <w:vAlign w:val="center"/>
          </w:tcPr>
          <w:p w14:paraId="56E9F440">
            <w:pPr>
              <w:jc w:val="center"/>
            </w:pPr>
            <w:r>
              <w:rPr>
                <w:rFonts w:ascii="Calibri" w:hAnsi="Calibri" w:eastAsia="Calibri" w:cs="Calibri"/>
                <w:color w:val="000000"/>
                <w:sz w:val="19"/>
                <w:szCs w:val="19"/>
              </w:rPr>
              <w:t>Physical security perimeters</w:t>
            </w:r>
          </w:p>
        </w:tc>
        <w:tc>
          <w:tcPr>
            <w:tcW w:w="4700" w:type="dxa"/>
            <w:tcMar>
              <w:top w:w="60" w:type="dxa"/>
              <w:left w:w="80" w:type="dxa"/>
              <w:bottom w:w="60" w:type="dxa"/>
              <w:right w:w="80" w:type="dxa"/>
            </w:tcMar>
            <w:vAlign w:val="center"/>
          </w:tcPr>
          <w:p w14:paraId="07DEE104">
            <w:pPr>
              <w:jc w:val="center"/>
            </w:pPr>
            <w:r>
              <w:rPr>
                <w:rFonts w:ascii="Calibri" w:hAnsi="Calibri" w:eastAsia="Calibri" w:cs="Calibri"/>
                <w:color w:val="000000"/>
                <w:sz w:val="19"/>
                <w:szCs w:val="19"/>
              </w:rPr>
              <w:t>Data center has perimeter fencing and access control.</w:t>
            </w:r>
          </w:p>
        </w:tc>
        <w:tc>
          <w:tcPr>
            <w:tcW w:w="4700" w:type="dxa"/>
            <w:tcMar>
              <w:top w:w="60" w:type="dxa"/>
              <w:left w:w="80" w:type="dxa"/>
              <w:bottom w:w="60" w:type="dxa"/>
              <w:right w:w="80" w:type="dxa"/>
            </w:tcMar>
            <w:vAlign w:val="center"/>
          </w:tcPr>
          <w:p w14:paraId="22B7B771">
            <w:pPr>
              <w:jc w:val="center"/>
            </w:pPr>
            <w:r>
              <w:rPr>
                <w:rFonts w:ascii="Calibri" w:hAnsi="Calibri" w:eastAsia="Calibri" w:cs="Calibri"/>
                <w:color w:val="000000"/>
                <w:sz w:val="19"/>
                <w:szCs w:val="19"/>
              </w:rPr>
              <w:t>Branch offices lack a consistent physical security standard.</w:t>
            </w:r>
          </w:p>
        </w:tc>
        <w:tc>
          <w:tcPr>
            <w:tcW w:w="1000" w:type="dxa"/>
            <w:tcMar>
              <w:top w:w="60" w:type="dxa"/>
              <w:left w:w="80" w:type="dxa"/>
              <w:bottom w:w="60" w:type="dxa"/>
              <w:right w:w="80" w:type="dxa"/>
            </w:tcMar>
            <w:vAlign w:val="center"/>
          </w:tcPr>
          <w:p w14:paraId="25A95FFC">
            <w:pPr>
              <w:jc w:val="center"/>
            </w:pPr>
            <w:r>
              <w:rPr>
                <w:rFonts w:ascii="Calibri" w:hAnsi="Calibri" w:eastAsia="Calibri" w:cs="Calibri"/>
                <w:b/>
                <w:bCs/>
                <w:color w:val="9C6500"/>
                <w:sz w:val="19"/>
                <w:szCs w:val="19"/>
              </w:rPr>
              <w:t>Medium</w:t>
            </w:r>
          </w:p>
        </w:tc>
      </w:tr>
      <w:tr w14:paraId="4853A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65874FE6">
            <w:pPr>
              <w:jc w:val="center"/>
            </w:pPr>
            <w:r>
              <w:rPr>
                <w:rFonts w:ascii="Calibri" w:hAnsi="Calibri" w:eastAsia="Calibri" w:cs="Calibri"/>
                <w:color w:val="000000"/>
                <w:sz w:val="19"/>
                <w:szCs w:val="19"/>
              </w:rPr>
              <w:t>7.2</w:t>
            </w:r>
          </w:p>
        </w:tc>
        <w:tc>
          <w:tcPr>
            <w:tcW w:w="3300" w:type="dxa"/>
            <w:tcMar>
              <w:top w:w="60" w:type="dxa"/>
              <w:left w:w="80" w:type="dxa"/>
              <w:bottom w:w="60" w:type="dxa"/>
              <w:right w:w="80" w:type="dxa"/>
            </w:tcMar>
            <w:vAlign w:val="center"/>
          </w:tcPr>
          <w:p w14:paraId="08DA7B60">
            <w:pPr>
              <w:jc w:val="center"/>
            </w:pPr>
            <w:r>
              <w:rPr>
                <w:rFonts w:ascii="Calibri" w:hAnsi="Calibri" w:eastAsia="Calibri" w:cs="Calibri"/>
                <w:color w:val="000000"/>
                <w:sz w:val="19"/>
                <w:szCs w:val="19"/>
              </w:rPr>
              <w:t>Physical entry</w:t>
            </w:r>
          </w:p>
        </w:tc>
        <w:tc>
          <w:tcPr>
            <w:tcW w:w="4700" w:type="dxa"/>
            <w:tcMar>
              <w:top w:w="60" w:type="dxa"/>
              <w:left w:w="80" w:type="dxa"/>
              <w:bottom w:w="60" w:type="dxa"/>
              <w:right w:w="80" w:type="dxa"/>
            </w:tcMar>
            <w:vAlign w:val="center"/>
          </w:tcPr>
          <w:p w14:paraId="06BF0715">
            <w:pPr>
              <w:jc w:val="center"/>
            </w:pPr>
            <w:r>
              <w:rPr>
                <w:rFonts w:ascii="Calibri" w:hAnsi="Calibri" w:eastAsia="Calibri" w:cs="Calibri"/>
                <w:color w:val="000000"/>
                <w:sz w:val="19"/>
                <w:szCs w:val="19"/>
              </w:rPr>
              <w:t>Badge access enforced at HQ and data center.</w:t>
            </w:r>
          </w:p>
        </w:tc>
        <w:tc>
          <w:tcPr>
            <w:tcW w:w="4700" w:type="dxa"/>
            <w:tcMar>
              <w:top w:w="60" w:type="dxa"/>
              <w:left w:w="80" w:type="dxa"/>
              <w:bottom w:w="60" w:type="dxa"/>
              <w:right w:w="80" w:type="dxa"/>
            </w:tcMar>
            <w:vAlign w:val="center"/>
          </w:tcPr>
          <w:p w14:paraId="76818568">
            <w:pPr>
              <w:jc w:val="center"/>
            </w:pPr>
            <w:r>
              <w:rPr>
                <w:rFonts w:ascii="Calibri" w:hAnsi="Calibri" w:eastAsia="Calibri" w:cs="Calibri"/>
                <w:color w:val="000000"/>
                <w:sz w:val="19"/>
                <w:szCs w:val="19"/>
              </w:rPr>
              <w:t>Visitor logging inconsistent across branch locations.</w:t>
            </w:r>
          </w:p>
        </w:tc>
        <w:tc>
          <w:tcPr>
            <w:tcW w:w="1000" w:type="dxa"/>
            <w:tcMar>
              <w:top w:w="60" w:type="dxa"/>
              <w:left w:w="80" w:type="dxa"/>
              <w:bottom w:w="60" w:type="dxa"/>
              <w:right w:w="80" w:type="dxa"/>
            </w:tcMar>
            <w:vAlign w:val="center"/>
          </w:tcPr>
          <w:p w14:paraId="69C08F22">
            <w:pPr>
              <w:jc w:val="center"/>
            </w:pPr>
            <w:r>
              <w:rPr>
                <w:rFonts w:ascii="Calibri" w:hAnsi="Calibri" w:eastAsia="Calibri" w:cs="Calibri"/>
                <w:b/>
                <w:bCs/>
                <w:color w:val="9C6500"/>
                <w:sz w:val="19"/>
                <w:szCs w:val="19"/>
              </w:rPr>
              <w:t>Medium</w:t>
            </w:r>
          </w:p>
        </w:tc>
      </w:tr>
      <w:tr w14:paraId="77B7A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336DAA52">
            <w:pPr>
              <w:jc w:val="center"/>
            </w:pPr>
            <w:r>
              <w:rPr>
                <w:rFonts w:ascii="Calibri" w:hAnsi="Calibri" w:eastAsia="Calibri" w:cs="Calibri"/>
                <w:color w:val="000000"/>
                <w:sz w:val="19"/>
                <w:szCs w:val="19"/>
              </w:rPr>
              <w:t>7.3</w:t>
            </w:r>
          </w:p>
        </w:tc>
        <w:tc>
          <w:tcPr>
            <w:tcW w:w="3300" w:type="dxa"/>
            <w:tcMar>
              <w:top w:w="60" w:type="dxa"/>
              <w:left w:w="80" w:type="dxa"/>
              <w:bottom w:w="60" w:type="dxa"/>
              <w:right w:w="80" w:type="dxa"/>
            </w:tcMar>
            <w:vAlign w:val="center"/>
          </w:tcPr>
          <w:p w14:paraId="20772217">
            <w:pPr>
              <w:jc w:val="center"/>
            </w:pPr>
            <w:r>
              <w:rPr>
                <w:rFonts w:ascii="Calibri" w:hAnsi="Calibri" w:eastAsia="Calibri" w:cs="Calibri"/>
                <w:color w:val="000000"/>
                <w:sz w:val="19"/>
                <w:szCs w:val="19"/>
              </w:rPr>
              <w:t>Securing offices, rooms and facilities</w:t>
            </w:r>
          </w:p>
        </w:tc>
        <w:tc>
          <w:tcPr>
            <w:tcW w:w="4700" w:type="dxa"/>
            <w:tcMar>
              <w:top w:w="60" w:type="dxa"/>
              <w:left w:w="80" w:type="dxa"/>
              <w:bottom w:w="60" w:type="dxa"/>
              <w:right w:w="80" w:type="dxa"/>
            </w:tcMar>
            <w:vAlign w:val="center"/>
          </w:tcPr>
          <w:p w14:paraId="77A6E78E">
            <w:pPr>
              <w:jc w:val="center"/>
            </w:pPr>
            <w:r>
              <w:rPr>
                <w:rFonts w:ascii="Calibri" w:hAnsi="Calibri" w:eastAsia="Calibri" w:cs="Calibri"/>
                <w:color w:val="000000"/>
                <w:sz w:val="19"/>
                <w:szCs w:val="19"/>
              </w:rPr>
              <w:t>Server room access is physically restricted.</w:t>
            </w:r>
          </w:p>
        </w:tc>
        <w:tc>
          <w:tcPr>
            <w:tcW w:w="4700" w:type="dxa"/>
            <w:tcMar>
              <w:top w:w="60" w:type="dxa"/>
              <w:left w:w="80" w:type="dxa"/>
              <w:bottom w:w="60" w:type="dxa"/>
              <w:right w:w="80" w:type="dxa"/>
            </w:tcMar>
            <w:vAlign w:val="center"/>
          </w:tcPr>
          <w:p w14:paraId="0709C1C1">
            <w:pPr>
              <w:jc w:val="center"/>
            </w:pPr>
            <w:r>
              <w:rPr>
                <w:rFonts w:ascii="Calibri" w:hAnsi="Calibri" w:eastAsia="Calibri" w:cs="Calibri"/>
                <w:color w:val="000000"/>
                <w:sz w:val="19"/>
                <w:szCs w:val="19"/>
              </w:rPr>
              <w:t>No formal facility security policy documented.</w:t>
            </w:r>
          </w:p>
        </w:tc>
        <w:tc>
          <w:tcPr>
            <w:tcW w:w="1000" w:type="dxa"/>
            <w:tcMar>
              <w:top w:w="60" w:type="dxa"/>
              <w:left w:w="80" w:type="dxa"/>
              <w:bottom w:w="60" w:type="dxa"/>
              <w:right w:w="80" w:type="dxa"/>
            </w:tcMar>
            <w:vAlign w:val="center"/>
          </w:tcPr>
          <w:p w14:paraId="67576406">
            <w:pPr>
              <w:jc w:val="center"/>
            </w:pPr>
            <w:r>
              <w:rPr>
                <w:rFonts w:ascii="Calibri" w:hAnsi="Calibri" w:eastAsia="Calibri" w:cs="Calibri"/>
                <w:b/>
                <w:bCs/>
                <w:color w:val="375623"/>
                <w:sz w:val="19"/>
                <w:szCs w:val="19"/>
              </w:rPr>
              <w:t>Low</w:t>
            </w:r>
          </w:p>
        </w:tc>
      </w:tr>
      <w:tr w14:paraId="1A549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5156D044">
            <w:pPr>
              <w:jc w:val="center"/>
            </w:pPr>
            <w:r>
              <w:rPr>
                <w:rFonts w:ascii="Calibri" w:hAnsi="Calibri" w:eastAsia="Calibri" w:cs="Calibri"/>
                <w:color w:val="000000"/>
                <w:sz w:val="19"/>
                <w:szCs w:val="19"/>
              </w:rPr>
              <w:t>7.4</w:t>
            </w:r>
          </w:p>
        </w:tc>
        <w:tc>
          <w:tcPr>
            <w:tcW w:w="3300" w:type="dxa"/>
            <w:tcMar>
              <w:top w:w="60" w:type="dxa"/>
              <w:left w:w="80" w:type="dxa"/>
              <w:bottom w:w="60" w:type="dxa"/>
              <w:right w:w="80" w:type="dxa"/>
            </w:tcMar>
            <w:vAlign w:val="center"/>
          </w:tcPr>
          <w:p w14:paraId="7F163A50">
            <w:pPr>
              <w:jc w:val="center"/>
            </w:pPr>
            <w:r>
              <w:rPr>
                <w:rFonts w:ascii="Calibri" w:hAnsi="Calibri" w:eastAsia="Calibri" w:cs="Calibri"/>
                <w:color w:val="000000"/>
                <w:sz w:val="19"/>
                <w:szCs w:val="19"/>
              </w:rPr>
              <w:t>Physical security monitoring</w:t>
            </w:r>
          </w:p>
        </w:tc>
        <w:tc>
          <w:tcPr>
            <w:tcW w:w="4700" w:type="dxa"/>
            <w:tcMar>
              <w:top w:w="60" w:type="dxa"/>
              <w:left w:w="80" w:type="dxa"/>
              <w:bottom w:w="60" w:type="dxa"/>
              <w:right w:w="80" w:type="dxa"/>
            </w:tcMar>
            <w:vAlign w:val="center"/>
          </w:tcPr>
          <w:p w14:paraId="6A83F2ED">
            <w:pPr>
              <w:jc w:val="center"/>
            </w:pPr>
            <w:r>
              <w:rPr>
                <w:rFonts w:ascii="Calibri" w:hAnsi="Calibri" w:eastAsia="Calibri" w:cs="Calibri"/>
                <w:color w:val="000000"/>
                <w:sz w:val="19"/>
                <w:szCs w:val="19"/>
              </w:rPr>
              <w:t>CCTV coverage in place at the data center.</w:t>
            </w:r>
          </w:p>
        </w:tc>
        <w:tc>
          <w:tcPr>
            <w:tcW w:w="4700" w:type="dxa"/>
            <w:tcMar>
              <w:top w:w="60" w:type="dxa"/>
              <w:left w:w="80" w:type="dxa"/>
              <w:bottom w:w="60" w:type="dxa"/>
              <w:right w:w="80" w:type="dxa"/>
            </w:tcMar>
            <w:vAlign w:val="center"/>
          </w:tcPr>
          <w:p w14:paraId="5DB289A4">
            <w:pPr>
              <w:jc w:val="center"/>
            </w:pPr>
            <w:r>
              <w:rPr>
                <w:rFonts w:ascii="Calibri" w:hAnsi="Calibri" w:eastAsia="Calibri" w:cs="Calibri"/>
                <w:color w:val="000000"/>
                <w:sz w:val="19"/>
                <w:szCs w:val="19"/>
              </w:rPr>
              <w:t>Not integrated with SIEM or the monitoring team.</w:t>
            </w:r>
          </w:p>
        </w:tc>
        <w:tc>
          <w:tcPr>
            <w:tcW w:w="1000" w:type="dxa"/>
            <w:tcMar>
              <w:top w:w="60" w:type="dxa"/>
              <w:left w:w="80" w:type="dxa"/>
              <w:bottom w:w="60" w:type="dxa"/>
              <w:right w:w="80" w:type="dxa"/>
            </w:tcMar>
            <w:vAlign w:val="center"/>
          </w:tcPr>
          <w:p w14:paraId="3930C534">
            <w:pPr>
              <w:jc w:val="center"/>
            </w:pPr>
            <w:r>
              <w:rPr>
                <w:rFonts w:ascii="Calibri" w:hAnsi="Calibri" w:eastAsia="Calibri" w:cs="Calibri"/>
                <w:b/>
                <w:bCs/>
                <w:color w:val="9C6500"/>
                <w:sz w:val="19"/>
                <w:szCs w:val="19"/>
              </w:rPr>
              <w:t>Medium</w:t>
            </w:r>
          </w:p>
        </w:tc>
      </w:tr>
      <w:tr w14:paraId="077C2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7EF6D145">
            <w:pPr>
              <w:jc w:val="center"/>
            </w:pPr>
            <w:r>
              <w:rPr>
                <w:rFonts w:ascii="Calibri" w:hAnsi="Calibri" w:eastAsia="Calibri" w:cs="Calibri"/>
                <w:color w:val="000000"/>
                <w:sz w:val="19"/>
                <w:szCs w:val="19"/>
              </w:rPr>
              <w:t>7.5</w:t>
            </w:r>
          </w:p>
        </w:tc>
        <w:tc>
          <w:tcPr>
            <w:tcW w:w="3300" w:type="dxa"/>
            <w:tcMar>
              <w:top w:w="60" w:type="dxa"/>
              <w:left w:w="80" w:type="dxa"/>
              <w:bottom w:w="60" w:type="dxa"/>
              <w:right w:w="80" w:type="dxa"/>
            </w:tcMar>
            <w:vAlign w:val="center"/>
          </w:tcPr>
          <w:p w14:paraId="3866A473">
            <w:pPr>
              <w:jc w:val="center"/>
            </w:pPr>
            <w:r>
              <w:rPr>
                <w:rFonts w:ascii="Calibri" w:hAnsi="Calibri" w:eastAsia="Calibri" w:cs="Calibri"/>
                <w:color w:val="000000"/>
                <w:sz w:val="19"/>
                <w:szCs w:val="19"/>
              </w:rPr>
              <w:t>Protecting against physical and environmental threats</w:t>
            </w:r>
          </w:p>
        </w:tc>
        <w:tc>
          <w:tcPr>
            <w:tcW w:w="4700" w:type="dxa"/>
            <w:tcMar>
              <w:top w:w="60" w:type="dxa"/>
              <w:left w:w="80" w:type="dxa"/>
              <w:bottom w:w="60" w:type="dxa"/>
              <w:right w:w="80" w:type="dxa"/>
            </w:tcMar>
            <w:vAlign w:val="center"/>
          </w:tcPr>
          <w:p w14:paraId="4D1F23A4">
            <w:pPr>
              <w:jc w:val="center"/>
            </w:pPr>
            <w:r>
              <w:rPr>
                <w:rFonts w:ascii="Calibri" w:hAnsi="Calibri" w:eastAsia="Calibri" w:cs="Calibri"/>
                <w:color w:val="000000"/>
                <w:sz w:val="19"/>
                <w:szCs w:val="19"/>
              </w:rPr>
              <w:t>Fire suppression and UPS installed at the data center.</w:t>
            </w:r>
          </w:p>
        </w:tc>
        <w:tc>
          <w:tcPr>
            <w:tcW w:w="4700" w:type="dxa"/>
            <w:tcMar>
              <w:top w:w="60" w:type="dxa"/>
              <w:left w:w="80" w:type="dxa"/>
              <w:bottom w:w="60" w:type="dxa"/>
              <w:right w:w="80" w:type="dxa"/>
            </w:tcMar>
            <w:vAlign w:val="center"/>
          </w:tcPr>
          <w:p w14:paraId="62941845">
            <w:pPr>
              <w:jc w:val="center"/>
            </w:pPr>
            <w:r>
              <w:rPr>
                <w:rFonts w:ascii="Calibri" w:hAnsi="Calibri" w:eastAsia="Calibri" w:cs="Calibri"/>
                <w:color w:val="000000"/>
                <w:sz w:val="19"/>
                <w:szCs w:val="19"/>
              </w:rPr>
              <w:t>No documented environmental risk assessment.</w:t>
            </w:r>
          </w:p>
        </w:tc>
        <w:tc>
          <w:tcPr>
            <w:tcW w:w="1000" w:type="dxa"/>
            <w:tcMar>
              <w:top w:w="60" w:type="dxa"/>
              <w:left w:w="80" w:type="dxa"/>
              <w:bottom w:w="60" w:type="dxa"/>
              <w:right w:w="80" w:type="dxa"/>
            </w:tcMar>
            <w:vAlign w:val="center"/>
          </w:tcPr>
          <w:p w14:paraId="431F207C">
            <w:pPr>
              <w:jc w:val="center"/>
            </w:pPr>
            <w:r>
              <w:rPr>
                <w:rFonts w:ascii="Calibri" w:hAnsi="Calibri" w:eastAsia="Calibri" w:cs="Calibri"/>
                <w:b/>
                <w:bCs/>
                <w:color w:val="375623"/>
                <w:sz w:val="19"/>
                <w:szCs w:val="19"/>
              </w:rPr>
              <w:t>Low</w:t>
            </w:r>
          </w:p>
        </w:tc>
      </w:tr>
      <w:tr w14:paraId="0DBDA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336620EF">
            <w:pPr>
              <w:jc w:val="center"/>
            </w:pPr>
            <w:r>
              <w:rPr>
                <w:rFonts w:ascii="Calibri" w:hAnsi="Calibri" w:eastAsia="Calibri" w:cs="Calibri"/>
                <w:color w:val="000000"/>
                <w:sz w:val="19"/>
                <w:szCs w:val="19"/>
              </w:rPr>
              <w:t>7.6</w:t>
            </w:r>
          </w:p>
        </w:tc>
        <w:tc>
          <w:tcPr>
            <w:tcW w:w="3300" w:type="dxa"/>
            <w:tcMar>
              <w:top w:w="60" w:type="dxa"/>
              <w:left w:w="80" w:type="dxa"/>
              <w:bottom w:w="60" w:type="dxa"/>
              <w:right w:w="80" w:type="dxa"/>
            </w:tcMar>
            <w:vAlign w:val="center"/>
          </w:tcPr>
          <w:p w14:paraId="018BE4EC">
            <w:pPr>
              <w:jc w:val="center"/>
            </w:pPr>
            <w:r>
              <w:rPr>
                <w:rFonts w:ascii="Calibri" w:hAnsi="Calibri" w:eastAsia="Calibri" w:cs="Calibri"/>
                <w:color w:val="000000"/>
                <w:sz w:val="19"/>
                <w:szCs w:val="19"/>
              </w:rPr>
              <w:t>Working in secure areas</w:t>
            </w:r>
          </w:p>
        </w:tc>
        <w:tc>
          <w:tcPr>
            <w:tcW w:w="4700" w:type="dxa"/>
            <w:tcMar>
              <w:top w:w="60" w:type="dxa"/>
              <w:left w:w="80" w:type="dxa"/>
              <w:bottom w:w="60" w:type="dxa"/>
              <w:right w:w="80" w:type="dxa"/>
            </w:tcMar>
            <w:vAlign w:val="center"/>
          </w:tcPr>
          <w:p w14:paraId="732D8FFB">
            <w:pPr>
              <w:jc w:val="center"/>
            </w:pPr>
            <w:r>
              <w:rPr>
                <w:rFonts w:ascii="Calibri" w:hAnsi="Calibri" w:eastAsia="Calibri" w:cs="Calibri"/>
                <w:color w:val="000000"/>
                <w:sz w:val="19"/>
                <w:szCs w:val="19"/>
              </w:rPr>
              <w:t>Access to the server room is restricted to authorized staff.</w:t>
            </w:r>
          </w:p>
        </w:tc>
        <w:tc>
          <w:tcPr>
            <w:tcW w:w="4700" w:type="dxa"/>
            <w:tcMar>
              <w:top w:w="60" w:type="dxa"/>
              <w:left w:w="80" w:type="dxa"/>
              <w:bottom w:w="60" w:type="dxa"/>
              <w:right w:w="80" w:type="dxa"/>
            </w:tcMar>
            <w:vAlign w:val="center"/>
          </w:tcPr>
          <w:p w14:paraId="7CCFE952">
            <w:pPr>
              <w:jc w:val="center"/>
            </w:pPr>
            <w:r>
              <w:rPr>
                <w:rFonts w:ascii="Calibri" w:hAnsi="Calibri" w:eastAsia="Calibri" w:cs="Calibri"/>
                <w:color w:val="000000"/>
                <w:sz w:val="19"/>
                <w:szCs w:val="19"/>
              </w:rPr>
              <w:t>No formal secure-area working procedure.</w:t>
            </w:r>
          </w:p>
        </w:tc>
        <w:tc>
          <w:tcPr>
            <w:tcW w:w="1000" w:type="dxa"/>
            <w:tcMar>
              <w:top w:w="60" w:type="dxa"/>
              <w:left w:w="80" w:type="dxa"/>
              <w:bottom w:w="60" w:type="dxa"/>
              <w:right w:w="80" w:type="dxa"/>
            </w:tcMar>
            <w:vAlign w:val="center"/>
          </w:tcPr>
          <w:p w14:paraId="40F922A5">
            <w:pPr>
              <w:jc w:val="center"/>
            </w:pPr>
            <w:r>
              <w:rPr>
                <w:rFonts w:ascii="Calibri" w:hAnsi="Calibri" w:eastAsia="Calibri" w:cs="Calibri"/>
                <w:b/>
                <w:bCs/>
                <w:color w:val="375623"/>
                <w:sz w:val="19"/>
                <w:szCs w:val="19"/>
              </w:rPr>
              <w:t>Low</w:t>
            </w:r>
          </w:p>
        </w:tc>
      </w:tr>
      <w:tr w14:paraId="77493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55295FA9">
            <w:pPr>
              <w:jc w:val="center"/>
            </w:pPr>
            <w:r>
              <w:rPr>
                <w:rFonts w:ascii="Calibri" w:hAnsi="Calibri" w:eastAsia="Calibri" w:cs="Calibri"/>
                <w:color w:val="000000"/>
                <w:sz w:val="19"/>
                <w:szCs w:val="19"/>
              </w:rPr>
              <w:t>7.7</w:t>
            </w:r>
          </w:p>
        </w:tc>
        <w:tc>
          <w:tcPr>
            <w:tcW w:w="3300" w:type="dxa"/>
            <w:tcMar>
              <w:top w:w="60" w:type="dxa"/>
              <w:left w:w="80" w:type="dxa"/>
              <w:bottom w:w="60" w:type="dxa"/>
              <w:right w:w="80" w:type="dxa"/>
            </w:tcMar>
            <w:vAlign w:val="center"/>
          </w:tcPr>
          <w:p w14:paraId="67C2B916">
            <w:pPr>
              <w:jc w:val="center"/>
            </w:pPr>
            <w:r>
              <w:rPr>
                <w:rFonts w:ascii="Calibri" w:hAnsi="Calibri" w:eastAsia="Calibri" w:cs="Calibri"/>
                <w:color w:val="000000"/>
                <w:sz w:val="19"/>
                <w:szCs w:val="19"/>
              </w:rPr>
              <w:t>Clear desk and clear screen</w:t>
            </w:r>
          </w:p>
        </w:tc>
        <w:tc>
          <w:tcPr>
            <w:tcW w:w="4700" w:type="dxa"/>
            <w:tcMar>
              <w:top w:w="60" w:type="dxa"/>
              <w:left w:w="80" w:type="dxa"/>
              <w:bottom w:w="60" w:type="dxa"/>
              <w:right w:w="80" w:type="dxa"/>
            </w:tcMar>
            <w:vAlign w:val="center"/>
          </w:tcPr>
          <w:p w14:paraId="5185EF94">
            <w:pPr>
              <w:jc w:val="center"/>
            </w:pPr>
            <w:r>
              <w:rPr>
                <w:rFonts w:ascii="Calibri" w:hAnsi="Calibri" w:eastAsia="Calibri" w:cs="Calibri"/>
                <w:color w:val="000000"/>
                <w:sz w:val="19"/>
                <w:szCs w:val="19"/>
              </w:rPr>
              <w:t>Expected informally of staff.</w:t>
            </w:r>
          </w:p>
        </w:tc>
        <w:tc>
          <w:tcPr>
            <w:tcW w:w="4700" w:type="dxa"/>
            <w:tcMar>
              <w:top w:w="60" w:type="dxa"/>
              <w:left w:w="80" w:type="dxa"/>
              <w:bottom w:w="60" w:type="dxa"/>
              <w:right w:w="80" w:type="dxa"/>
            </w:tcMar>
            <w:vAlign w:val="center"/>
          </w:tcPr>
          <w:p w14:paraId="344D44E4">
            <w:pPr>
              <w:jc w:val="center"/>
            </w:pPr>
            <w:r>
              <w:rPr>
                <w:rFonts w:ascii="Calibri" w:hAnsi="Calibri" w:eastAsia="Calibri" w:cs="Calibri"/>
                <w:color w:val="000000"/>
                <w:sz w:val="19"/>
                <w:szCs w:val="19"/>
              </w:rPr>
              <w:t>Not enforced or periodically audited.</w:t>
            </w:r>
          </w:p>
        </w:tc>
        <w:tc>
          <w:tcPr>
            <w:tcW w:w="1000" w:type="dxa"/>
            <w:tcMar>
              <w:top w:w="60" w:type="dxa"/>
              <w:left w:w="80" w:type="dxa"/>
              <w:bottom w:w="60" w:type="dxa"/>
              <w:right w:w="80" w:type="dxa"/>
            </w:tcMar>
            <w:vAlign w:val="center"/>
          </w:tcPr>
          <w:p w14:paraId="2987F2C3">
            <w:pPr>
              <w:jc w:val="center"/>
            </w:pPr>
            <w:r>
              <w:rPr>
                <w:rFonts w:ascii="Calibri" w:hAnsi="Calibri" w:eastAsia="Calibri" w:cs="Calibri"/>
                <w:b/>
                <w:bCs/>
                <w:color w:val="9C6500"/>
                <w:sz w:val="19"/>
                <w:szCs w:val="19"/>
              </w:rPr>
              <w:t>Medium</w:t>
            </w:r>
          </w:p>
        </w:tc>
      </w:tr>
      <w:tr w14:paraId="488A0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5788F0A2">
            <w:pPr>
              <w:jc w:val="center"/>
            </w:pPr>
            <w:r>
              <w:rPr>
                <w:rFonts w:ascii="Calibri" w:hAnsi="Calibri" w:eastAsia="Calibri" w:cs="Calibri"/>
                <w:color w:val="000000"/>
                <w:sz w:val="19"/>
                <w:szCs w:val="19"/>
              </w:rPr>
              <w:t>7.8</w:t>
            </w:r>
          </w:p>
        </w:tc>
        <w:tc>
          <w:tcPr>
            <w:tcW w:w="3300" w:type="dxa"/>
            <w:tcMar>
              <w:top w:w="60" w:type="dxa"/>
              <w:left w:w="80" w:type="dxa"/>
              <w:bottom w:w="60" w:type="dxa"/>
              <w:right w:w="80" w:type="dxa"/>
            </w:tcMar>
            <w:vAlign w:val="center"/>
          </w:tcPr>
          <w:p w14:paraId="42D35F91">
            <w:pPr>
              <w:jc w:val="center"/>
            </w:pPr>
            <w:r>
              <w:rPr>
                <w:rFonts w:ascii="Calibri" w:hAnsi="Calibri" w:eastAsia="Calibri" w:cs="Calibri"/>
                <w:color w:val="000000"/>
                <w:sz w:val="19"/>
                <w:szCs w:val="19"/>
              </w:rPr>
              <w:t>Equipment siting and protection</w:t>
            </w:r>
          </w:p>
        </w:tc>
        <w:tc>
          <w:tcPr>
            <w:tcW w:w="4700" w:type="dxa"/>
            <w:tcMar>
              <w:top w:w="60" w:type="dxa"/>
              <w:left w:w="80" w:type="dxa"/>
              <w:bottom w:w="60" w:type="dxa"/>
              <w:right w:w="80" w:type="dxa"/>
            </w:tcMar>
            <w:vAlign w:val="center"/>
          </w:tcPr>
          <w:p w14:paraId="3CC321AC">
            <w:pPr>
              <w:jc w:val="center"/>
            </w:pPr>
            <w:r>
              <w:rPr>
                <w:rFonts w:ascii="Calibri" w:hAnsi="Calibri" w:eastAsia="Calibri" w:cs="Calibri"/>
                <w:color w:val="000000"/>
                <w:sz w:val="19"/>
                <w:szCs w:val="19"/>
              </w:rPr>
              <w:t>Core banking servers housed in dedicated data center racks.</w:t>
            </w:r>
          </w:p>
        </w:tc>
        <w:tc>
          <w:tcPr>
            <w:tcW w:w="4700" w:type="dxa"/>
            <w:tcMar>
              <w:top w:w="60" w:type="dxa"/>
              <w:left w:w="80" w:type="dxa"/>
              <w:bottom w:w="60" w:type="dxa"/>
              <w:right w:w="80" w:type="dxa"/>
            </w:tcMar>
            <w:vAlign w:val="center"/>
          </w:tcPr>
          <w:p w14:paraId="52B723B1">
            <w:pPr>
              <w:jc w:val="center"/>
            </w:pPr>
            <w:r>
              <w:rPr>
                <w:rFonts w:ascii="Calibri" w:hAnsi="Calibri" w:eastAsia="Calibri" w:cs="Calibri"/>
                <w:color w:val="000000"/>
                <w:sz w:val="19"/>
                <w:szCs w:val="19"/>
              </w:rPr>
              <w:t>No formal equipment siting risk assessment.</w:t>
            </w:r>
          </w:p>
        </w:tc>
        <w:tc>
          <w:tcPr>
            <w:tcW w:w="1000" w:type="dxa"/>
            <w:tcMar>
              <w:top w:w="60" w:type="dxa"/>
              <w:left w:w="80" w:type="dxa"/>
              <w:bottom w:w="60" w:type="dxa"/>
              <w:right w:w="80" w:type="dxa"/>
            </w:tcMar>
            <w:vAlign w:val="center"/>
          </w:tcPr>
          <w:p w14:paraId="229626B7">
            <w:pPr>
              <w:jc w:val="center"/>
            </w:pPr>
            <w:r>
              <w:rPr>
                <w:rFonts w:ascii="Calibri" w:hAnsi="Calibri" w:eastAsia="Calibri" w:cs="Calibri"/>
                <w:b/>
                <w:bCs/>
                <w:color w:val="375623"/>
                <w:sz w:val="19"/>
                <w:szCs w:val="19"/>
              </w:rPr>
              <w:t>Low</w:t>
            </w:r>
          </w:p>
        </w:tc>
      </w:tr>
      <w:tr w14:paraId="69643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2D1FB2B1">
            <w:pPr>
              <w:jc w:val="center"/>
            </w:pPr>
            <w:r>
              <w:rPr>
                <w:rFonts w:ascii="Calibri" w:hAnsi="Calibri" w:eastAsia="Calibri" w:cs="Calibri"/>
                <w:color w:val="000000"/>
                <w:sz w:val="19"/>
                <w:szCs w:val="19"/>
              </w:rPr>
              <w:t>7.9</w:t>
            </w:r>
          </w:p>
        </w:tc>
        <w:tc>
          <w:tcPr>
            <w:tcW w:w="3300" w:type="dxa"/>
            <w:tcMar>
              <w:top w:w="60" w:type="dxa"/>
              <w:left w:w="80" w:type="dxa"/>
              <w:bottom w:w="60" w:type="dxa"/>
              <w:right w:w="80" w:type="dxa"/>
            </w:tcMar>
            <w:vAlign w:val="center"/>
          </w:tcPr>
          <w:p w14:paraId="73119F4B">
            <w:pPr>
              <w:jc w:val="center"/>
            </w:pPr>
            <w:r>
              <w:rPr>
                <w:rFonts w:ascii="Calibri" w:hAnsi="Calibri" w:eastAsia="Calibri" w:cs="Calibri"/>
                <w:color w:val="000000"/>
                <w:sz w:val="19"/>
                <w:szCs w:val="19"/>
              </w:rPr>
              <w:t>Security of assets off-premises</w:t>
            </w:r>
          </w:p>
        </w:tc>
        <w:tc>
          <w:tcPr>
            <w:tcW w:w="4700" w:type="dxa"/>
            <w:tcMar>
              <w:top w:w="60" w:type="dxa"/>
              <w:left w:w="80" w:type="dxa"/>
              <w:bottom w:w="60" w:type="dxa"/>
              <w:right w:w="80" w:type="dxa"/>
            </w:tcMar>
            <w:vAlign w:val="center"/>
          </w:tcPr>
          <w:p w14:paraId="5968C0FA">
            <w:pPr>
              <w:jc w:val="center"/>
            </w:pPr>
            <w:r>
              <w:rPr>
                <w:rFonts w:ascii="Calibri" w:hAnsi="Calibri" w:eastAsia="Calibri" w:cs="Calibri"/>
                <w:color w:val="000000"/>
                <w:sz w:val="19"/>
                <w:szCs w:val="19"/>
              </w:rPr>
              <w:t>Laptops issued to staff for remote and branch work.</w:t>
            </w:r>
          </w:p>
        </w:tc>
        <w:tc>
          <w:tcPr>
            <w:tcW w:w="4700" w:type="dxa"/>
            <w:tcMar>
              <w:top w:w="60" w:type="dxa"/>
              <w:left w:w="80" w:type="dxa"/>
              <w:bottom w:w="60" w:type="dxa"/>
              <w:right w:w="80" w:type="dxa"/>
            </w:tcMar>
            <w:vAlign w:val="center"/>
          </w:tcPr>
          <w:p w14:paraId="4AD0C97B">
            <w:pPr>
              <w:jc w:val="center"/>
            </w:pPr>
            <w:r>
              <w:rPr>
                <w:rFonts w:ascii="Calibri" w:hAnsi="Calibri" w:eastAsia="Calibri" w:cs="Calibri"/>
                <w:color w:val="000000"/>
                <w:sz w:val="19"/>
                <w:szCs w:val="19"/>
              </w:rPr>
              <w:t>No policy governing security of off-premises assets.</w:t>
            </w:r>
          </w:p>
        </w:tc>
        <w:tc>
          <w:tcPr>
            <w:tcW w:w="1000" w:type="dxa"/>
            <w:tcMar>
              <w:top w:w="60" w:type="dxa"/>
              <w:left w:w="80" w:type="dxa"/>
              <w:bottom w:w="60" w:type="dxa"/>
              <w:right w:w="80" w:type="dxa"/>
            </w:tcMar>
            <w:vAlign w:val="center"/>
          </w:tcPr>
          <w:p w14:paraId="4B965398">
            <w:pPr>
              <w:jc w:val="center"/>
            </w:pPr>
            <w:r>
              <w:rPr>
                <w:rFonts w:ascii="Calibri" w:hAnsi="Calibri" w:eastAsia="Calibri" w:cs="Calibri"/>
                <w:b/>
                <w:bCs/>
                <w:color w:val="9C6500"/>
                <w:sz w:val="19"/>
                <w:szCs w:val="19"/>
              </w:rPr>
              <w:t>Medium</w:t>
            </w:r>
          </w:p>
        </w:tc>
      </w:tr>
      <w:tr w14:paraId="73586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6B0C7463">
            <w:pPr>
              <w:jc w:val="center"/>
            </w:pPr>
            <w:r>
              <w:rPr>
                <w:rFonts w:ascii="Calibri" w:hAnsi="Calibri" w:eastAsia="Calibri" w:cs="Calibri"/>
                <w:color w:val="000000"/>
                <w:sz w:val="19"/>
                <w:szCs w:val="19"/>
              </w:rPr>
              <w:t>7.10</w:t>
            </w:r>
          </w:p>
        </w:tc>
        <w:tc>
          <w:tcPr>
            <w:tcW w:w="3300" w:type="dxa"/>
            <w:tcMar>
              <w:top w:w="60" w:type="dxa"/>
              <w:left w:w="80" w:type="dxa"/>
              <w:bottom w:w="60" w:type="dxa"/>
              <w:right w:w="80" w:type="dxa"/>
            </w:tcMar>
            <w:vAlign w:val="center"/>
          </w:tcPr>
          <w:p w14:paraId="4C328BF6">
            <w:pPr>
              <w:jc w:val="center"/>
            </w:pPr>
            <w:r>
              <w:rPr>
                <w:rFonts w:ascii="Calibri" w:hAnsi="Calibri" w:eastAsia="Calibri" w:cs="Calibri"/>
                <w:color w:val="000000"/>
                <w:sz w:val="19"/>
                <w:szCs w:val="19"/>
              </w:rPr>
              <w:t>Storage media</w:t>
            </w:r>
          </w:p>
        </w:tc>
        <w:tc>
          <w:tcPr>
            <w:tcW w:w="4700" w:type="dxa"/>
            <w:tcMar>
              <w:top w:w="60" w:type="dxa"/>
              <w:left w:w="80" w:type="dxa"/>
              <w:bottom w:w="60" w:type="dxa"/>
              <w:right w:w="80" w:type="dxa"/>
            </w:tcMar>
            <w:vAlign w:val="center"/>
          </w:tcPr>
          <w:p w14:paraId="69F7E952">
            <w:pPr>
              <w:jc w:val="center"/>
            </w:pPr>
            <w:r>
              <w:rPr>
                <w:rFonts w:ascii="Calibri" w:hAnsi="Calibri" w:eastAsia="Calibri" w:cs="Calibri"/>
                <w:color w:val="000000"/>
                <w:sz w:val="19"/>
                <w:szCs w:val="19"/>
              </w:rPr>
              <w:t>Backup tapes and drives stored within the data center.</w:t>
            </w:r>
          </w:p>
        </w:tc>
        <w:tc>
          <w:tcPr>
            <w:tcW w:w="4700" w:type="dxa"/>
            <w:tcMar>
              <w:top w:w="60" w:type="dxa"/>
              <w:left w:w="80" w:type="dxa"/>
              <w:bottom w:w="60" w:type="dxa"/>
              <w:right w:w="80" w:type="dxa"/>
            </w:tcMar>
            <w:vAlign w:val="center"/>
          </w:tcPr>
          <w:p w14:paraId="6016C5B7">
            <w:pPr>
              <w:jc w:val="center"/>
            </w:pPr>
            <w:r>
              <w:rPr>
                <w:rFonts w:ascii="Calibri" w:hAnsi="Calibri" w:eastAsia="Calibri" w:cs="Calibri"/>
                <w:color w:val="000000"/>
                <w:sz w:val="19"/>
                <w:szCs w:val="19"/>
              </w:rPr>
              <w:t>No secure media handling and disposal procedure.</w:t>
            </w:r>
          </w:p>
        </w:tc>
        <w:tc>
          <w:tcPr>
            <w:tcW w:w="1000" w:type="dxa"/>
            <w:tcMar>
              <w:top w:w="60" w:type="dxa"/>
              <w:left w:w="80" w:type="dxa"/>
              <w:bottom w:w="60" w:type="dxa"/>
              <w:right w:w="80" w:type="dxa"/>
            </w:tcMar>
            <w:vAlign w:val="center"/>
          </w:tcPr>
          <w:p w14:paraId="31D5F97A">
            <w:pPr>
              <w:jc w:val="center"/>
            </w:pPr>
            <w:r>
              <w:rPr>
                <w:rFonts w:ascii="Calibri" w:hAnsi="Calibri" w:eastAsia="Calibri" w:cs="Calibri"/>
                <w:b/>
                <w:bCs/>
                <w:color w:val="9C6500"/>
                <w:sz w:val="19"/>
                <w:szCs w:val="19"/>
              </w:rPr>
              <w:t>Medium</w:t>
            </w:r>
          </w:p>
        </w:tc>
      </w:tr>
      <w:tr w14:paraId="1252F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557D410F">
            <w:pPr>
              <w:jc w:val="center"/>
            </w:pPr>
            <w:r>
              <w:rPr>
                <w:rFonts w:ascii="Calibri" w:hAnsi="Calibri" w:eastAsia="Calibri" w:cs="Calibri"/>
                <w:color w:val="000000"/>
                <w:sz w:val="19"/>
                <w:szCs w:val="19"/>
              </w:rPr>
              <w:t>7.11</w:t>
            </w:r>
          </w:p>
        </w:tc>
        <w:tc>
          <w:tcPr>
            <w:tcW w:w="3300" w:type="dxa"/>
            <w:tcMar>
              <w:top w:w="60" w:type="dxa"/>
              <w:left w:w="80" w:type="dxa"/>
              <w:bottom w:w="60" w:type="dxa"/>
              <w:right w:w="80" w:type="dxa"/>
            </w:tcMar>
            <w:vAlign w:val="center"/>
          </w:tcPr>
          <w:p w14:paraId="1FAD7F0B">
            <w:pPr>
              <w:jc w:val="center"/>
            </w:pPr>
            <w:r>
              <w:rPr>
                <w:rFonts w:ascii="Calibri" w:hAnsi="Calibri" w:eastAsia="Calibri" w:cs="Calibri"/>
                <w:color w:val="000000"/>
                <w:sz w:val="19"/>
                <w:szCs w:val="19"/>
              </w:rPr>
              <w:t>Supporting utilities</w:t>
            </w:r>
          </w:p>
        </w:tc>
        <w:tc>
          <w:tcPr>
            <w:tcW w:w="4700" w:type="dxa"/>
            <w:tcMar>
              <w:top w:w="60" w:type="dxa"/>
              <w:left w:w="80" w:type="dxa"/>
              <w:bottom w:w="60" w:type="dxa"/>
              <w:right w:w="80" w:type="dxa"/>
            </w:tcMar>
            <w:vAlign w:val="center"/>
          </w:tcPr>
          <w:p w14:paraId="0F916248">
            <w:pPr>
              <w:jc w:val="center"/>
            </w:pPr>
            <w:r>
              <w:rPr>
                <w:rFonts w:ascii="Calibri" w:hAnsi="Calibri" w:eastAsia="Calibri" w:cs="Calibri"/>
                <w:color w:val="000000"/>
                <w:sz w:val="19"/>
                <w:szCs w:val="19"/>
              </w:rPr>
              <w:t>UPS and generator backup available at the data center.</w:t>
            </w:r>
          </w:p>
        </w:tc>
        <w:tc>
          <w:tcPr>
            <w:tcW w:w="4700" w:type="dxa"/>
            <w:tcMar>
              <w:top w:w="60" w:type="dxa"/>
              <w:left w:w="80" w:type="dxa"/>
              <w:bottom w:w="60" w:type="dxa"/>
              <w:right w:w="80" w:type="dxa"/>
            </w:tcMar>
            <w:vAlign w:val="center"/>
          </w:tcPr>
          <w:p w14:paraId="54A6F9A9">
            <w:pPr>
              <w:jc w:val="center"/>
            </w:pPr>
            <w:r>
              <w:rPr>
                <w:rFonts w:ascii="Calibri" w:hAnsi="Calibri" w:eastAsia="Calibri" w:cs="Calibri"/>
                <w:color w:val="000000"/>
                <w:sz w:val="19"/>
                <w:szCs w:val="19"/>
              </w:rPr>
              <w:t>No formal, scheduled utility failure testing.</w:t>
            </w:r>
          </w:p>
        </w:tc>
        <w:tc>
          <w:tcPr>
            <w:tcW w:w="1000" w:type="dxa"/>
            <w:tcMar>
              <w:top w:w="60" w:type="dxa"/>
              <w:left w:w="80" w:type="dxa"/>
              <w:bottom w:w="60" w:type="dxa"/>
              <w:right w:w="80" w:type="dxa"/>
            </w:tcMar>
            <w:vAlign w:val="center"/>
          </w:tcPr>
          <w:p w14:paraId="768EAC8F">
            <w:pPr>
              <w:jc w:val="center"/>
            </w:pPr>
            <w:r>
              <w:rPr>
                <w:rFonts w:ascii="Calibri" w:hAnsi="Calibri" w:eastAsia="Calibri" w:cs="Calibri"/>
                <w:b/>
                <w:bCs/>
                <w:color w:val="375623"/>
                <w:sz w:val="19"/>
                <w:szCs w:val="19"/>
              </w:rPr>
              <w:t>Low</w:t>
            </w:r>
          </w:p>
        </w:tc>
      </w:tr>
      <w:tr w14:paraId="6FC85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1032937C">
            <w:pPr>
              <w:jc w:val="center"/>
            </w:pPr>
            <w:r>
              <w:rPr>
                <w:rFonts w:ascii="Calibri" w:hAnsi="Calibri" w:eastAsia="Calibri" w:cs="Calibri"/>
                <w:color w:val="000000"/>
                <w:sz w:val="19"/>
                <w:szCs w:val="19"/>
              </w:rPr>
              <w:t>7.12</w:t>
            </w:r>
          </w:p>
        </w:tc>
        <w:tc>
          <w:tcPr>
            <w:tcW w:w="3300" w:type="dxa"/>
            <w:tcMar>
              <w:top w:w="60" w:type="dxa"/>
              <w:left w:w="80" w:type="dxa"/>
              <w:bottom w:w="60" w:type="dxa"/>
              <w:right w:w="80" w:type="dxa"/>
            </w:tcMar>
            <w:vAlign w:val="center"/>
          </w:tcPr>
          <w:p w14:paraId="32D8252B">
            <w:pPr>
              <w:jc w:val="center"/>
            </w:pPr>
            <w:r>
              <w:rPr>
                <w:rFonts w:ascii="Calibri" w:hAnsi="Calibri" w:eastAsia="Calibri" w:cs="Calibri"/>
                <w:color w:val="000000"/>
                <w:sz w:val="19"/>
                <w:szCs w:val="19"/>
              </w:rPr>
              <w:t>Cabling security</w:t>
            </w:r>
          </w:p>
        </w:tc>
        <w:tc>
          <w:tcPr>
            <w:tcW w:w="4700" w:type="dxa"/>
            <w:tcMar>
              <w:top w:w="60" w:type="dxa"/>
              <w:left w:w="80" w:type="dxa"/>
              <w:bottom w:w="60" w:type="dxa"/>
              <w:right w:w="80" w:type="dxa"/>
            </w:tcMar>
            <w:vAlign w:val="center"/>
          </w:tcPr>
          <w:p w14:paraId="54C2D48D">
            <w:pPr>
              <w:jc w:val="center"/>
            </w:pPr>
            <w:r>
              <w:rPr>
                <w:rFonts w:ascii="Calibri" w:hAnsi="Calibri" w:eastAsia="Calibri" w:cs="Calibri"/>
                <w:color w:val="000000"/>
                <w:sz w:val="19"/>
                <w:szCs w:val="19"/>
              </w:rPr>
              <w:t>Structured cabling installed in the data center.</w:t>
            </w:r>
          </w:p>
        </w:tc>
        <w:tc>
          <w:tcPr>
            <w:tcW w:w="4700" w:type="dxa"/>
            <w:tcMar>
              <w:top w:w="60" w:type="dxa"/>
              <w:left w:w="80" w:type="dxa"/>
              <w:bottom w:w="60" w:type="dxa"/>
              <w:right w:w="80" w:type="dxa"/>
            </w:tcMar>
            <w:vAlign w:val="center"/>
          </w:tcPr>
          <w:p w14:paraId="3E8C35EE">
            <w:pPr>
              <w:jc w:val="center"/>
            </w:pPr>
            <w:r>
              <w:rPr>
                <w:rFonts w:ascii="Calibri" w:hAnsi="Calibri" w:eastAsia="Calibri" w:cs="Calibri"/>
                <w:color w:val="000000"/>
                <w:sz w:val="19"/>
                <w:szCs w:val="19"/>
              </w:rPr>
              <w:t>Not documented or inspected on a periodic basis.</w:t>
            </w:r>
          </w:p>
        </w:tc>
        <w:tc>
          <w:tcPr>
            <w:tcW w:w="1000" w:type="dxa"/>
            <w:tcMar>
              <w:top w:w="60" w:type="dxa"/>
              <w:left w:w="80" w:type="dxa"/>
              <w:bottom w:w="60" w:type="dxa"/>
              <w:right w:w="80" w:type="dxa"/>
            </w:tcMar>
            <w:vAlign w:val="center"/>
          </w:tcPr>
          <w:p w14:paraId="176778F1">
            <w:pPr>
              <w:jc w:val="center"/>
            </w:pPr>
            <w:r>
              <w:rPr>
                <w:rFonts w:ascii="Calibri" w:hAnsi="Calibri" w:eastAsia="Calibri" w:cs="Calibri"/>
                <w:b/>
                <w:bCs/>
                <w:color w:val="375623"/>
                <w:sz w:val="19"/>
                <w:szCs w:val="19"/>
              </w:rPr>
              <w:t>Low</w:t>
            </w:r>
          </w:p>
        </w:tc>
      </w:tr>
      <w:tr w14:paraId="3F52C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152D9C87">
            <w:pPr>
              <w:jc w:val="center"/>
            </w:pPr>
            <w:r>
              <w:rPr>
                <w:rFonts w:ascii="Calibri" w:hAnsi="Calibri" w:eastAsia="Calibri" w:cs="Calibri"/>
                <w:color w:val="000000"/>
                <w:sz w:val="19"/>
                <w:szCs w:val="19"/>
              </w:rPr>
              <w:t>7.13</w:t>
            </w:r>
          </w:p>
        </w:tc>
        <w:tc>
          <w:tcPr>
            <w:tcW w:w="3300" w:type="dxa"/>
            <w:tcMar>
              <w:top w:w="60" w:type="dxa"/>
              <w:left w:w="80" w:type="dxa"/>
              <w:bottom w:w="60" w:type="dxa"/>
              <w:right w:w="80" w:type="dxa"/>
            </w:tcMar>
            <w:vAlign w:val="center"/>
          </w:tcPr>
          <w:p w14:paraId="55D6044B">
            <w:pPr>
              <w:jc w:val="center"/>
            </w:pPr>
            <w:r>
              <w:rPr>
                <w:rFonts w:ascii="Calibri" w:hAnsi="Calibri" w:eastAsia="Calibri" w:cs="Calibri"/>
                <w:color w:val="000000"/>
                <w:sz w:val="19"/>
                <w:szCs w:val="19"/>
              </w:rPr>
              <w:t>Equipment maintenance</w:t>
            </w:r>
          </w:p>
        </w:tc>
        <w:tc>
          <w:tcPr>
            <w:tcW w:w="4700" w:type="dxa"/>
            <w:tcMar>
              <w:top w:w="60" w:type="dxa"/>
              <w:left w:w="80" w:type="dxa"/>
              <w:bottom w:w="60" w:type="dxa"/>
              <w:right w:w="80" w:type="dxa"/>
            </w:tcMar>
            <w:vAlign w:val="center"/>
          </w:tcPr>
          <w:p w14:paraId="10C86E76">
            <w:pPr>
              <w:jc w:val="center"/>
            </w:pPr>
            <w:r>
              <w:rPr>
                <w:rFonts w:ascii="Calibri" w:hAnsi="Calibri" w:eastAsia="Calibri" w:cs="Calibri"/>
                <w:color w:val="000000"/>
                <w:sz w:val="19"/>
                <w:szCs w:val="19"/>
              </w:rPr>
              <w:t>Vendor maintenance contracts cover core systems.</w:t>
            </w:r>
          </w:p>
        </w:tc>
        <w:tc>
          <w:tcPr>
            <w:tcW w:w="4700" w:type="dxa"/>
            <w:tcMar>
              <w:top w:w="60" w:type="dxa"/>
              <w:left w:w="80" w:type="dxa"/>
              <w:bottom w:w="60" w:type="dxa"/>
              <w:right w:w="80" w:type="dxa"/>
            </w:tcMar>
            <w:vAlign w:val="center"/>
          </w:tcPr>
          <w:p w14:paraId="5467B34D">
            <w:pPr>
              <w:jc w:val="center"/>
            </w:pPr>
            <w:r>
              <w:rPr>
                <w:rFonts w:ascii="Calibri" w:hAnsi="Calibri" w:eastAsia="Calibri" w:cs="Calibri"/>
                <w:color w:val="000000"/>
                <w:sz w:val="19"/>
                <w:szCs w:val="19"/>
              </w:rPr>
              <w:t>No centralized equipment maintenance log.</w:t>
            </w:r>
          </w:p>
        </w:tc>
        <w:tc>
          <w:tcPr>
            <w:tcW w:w="1000" w:type="dxa"/>
            <w:tcMar>
              <w:top w:w="60" w:type="dxa"/>
              <w:left w:w="80" w:type="dxa"/>
              <w:bottom w:w="60" w:type="dxa"/>
              <w:right w:w="80" w:type="dxa"/>
            </w:tcMar>
            <w:vAlign w:val="center"/>
          </w:tcPr>
          <w:p w14:paraId="5A0F1AB7">
            <w:pPr>
              <w:jc w:val="center"/>
            </w:pPr>
            <w:r>
              <w:rPr>
                <w:rFonts w:ascii="Calibri" w:hAnsi="Calibri" w:eastAsia="Calibri" w:cs="Calibri"/>
                <w:b/>
                <w:bCs/>
                <w:color w:val="375623"/>
                <w:sz w:val="19"/>
                <w:szCs w:val="19"/>
              </w:rPr>
              <w:t>Low</w:t>
            </w:r>
          </w:p>
        </w:tc>
      </w:tr>
      <w:tr w14:paraId="585E9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4F5780E7">
            <w:pPr>
              <w:jc w:val="center"/>
            </w:pPr>
            <w:r>
              <w:rPr>
                <w:rFonts w:ascii="Calibri" w:hAnsi="Calibri" w:eastAsia="Calibri" w:cs="Calibri"/>
                <w:color w:val="000000"/>
                <w:sz w:val="19"/>
                <w:szCs w:val="19"/>
              </w:rPr>
              <w:t>7.14</w:t>
            </w:r>
          </w:p>
        </w:tc>
        <w:tc>
          <w:tcPr>
            <w:tcW w:w="3300" w:type="dxa"/>
            <w:tcMar>
              <w:top w:w="60" w:type="dxa"/>
              <w:left w:w="80" w:type="dxa"/>
              <w:bottom w:w="60" w:type="dxa"/>
              <w:right w:w="80" w:type="dxa"/>
            </w:tcMar>
            <w:vAlign w:val="center"/>
          </w:tcPr>
          <w:p w14:paraId="52815FE9">
            <w:pPr>
              <w:jc w:val="center"/>
            </w:pPr>
            <w:r>
              <w:rPr>
                <w:rFonts w:ascii="Calibri" w:hAnsi="Calibri" w:eastAsia="Calibri" w:cs="Calibri"/>
                <w:color w:val="000000"/>
                <w:sz w:val="19"/>
                <w:szCs w:val="19"/>
              </w:rPr>
              <w:t>Secure disposal or re-use of equipment</w:t>
            </w:r>
          </w:p>
        </w:tc>
        <w:tc>
          <w:tcPr>
            <w:tcW w:w="4700" w:type="dxa"/>
            <w:tcMar>
              <w:top w:w="60" w:type="dxa"/>
              <w:left w:w="80" w:type="dxa"/>
              <w:bottom w:w="60" w:type="dxa"/>
              <w:right w:w="80" w:type="dxa"/>
            </w:tcMar>
            <w:vAlign w:val="center"/>
          </w:tcPr>
          <w:p w14:paraId="60211D61">
            <w:pPr>
              <w:jc w:val="center"/>
            </w:pPr>
            <w:r>
              <w:rPr>
                <w:rFonts w:ascii="Calibri" w:hAnsi="Calibri" w:eastAsia="Calibri" w:cs="Calibri"/>
                <w:color w:val="000000"/>
                <w:sz w:val="19"/>
                <w:szCs w:val="19"/>
              </w:rPr>
              <w:t>Disposal handled on an ad hoc basis by IT.</w:t>
            </w:r>
          </w:p>
        </w:tc>
        <w:tc>
          <w:tcPr>
            <w:tcW w:w="4700" w:type="dxa"/>
            <w:tcMar>
              <w:top w:w="60" w:type="dxa"/>
              <w:left w:w="80" w:type="dxa"/>
              <w:bottom w:w="60" w:type="dxa"/>
              <w:right w:w="80" w:type="dxa"/>
            </w:tcMar>
            <w:vAlign w:val="center"/>
          </w:tcPr>
          <w:p w14:paraId="5231B7D5">
            <w:pPr>
              <w:jc w:val="center"/>
            </w:pPr>
            <w:r>
              <w:rPr>
                <w:rFonts w:ascii="Calibri" w:hAnsi="Calibri" w:eastAsia="Calibri" w:cs="Calibri"/>
                <w:color w:val="000000"/>
                <w:sz w:val="19"/>
                <w:szCs w:val="19"/>
              </w:rPr>
              <w:t>No certified secure data wiping or disposal procedure.</w:t>
            </w:r>
          </w:p>
        </w:tc>
        <w:tc>
          <w:tcPr>
            <w:tcW w:w="1000" w:type="dxa"/>
            <w:tcMar>
              <w:top w:w="60" w:type="dxa"/>
              <w:left w:w="80" w:type="dxa"/>
              <w:bottom w:w="60" w:type="dxa"/>
              <w:right w:w="80" w:type="dxa"/>
            </w:tcMar>
            <w:vAlign w:val="center"/>
          </w:tcPr>
          <w:p w14:paraId="424A07BE">
            <w:pPr>
              <w:jc w:val="center"/>
            </w:pPr>
            <w:r>
              <w:rPr>
                <w:rFonts w:ascii="Calibri" w:hAnsi="Calibri" w:eastAsia="Calibri" w:cs="Calibri"/>
                <w:b/>
                <w:bCs/>
                <w:color w:val="C00000"/>
                <w:sz w:val="19"/>
                <w:szCs w:val="19"/>
              </w:rPr>
              <w:t>High</w:t>
            </w:r>
          </w:p>
        </w:tc>
      </w:tr>
    </w:tbl>
    <w:p w14:paraId="260D4D2E">
      <w:pPr>
        <w:spacing w:after="200"/>
      </w:pPr>
    </w:p>
    <w:p w14:paraId="1B776042">
      <w:pPr>
        <w:spacing w:before="200" w:after="100"/>
        <w:jc w:val="center"/>
      </w:pPr>
      <w:r>
        <w:rPr>
          <w:rFonts w:ascii="Times New Roman" w:hAnsi="Times New Roman" w:eastAsia="Times New Roman" w:cs="Times New Roman"/>
          <w:b/>
          <w:bCs/>
          <w:color w:val="000000"/>
          <w:sz w:val="22"/>
          <w:szCs w:val="22"/>
        </w:rPr>
        <w:t>4.4 A.8 - Technological Controls (34 controls)</w:t>
      </w:r>
    </w:p>
    <w:tbl>
      <w:tblPr>
        <w:tblStyle w:val="9"/>
        <w:tblW w:w="14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3300"/>
        <w:gridCol w:w="4700"/>
        <w:gridCol w:w="4700"/>
        <w:gridCol w:w="1000"/>
      </w:tblGrid>
      <w:tr w14:paraId="57CF6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900" w:type="dxa"/>
            <w:shd w:val="clear" w:color="auto" w:fill="D9D9D9"/>
            <w:tcMar>
              <w:top w:w="60" w:type="dxa"/>
              <w:left w:w="80" w:type="dxa"/>
              <w:bottom w:w="60" w:type="dxa"/>
              <w:right w:w="80" w:type="dxa"/>
            </w:tcMar>
            <w:vAlign w:val="center"/>
          </w:tcPr>
          <w:p w14:paraId="392E65FB">
            <w:pPr>
              <w:jc w:val="center"/>
            </w:pPr>
            <w:r>
              <w:rPr>
                <w:rFonts w:ascii="Calibri" w:hAnsi="Calibri" w:eastAsia="Calibri" w:cs="Calibri"/>
                <w:b/>
                <w:bCs/>
                <w:color w:val="000000"/>
                <w:sz w:val="19"/>
                <w:szCs w:val="19"/>
              </w:rPr>
              <w:t>Ref</w:t>
            </w:r>
          </w:p>
        </w:tc>
        <w:tc>
          <w:tcPr>
            <w:tcW w:w="3300" w:type="dxa"/>
            <w:shd w:val="clear" w:color="auto" w:fill="D9D9D9"/>
            <w:tcMar>
              <w:top w:w="60" w:type="dxa"/>
              <w:left w:w="80" w:type="dxa"/>
              <w:bottom w:w="60" w:type="dxa"/>
              <w:right w:w="80" w:type="dxa"/>
            </w:tcMar>
            <w:vAlign w:val="center"/>
          </w:tcPr>
          <w:p w14:paraId="1BBC53F1">
            <w:pPr>
              <w:jc w:val="center"/>
            </w:pPr>
            <w:r>
              <w:rPr>
                <w:rFonts w:ascii="Calibri" w:hAnsi="Calibri" w:eastAsia="Calibri" w:cs="Calibri"/>
                <w:b/>
                <w:bCs/>
                <w:color w:val="000000"/>
                <w:sz w:val="19"/>
                <w:szCs w:val="19"/>
              </w:rPr>
              <w:t>Control</w:t>
            </w:r>
          </w:p>
        </w:tc>
        <w:tc>
          <w:tcPr>
            <w:tcW w:w="4700" w:type="dxa"/>
            <w:shd w:val="clear" w:color="auto" w:fill="D9D9D9"/>
            <w:tcMar>
              <w:top w:w="60" w:type="dxa"/>
              <w:left w:w="80" w:type="dxa"/>
              <w:bottom w:w="60" w:type="dxa"/>
              <w:right w:w="80" w:type="dxa"/>
            </w:tcMar>
            <w:vAlign w:val="center"/>
          </w:tcPr>
          <w:p w14:paraId="0A0A4B6A">
            <w:pPr>
              <w:jc w:val="center"/>
            </w:pPr>
            <w:r>
              <w:rPr>
                <w:rFonts w:ascii="Calibri" w:hAnsi="Calibri" w:eastAsia="Calibri" w:cs="Calibri"/>
                <w:b/>
                <w:bCs/>
                <w:color w:val="000000"/>
                <w:sz w:val="19"/>
                <w:szCs w:val="19"/>
              </w:rPr>
              <w:t>Current State</w:t>
            </w:r>
          </w:p>
        </w:tc>
        <w:tc>
          <w:tcPr>
            <w:tcW w:w="4700" w:type="dxa"/>
            <w:shd w:val="clear" w:color="auto" w:fill="D9D9D9"/>
            <w:tcMar>
              <w:top w:w="60" w:type="dxa"/>
              <w:left w:w="80" w:type="dxa"/>
              <w:bottom w:w="60" w:type="dxa"/>
              <w:right w:w="80" w:type="dxa"/>
            </w:tcMar>
            <w:vAlign w:val="center"/>
          </w:tcPr>
          <w:p w14:paraId="0D8F40CB">
            <w:pPr>
              <w:jc w:val="center"/>
            </w:pPr>
            <w:r>
              <w:rPr>
                <w:rFonts w:ascii="Calibri" w:hAnsi="Calibri" w:eastAsia="Calibri" w:cs="Calibri"/>
                <w:b/>
                <w:bCs/>
                <w:color w:val="000000"/>
                <w:sz w:val="19"/>
                <w:szCs w:val="19"/>
              </w:rPr>
              <w:t>Gap Identified</w:t>
            </w:r>
          </w:p>
        </w:tc>
        <w:tc>
          <w:tcPr>
            <w:tcW w:w="1000" w:type="dxa"/>
            <w:shd w:val="clear" w:color="auto" w:fill="D9D9D9"/>
            <w:tcMar>
              <w:top w:w="60" w:type="dxa"/>
              <w:left w:w="80" w:type="dxa"/>
              <w:bottom w:w="60" w:type="dxa"/>
              <w:right w:w="80" w:type="dxa"/>
            </w:tcMar>
            <w:vAlign w:val="center"/>
          </w:tcPr>
          <w:p w14:paraId="48DBC28F">
            <w:pPr>
              <w:jc w:val="center"/>
            </w:pPr>
            <w:r>
              <w:rPr>
                <w:rFonts w:ascii="Calibri" w:hAnsi="Calibri" w:eastAsia="Calibri" w:cs="Calibri"/>
                <w:b/>
                <w:bCs/>
                <w:color w:val="000000"/>
                <w:sz w:val="19"/>
                <w:szCs w:val="19"/>
              </w:rPr>
              <w:t>Priority</w:t>
            </w:r>
          </w:p>
        </w:tc>
      </w:tr>
      <w:tr w14:paraId="15FCD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2D921B0B">
            <w:pPr>
              <w:jc w:val="center"/>
            </w:pPr>
            <w:r>
              <w:rPr>
                <w:rFonts w:ascii="Calibri" w:hAnsi="Calibri" w:eastAsia="Calibri" w:cs="Calibri"/>
                <w:color w:val="000000"/>
                <w:sz w:val="19"/>
                <w:szCs w:val="19"/>
              </w:rPr>
              <w:t>8.1</w:t>
            </w:r>
          </w:p>
        </w:tc>
        <w:tc>
          <w:tcPr>
            <w:tcW w:w="3300" w:type="dxa"/>
            <w:tcMar>
              <w:top w:w="60" w:type="dxa"/>
              <w:left w:w="80" w:type="dxa"/>
              <w:bottom w:w="60" w:type="dxa"/>
              <w:right w:w="80" w:type="dxa"/>
            </w:tcMar>
            <w:vAlign w:val="center"/>
          </w:tcPr>
          <w:p w14:paraId="15CC60D9">
            <w:pPr>
              <w:jc w:val="center"/>
            </w:pPr>
            <w:r>
              <w:rPr>
                <w:rFonts w:ascii="Calibri" w:hAnsi="Calibri" w:eastAsia="Calibri" w:cs="Calibri"/>
                <w:color w:val="000000"/>
                <w:sz w:val="19"/>
                <w:szCs w:val="19"/>
              </w:rPr>
              <w:t>User endpoint devices</w:t>
            </w:r>
          </w:p>
        </w:tc>
        <w:tc>
          <w:tcPr>
            <w:tcW w:w="4700" w:type="dxa"/>
            <w:tcMar>
              <w:top w:w="60" w:type="dxa"/>
              <w:left w:w="80" w:type="dxa"/>
              <w:bottom w:w="60" w:type="dxa"/>
              <w:right w:w="80" w:type="dxa"/>
            </w:tcMar>
            <w:vAlign w:val="center"/>
          </w:tcPr>
          <w:p w14:paraId="0189FA72">
            <w:pPr>
              <w:jc w:val="center"/>
            </w:pPr>
            <w:r>
              <w:rPr>
                <w:rFonts w:ascii="Calibri" w:hAnsi="Calibri" w:eastAsia="Calibri" w:cs="Calibri"/>
                <w:color w:val="000000"/>
                <w:sz w:val="19"/>
                <w:szCs w:val="19"/>
              </w:rPr>
              <w:t>Standard laptop images issued to staff.</w:t>
            </w:r>
          </w:p>
        </w:tc>
        <w:tc>
          <w:tcPr>
            <w:tcW w:w="4700" w:type="dxa"/>
            <w:tcMar>
              <w:top w:w="60" w:type="dxa"/>
              <w:left w:w="80" w:type="dxa"/>
              <w:bottom w:w="60" w:type="dxa"/>
              <w:right w:w="80" w:type="dxa"/>
            </w:tcMar>
            <w:vAlign w:val="center"/>
          </w:tcPr>
          <w:p w14:paraId="0CE0CF3D">
            <w:pPr>
              <w:jc w:val="center"/>
            </w:pPr>
            <w:r>
              <w:rPr>
                <w:rFonts w:ascii="Calibri" w:hAnsi="Calibri" w:eastAsia="Calibri" w:cs="Calibri"/>
                <w:color w:val="000000"/>
                <w:sz w:val="19"/>
                <w:szCs w:val="19"/>
              </w:rPr>
              <w:t>No formal endpoint hardening baseline defined.</w:t>
            </w:r>
          </w:p>
        </w:tc>
        <w:tc>
          <w:tcPr>
            <w:tcW w:w="1000" w:type="dxa"/>
            <w:tcMar>
              <w:top w:w="60" w:type="dxa"/>
              <w:left w:w="80" w:type="dxa"/>
              <w:bottom w:w="60" w:type="dxa"/>
              <w:right w:w="80" w:type="dxa"/>
            </w:tcMar>
            <w:vAlign w:val="center"/>
          </w:tcPr>
          <w:p w14:paraId="698861DF">
            <w:pPr>
              <w:jc w:val="center"/>
            </w:pPr>
            <w:r>
              <w:rPr>
                <w:rFonts w:ascii="Calibri" w:hAnsi="Calibri" w:eastAsia="Calibri" w:cs="Calibri"/>
                <w:b/>
                <w:bCs/>
                <w:color w:val="9C6500"/>
                <w:sz w:val="19"/>
                <w:szCs w:val="19"/>
              </w:rPr>
              <w:t>Medium</w:t>
            </w:r>
          </w:p>
        </w:tc>
      </w:tr>
      <w:tr w14:paraId="6392F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2AF8C6D1">
            <w:pPr>
              <w:jc w:val="center"/>
            </w:pPr>
            <w:r>
              <w:rPr>
                <w:rFonts w:ascii="Calibri" w:hAnsi="Calibri" w:eastAsia="Calibri" w:cs="Calibri"/>
                <w:color w:val="000000"/>
                <w:sz w:val="19"/>
                <w:szCs w:val="19"/>
              </w:rPr>
              <w:t>8.2</w:t>
            </w:r>
          </w:p>
        </w:tc>
        <w:tc>
          <w:tcPr>
            <w:tcW w:w="3300" w:type="dxa"/>
            <w:tcMar>
              <w:top w:w="60" w:type="dxa"/>
              <w:left w:w="80" w:type="dxa"/>
              <w:bottom w:w="60" w:type="dxa"/>
              <w:right w:w="80" w:type="dxa"/>
            </w:tcMar>
            <w:vAlign w:val="center"/>
          </w:tcPr>
          <w:p w14:paraId="59BCBA8C">
            <w:pPr>
              <w:jc w:val="center"/>
            </w:pPr>
            <w:r>
              <w:rPr>
                <w:rFonts w:ascii="Calibri" w:hAnsi="Calibri" w:eastAsia="Calibri" w:cs="Calibri"/>
                <w:color w:val="000000"/>
                <w:sz w:val="19"/>
                <w:szCs w:val="19"/>
              </w:rPr>
              <w:t>Privileged access rights</w:t>
            </w:r>
          </w:p>
        </w:tc>
        <w:tc>
          <w:tcPr>
            <w:tcW w:w="4700" w:type="dxa"/>
            <w:tcMar>
              <w:top w:w="60" w:type="dxa"/>
              <w:left w:w="80" w:type="dxa"/>
              <w:bottom w:w="60" w:type="dxa"/>
              <w:right w:w="80" w:type="dxa"/>
            </w:tcMar>
            <w:vAlign w:val="center"/>
          </w:tcPr>
          <w:p w14:paraId="2D5D304C">
            <w:pPr>
              <w:jc w:val="center"/>
            </w:pPr>
            <w:r>
              <w:rPr>
                <w:rFonts w:ascii="Calibri" w:hAnsi="Calibri" w:eastAsia="Calibri" w:cs="Calibri"/>
                <w:color w:val="000000"/>
                <w:sz w:val="19"/>
                <w:szCs w:val="19"/>
              </w:rPr>
              <w:t>Privileged Access Management (PAM) solution deployed.</w:t>
            </w:r>
          </w:p>
        </w:tc>
        <w:tc>
          <w:tcPr>
            <w:tcW w:w="4700" w:type="dxa"/>
            <w:tcMar>
              <w:top w:w="60" w:type="dxa"/>
              <w:left w:w="80" w:type="dxa"/>
              <w:bottom w:w="60" w:type="dxa"/>
              <w:right w:w="80" w:type="dxa"/>
            </w:tcMar>
            <w:vAlign w:val="center"/>
          </w:tcPr>
          <w:p w14:paraId="2A8D9019">
            <w:pPr>
              <w:jc w:val="center"/>
            </w:pPr>
            <w:r>
              <w:rPr>
                <w:rFonts w:ascii="Calibri" w:hAnsi="Calibri" w:eastAsia="Calibri" w:cs="Calibri"/>
                <w:color w:val="000000"/>
                <w:sz w:val="19"/>
                <w:szCs w:val="19"/>
              </w:rPr>
              <w:t>Periodic review of privileged accounts not formalized.</w:t>
            </w:r>
          </w:p>
        </w:tc>
        <w:tc>
          <w:tcPr>
            <w:tcW w:w="1000" w:type="dxa"/>
            <w:tcMar>
              <w:top w:w="60" w:type="dxa"/>
              <w:left w:w="80" w:type="dxa"/>
              <w:bottom w:w="60" w:type="dxa"/>
              <w:right w:w="80" w:type="dxa"/>
            </w:tcMar>
            <w:vAlign w:val="center"/>
          </w:tcPr>
          <w:p w14:paraId="79A9FBBF">
            <w:pPr>
              <w:jc w:val="center"/>
            </w:pPr>
            <w:r>
              <w:rPr>
                <w:rFonts w:ascii="Calibri" w:hAnsi="Calibri" w:eastAsia="Calibri" w:cs="Calibri"/>
                <w:b/>
                <w:bCs/>
                <w:color w:val="9C6500"/>
                <w:sz w:val="19"/>
                <w:szCs w:val="19"/>
              </w:rPr>
              <w:t>Medium</w:t>
            </w:r>
          </w:p>
        </w:tc>
      </w:tr>
      <w:tr w14:paraId="215A4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61DD0BA5">
            <w:pPr>
              <w:jc w:val="center"/>
            </w:pPr>
            <w:r>
              <w:rPr>
                <w:rFonts w:ascii="Calibri" w:hAnsi="Calibri" w:eastAsia="Calibri" w:cs="Calibri"/>
                <w:color w:val="000000"/>
                <w:sz w:val="19"/>
                <w:szCs w:val="19"/>
              </w:rPr>
              <w:t>8.3</w:t>
            </w:r>
          </w:p>
        </w:tc>
        <w:tc>
          <w:tcPr>
            <w:tcW w:w="3300" w:type="dxa"/>
            <w:tcMar>
              <w:top w:w="60" w:type="dxa"/>
              <w:left w:w="80" w:type="dxa"/>
              <w:bottom w:w="60" w:type="dxa"/>
              <w:right w:w="80" w:type="dxa"/>
            </w:tcMar>
            <w:vAlign w:val="center"/>
          </w:tcPr>
          <w:p w14:paraId="544EFE45">
            <w:pPr>
              <w:jc w:val="center"/>
            </w:pPr>
            <w:r>
              <w:rPr>
                <w:rFonts w:ascii="Calibri" w:hAnsi="Calibri" w:eastAsia="Calibri" w:cs="Calibri"/>
                <w:color w:val="000000"/>
                <w:sz w:val="19"/>
                <w:szCs w:val="19"/>
              </w:rPr>
              <w:t>Information access restriction</w:t>
            </w:r>
          </w:p>
        </w:tc>
        <w:tc>
          <w:tcPr>
            <w:tcW w:w="4700" w:type="dxa"/>
            <w:tcMar>
              <w:top w:w="60" w:type="dxa"/>
              <w:left w:w="80" w:type="dxa"/>
              <w:bottom w:w="60" w:type="dxa"/>
              <w:right w:w="80" w:type="dxa"/>
            </w:tcMar>
            <w:vAlign w:val="center"/>
          </w:tcPr>
          <w:p w14:paraId="4A59369B">
            <w:pPr>
              <w:jc w:val="center"/>
            </w:pPr>
            <w:r>
              <w:rPr>
                <w:rFonts w:ascii="Calibri" w:hAnsi="Calibri" w:eastAsia="Calibri" w:cs="Calibri"/>
                <w:color w:val="000000"/>
                <w:sz w:val="19"/>
                <w:szCs w:val="19"/>
              </w:rPr>
              <w:t>RBAC enforced on the core banking platform.</w:t>
            </w:r>
          </w:p>
        </w:tc>
        <w:tc>
          <w:tcPr>
            <w:tcW w:w="4700" w:type="dxa"/>
            <w:tcMar>
              <w:top w:w="60" w:type="dxa"/>
              <w:left w:w="80" w:type="dxa"/>
              <w:bottom w:w="60" w:type="dxa"/>
              <w:right w:w="80" w:type="dxa"/>
            </w:tcMar>
            <w:vAlign w:val="center"/>
          </w:tcPr>
          <w:p w14:paraId="61AB8EAA">
            <w:pPr>
              <w:jc w:val="center"/>
            </w:pPr>
            <w:r>
              <w:rPr>
                <w:rFonts w:ascii="Calibri" w:hAnsi="Calibri" w:eastAsia="Calibri" w:cs="Calibri"/>
                <w:color w:val="000000"/>
                <w:sz w:val="19"/>
                <w:szCs w:val="19"/>
              </w:rPr>
              <w:t>Not consistently applied to BI and analytics platform.</w:t>
            </w:r>
          </w:p>
        </w:tc>
        <w:tc>
          <w:tcPr>
            <w:tcW w:w="1000" w:type="dxa"/>
            <w:tcMar>
              <w:top w:w="60" w:type="dxa"/>
              <w:left w:w="80" w:type="dxa"/>
              <w:bottom w:w="60" w:type="dxa"/>
              <w:right w:w="80" w:type="dxa"/>
            </w:tcMar>
            <w:vAlign w:val="center"/>
          </w:tcPr>
          <w:p w14:paraId="7C4732CF">
            <w:pPr>
              <w:jc w:val="center"/>
            </w:pPr>
            <w:r>
              <w:rPr>
                <w:rFonts w:ascii="Calibri" w:hAnsi="Calibri" w:eastAsia="Calibri" w:cs="Calibri"/>
                <w:b/>
                <w:bCs/>
                <w:color w:val="9C6500"/>
                <w:sz w:val="19"/>
                <w:szCs w:val="19"/>
              </w:rPr>
              <w:t>Medium</w:t>
            </w:r>
          </w:p>
        </w:tc>
      </w:tr>
      <w:tr w14:paraId="1CBF9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097201E2">
            <w:pPr>
              <w:jc w:val="center"/>
            </w:pPr>
            <w:r>
              <w:rPr>
                <w:rFonts w:ascii="Calibri" w:hAnsi="Calibri" w:eastAsia="Calibri" w:cs="Calibri"/>
                <w:color w:val="000000"/>
                <w:sz w:val="19"/>
                <w:szCs w:val="19"/>
              </w:rPr>
              <w:t>8.4</w:t>
            </w:r>
          </w:p>
        </w:tc>
        <w:tc>
          <w:tcPr>
            <w:tcW w:w="3300" w:type="dxa"/>
            <w:tcMar>
              <w:top w:w="60" w:type="dxa"/>
              <w:left w:w="80" w:type="dxa"/>
              <w:bottom w:w="60" w:type="dxa"/>
              <w:right w:w="80" w:type="dxa"/>
            </w:tcMar>
            <w:vAlign w:val="center"/>
          </w:tcPr>
          <w:p w14:paraId="24753BE8">
            <w:pPr>
              <w:jc w:val="center"/>
            </w:pPr>
            <w:r>
              <w:rPr>
                <w:rFonts w:ascii="Calibri" w:hAnsi="Calibri" w:eastAsia="Calibri" w:cs="Calibri"/>
                <w:color w:val="000000"/>
                <w:sz w:val="19"/>
                <w:szCs w:val="19"/>
              </w:rPr>
              <w:t>Access to source code</w:t>
            </w:r>
          </w:p>
        </w:tc>
        <w:tc>
          <w:tcPr>
            <w:tcW w:w="4700" w:type="dxa"/>
            <w:tcMar>
              <w:top w:w="60" w:type="dxa"/>
              <w:left w:w="80" w:type="dxa"/>
              <w:bottom w:w="60" w:type="dxa"/>
              <w:right w:w="80" w:type="dxa"/>
            </w:tcMar>
            <w:vAlign w:val="center"/>
          </w:tcPr>
          <w:p w14:paraId="718A2DE5">
            <w:pPr>
              <w:jc w:val="center"/>
            </w:pPr>
            <w:r>
              <w:rPr>
                <w:rFonts w:ascii="Calibri" w:hAnsi="Calibri" w:eastAsia="Calibri" w:cs="Calibri"/>
                <w:color w:val="000000"/>
                <w:sz w:val="19"/>
                <w:szCs w:val="19"/>
              </w:rPr>
              <w:t>Source repositories are access-controlled for developers.</w:t>
            </w:r>
          </w:p>
        </w:tc>
        <w:tc>
          <w:tcPr>
            <w:tcW w:w="4700" w:type="dxa"/>
            <w:tcMar>
              <w:top w:w="60" w:type="dxa"/>
              <w:left w:w="80" w:type="dxa"/>
              <w:bottom w:w="60" w:type="dxa"/>
              <w:right w:w="80" w:type="dxa"/>
            </w:tcMar>
            <w:vAlign w:val="center"/>
          </w:tcPr>
          <w:p w14:paraId="6E66994F">
            <w:pPr>
              <w:jc w:val="center"/>
            </w:pPr>
            <w:r>
              <w:rPr>
                <w:rFonts w:ascii="Calibri" w:hAnsi="Calibri" w:eastAsia="Calibri" w:cs="Calibri"/>
                <w:color w:val="000000"/>
                <w:sz w:val="19"/>
                <w:szCs w:val="19"/>
              </w:rPr>
              <w:t>No formal, periodic code access review process.</w:t>
            </w:r>
          </w:p>
        </w:tc>
        <w:tc>
          <w:tcPr>
            <w:tcW w:w="1000" w:type="dxa"/>
            <w:tcMar>
              <w:top w:w="60" w:type="dxa"/>
              <w:left w:w="80" w:type="dxa"/>
              <w:bottom w:w="60" w:type="dxa"/>
              <w:right w:w="80" w:type="dxa"/>
            </w:tcMar>
            <w:vAlign w:val="center"/>
          </w:tcPr>
          <w:p w14:paraId="653C24A8">
            <w:pPr>
              <w:jc w:val="center"/>
            </w:pPr>
            <w:r>
              <w:rPr>
                <w:rFonts w:ascii="Calibri" w:hAnsi="Calibri" w:eastAsia="Calibri" w:cs="Calibri"/>
                <w:b/>
                <w:bCs/>
                <w:color w:val="375623"/>
                <w:sz w:val="19"/>
                <w:szCs w:val="19"/>
              </w:rPr>
              <w:t>Low</w:t>
            </w:r>
          </w:p>
        </w:tc>
      </w:tr>
      <w:tr w14:paraId="2552C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05D03997">
            <w:pPr>
              <w:jc w:val="center"/>
            </w:pPr>
            <w:r>
              <w:rPr>
                <w:rFonts w:ascii="Calibri" w:hAnsi="Calibri" w:eastAsia="Calibri" w:cs="Calibri"/>
                <w:color w:val="000000"/>
                <w:sz w:val="19"/>
                <w:szCs w:val="19"/>
              </w:rPr>
              <w:t>8.5</w:t>
            </w:r>
          </w:p>
        </w:tc>
        <w:tc>
          <w:tcPr>
            <w:tcW w:w="3300" w:type="dxa"/>
            <w:tcMar>
              <w:top w:w="60" w:type="dxa"/>
              <w:left w:w="80" w:type="dxa"/>
              <w:bottom w:w="60" w:type="dxa"/>
              <w:right w:w="80" w:type="dxa"/>
            </w:tcMar>
            <w:vAlign w:val="center"/>
          </w:tcPr>
          <w:p w14:paraId="2EF3D0C8">
            <w:pPr>
              <w:jc w:val="center"/>
            </w:pPr>
            <w:r>
              <w:rPr>
                <w:rFonts w:ascii="Calibri" w:hAnsi="Calibri" w:eastAsia="Calibri" w:cs="Calibri"/>
                <w:color w:val="000000"/>
                <w:sz w:val="19"/>
                <w:szCs w:val="19"/>
              </w:rPr>
              <w:t>Secure authentication</w:t>
            </w:r>
          </w:p>
        </w:tc>
        <w:tc>
          <w:tcPr>
            <w:tcW w:w="4700" w:type="dxa"/>
            <w:tcMar>
              <w:top w:w="60" w:type="dxa"/>
              <w:left w:w="80" w:type="dxa"/>
              <w:bottom w:w="60" w:type="dxa"/>
              <w:right w:w="80" w:type="dxa"/>
            </w:tcMar>
            <w:vAlign w:val="center"/>
          </w:tcPr>
          <w:p w14:paraId="08F9B719">
            <w:pPr>
              <w:jc w:val="center"/>
            </w:pPr>
            <w:r>
              <w:rPr>
                <w:rFonts w:ascii="Calibri" w:hAnsi="Calibri" w:eastAsia="Calibri" w:cs="Calibri"/>
                <w:color w:val="000000"/>
                <w:sz w:val="19"/>
                <w:szCs w:val="19"/>
              </w:rPr>
              <w:t>Adaptive authentication deployed for digital channels.</w:t>
            </w:r>
          </w:p>
        </w:tc>
        <w:tc>
          <w:tcPr>
            <w:tcW w:w="4700" w:type="dxa"/>
            <w:tcMar>
              <w:top w:w="60" w:type="dxa"/>
              <w:left w:w="80" w:type="dxa"/>
              <w:bottom w:w="60" w:type="dxa"/>
              <w:right w:w="80" w:type="dxa"/>
            </w:tcMar>
            <w:vAlign w:val="center"/>
          </w:tcPr>
          <w:p w14:paraId="40845D77">
            <w:pPr>
              <w:jc w:val="center"/>
            </w:pPr>
            <w:r>
              <w:rPr>
                <w:rFonts w:ascii="Calibri" w:hAnsi="Calibri" w:eastAsia="Calibri" w:cs="Calibri"/>
                <w:color w:val="000000"/>
                <w:sz w:val="19"/>
                <w:szCs w:val="19"/>
              </w:rPr>
              <w:t>MFA not enforced for all internal administrative access.</w:t>
            </w:r>
          </w:p>
        </w:tc>
        <w:tc>
          <w:tcPr>
            <w:tcW w:w="1000" w:type="dxa"/>
            <w:tcMar>
              <w:top w:w="60" w:type="dxa"/>
              <w:left w:w="80" w:type="dxa"/>
              <w:bottom w:w="60" w:type="dxa"/>
              <w:right w:w="80" w:type="dxa"/>
            </w:tcMar>
            <w:vAlign w:val="center"/>
          </w:tcPr>
          <w:p w14:paraId="541B6CA3">
            <w:pPr>
              <w:jc w:val="center"/>
            </w:pPr>
            <w:r>
              <w:rPr>
                <w:rFonts w:ascii="Calibri" w:hAnsi="Calibri" w:eastAsia="Calibri" w:cs="Calibri"/>
                <w:b/>
                <w:bCs/>
                <w:color w:val="C00000"/>
                <w:sz w:val="19"/>
                <w:szCs w:val="19"/>
              </w:rPr>
              <w:t>High</w:t>
            </w:r>
          </w:p>
        </w:tc>
      </w:tr>
      <w:tr w14:paraId="74BC2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08F44D0C">
            <w:pPr>
              <w:jc w:val="center"/>
            </w:pPr>
            <w:r>
              <w:rPr>
                <w:rFonts w:ascii="Calibri" w:hAnsi="Calibri" w:eastAsia="Calibri" w:cs="Calibri"/>
                <w:color w:val="000000"/>
                <w:sz w:val="19"/>
                <w:szCs w:val="19"/>
              </w:rPr>
              <w:t>8.6</w:t>
            </w:r>
          </w:p>
        </w:tc>
        <w:tc>
          <w:tcPr>
            <w:tcW w:w="3300" w:type="dxa"/>
            <w:tcMar>
              <w:top w:w="60" w:type="dxa"/>
              <w:left w:w="80" w:type="dxa"/>
              <w:bottom w:w="60" w:type="dxa"/>
              <w:right w:w="80" w:type="dxa"/>
            </w:tcMar>
            <w:vAlign w:val="center"/>
          </w:tcPr>
          <w:p w14:paraId="659A2128">
            <w:pPr>
              <w:jc w:val="center"/>
            </w:pPr>
            <w:r>
              <w:rPr>
                <w:rFonts w:ascii="Calibri" w:hAnsi="Calibri" w:eastAsia="Calibri" w:cs="Calibri"/>
                <w:color w:val="000000"/>
                <w:sz w:val="19"/>
                <w:szCs w:val="19"/>
              </w:rPr>
              <w:t>Capacity management</w:t>
            </w:r>
          </w:p>
        </w:tc>
        <w:tc>
          <w:tcPr>
            <w:tcW w:w="4700" w:type="dxa"/>
            <w:tcMar>
              <w:top w:w="60" w:type="dxa"/>
              <w:left w:w="80" w:type="dxa"/>
              <w:bottom w:w="60" w:type="dxa"/>
              <w:right w:w="80" w:type="dxa"/>
            </w:tcMar>
            <w:vAlign w:val="center"/>
          </w:tcPr>
          <w:p w14:paraId="7B65A166">
            <w:pPr>
              <w:jc w:val="center"/>
            </w:pPr>
            <w:r>
              <w:rPr>
                <w:rFonts w:ascii="Calibri" w:hAnsi="Calibri" w:eastAsia="Calibri" w:cs="Calibri"/>
                <w:color w:val="000000"/>
                <w:sz w:val="19"/>
                <w:szCs w:val="19"/>
              </w:rPr>
              <w:t>Core banking system capacity is actively monitored.</w:t>
            </w:r>
          </w:p>
        </w:tc>
        <w:tc>
          <w:tcPr>
            <w:tcW w:w="4700" w:type="dxa"/>
            <w:tcMar>
              <w:top w:w="60" w:type="dxa"/>
              <w:left w:w="80" w:type="dxa"/>
              <w:bottom w:w="60" w:type="dxa"/>
              <w:right w:w="80" w:type="dxa"/>
            </w:tcMar>
            <w:vAlign w:val="center"/>
          </w:tcPr>
          <w:p w14:paraId="2F5CC40A">
            <w:pPr>
              <w:jc w:val="center"/>
            </w:pPr>
            <w:r>
              <w:rPr>
                <w:rFonts w:ascii="Calibri" w:hAnsi="Calibri" w:eastAsia="Calibri" w:cs="Calibri"/>
                <w:color w:val="000000"/>
                <w:sz w:val="19"/>
                <w:szCs w:val="19"/>
              </w:rPr>
              <w:t>No formal capacity planning and forecasting process.</w:t>
            </w:r>
          </w:p>
        </w:tc>
        <w:tc>
          <w:tcPr>
            <w:tcW w:w="1000" w:type="dxa"/>
            <w:tcMar>
              <w:top w:w="60" w:type="dxa"/>
              <w:left w:w="80" w:type="dxa"/>
              <w:bottom w:w="60" w:type="dxa"/>
              <w:right w:w="80" w:type="dxa"/>
            </w:tcMar>
            <w:vAlign w:val="center"/>
          </w:tcPr>
          <w:p w14:paraId="434D49A6">
            <w:pPr>
              <w:jc w:val="center"/>
            </w:pPr>
            <w:r>
              <w:rPr>
                <w:rFonts w:ascii="Calibri" w:hAnsi="Calibri" w:eastAsia="Calibri" w:cs="Calibri"/>
                <w:b/>
                <w:bCs/>
                <w:color w:val="375623"/>
                <w:sz w:val="19"/>
                <w:szCs w:val="19"/>
              </w:rPr>
              <w:t>Low</w:t>
            </w:r>
          </w:p>
        </w:tc>
      </w:tr>
      <w:tr w14:paraId="49ECD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371FC4AB">
            <w:pPr>
              <w:jc w:val="center"/>
            </w:pPr>
            <w:r>
              <w:rPr>
                <w:rFonts w:ascii="Calibri" w:hAnsi="Calibri" w:eastAsia="Calibri" w:cs="Calibri"/>
                <w:color w:val="000000"/>
                <w:sz w:val="19"/>
                <w:szCs w:val="19"/>
              </w:rPr>
              <w:t>8.7</w:t>
            </w:r>
          </w:p>
        </w:tc>
        <w:tc>
          <w:tcPr>
            <w:tcW w:w="3300" w:type="dxa"/>
            <w:tcMar>
              <w:top w:w="60" w:type="dxa"/>
              <w:left w:w="80" w:type="dxa"/>
              <w:bottom w:w="60" w:type="dxa"/>
              <w:right w:w="80" w:type="dxa"/>
            </w:tcMar>
            <w:vAlign w:val="center"/>
          </w:tcPr>
          <w:p w14:paraId="13574998">
            <w:pPr>
              <w:jc w:val="center"/>
            </w:pPr>
            <w:r>
              <w:rPr>
                <w:rFonts w:ascii="Calibri" w:hAnsi="Calibri" w:eastAsia="Calibri" w:cs="Calibri"/>
                <w:color w:val="000000"/>
                <w:sz w:val="19"/>
                <w:szCs w:val="19"/>
              </w:rPr>
              <w:t>Protection against malware</w:t>
            </w:r>
          </w:p>
        </w:tc>
        <w:tc>
          <w:tcPr>
            <w:tcW w:w="4700" w:type="dxa"/>
            <w:tcMar>
              <w:top w:w="60" w:type="dxa"/>
              <w:left w:w="80" w:type="dxa"/>
              <w:bottom w:w="60" w:type="dxa"/>
              <w:right w:w="80" w:type="dxa"/>
            </w:tcMar>
            <w:vAlign w:val="center"/>
          </w:tcPr>
          <w:p w14:paraId="74282897">
            <w:pPr>
              <w:jc w:val="center"/>
            </w:pPr>
            <w:r>
              <w:rPr>
                <w:rFonts w:ascii="Calibri" w:hAnsi="Calibri" w:eastAsia="Calibri" w:cs="Calibri"/>
                <w:color w:val="000000"/>
                <w:sz w:val="19"/>
                <w:szCs w:val="19"/>
              </w:rPr>
              <w:t>Endpoint antivirus/anti-malware deployed organization-wide.</w:t>
            </w:r>
          </w:p>
        </w:tc>
        <w:tc>
          <w:tcPr>
            <w:tcW w:w="4700" w:type="dxa"/>
            <w:tcMar>
              <w:top w:w="60" w:type="dxa"/>
              <w:left w:w="80" w:type="dxa"/>
              <w:bottom w:w="60" w:type="dxa"/>
              <w:right w:w="80" w:type="dxa"/>
            </w:tcMar>
            <w:vAlign w:val="center"/>
          </w:tcPr>
          <w:p w14:paraId="4FAFCA72">
            <w:pPr>
              <w:jc w:val="center"/>
            </w:pPr>
            <w:r>
              <w:rPr>
                <w:rFonts w:ascii="Calibri" w:hAnsi="Calibri" w:eastAsia="Calibri" w:cs="Calibri"/>
                <w:color w:val="000000"/>
                <w:sz w:val="19"/>
                <w:szCs w:val="19"/>
              </w:rPr>
              <w:t>No centralized malware management dashboard.</w:t>
            </w:r>
          </w:p>
        </w:tc>
        <w:tc>
          <w:tcPr>
            <w:tcW w:w="1000" w:type="dxa"/>
            <w:tcMar>
              <w:top w:w="60" w:type="dxa"/>
              <w:left w:w="80" w:type="dxa"/>
              <w:bottom w:w="60" w:type="dxa"/>
              <w:right w:w="80" w:type="dxa"/>
            </w:tcMar>
            <w:vAlign w:val="center"/>
          </w:tcPr>
          <w:p w14:paraId="5CC362C6">
            <w:pPr>
              <w:jc w:val="center"/>
            </w:pPr>
            <w:r>
              <w:rPr>
                <w:rFonts w:ascii="Calibri" w:hAnsi="Calibri" w:eastAsia="Calibri" w:cs="Calibri"/>
                <w:b/>
                <w:bCs/>
                <w:color w:val="9C6500"/>
                <w:sz w:val="19"/>
                <w:szCs w:val="19"/>
              </w:rPr>
              <w:t>Medium</w:t>
            </w:r>
          </w:p>
        </w:tc>
      </w:tr>
      <w:tr w14:paraId="338BE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5476B870">
            <w:pPr>
              <w:jc w:val="center"/>
            </w:pPr>
            <w:r>
              <w:rPr>
                <w:rFonts w:ascii="Calibri" w:hAnsi="Calibri" w:eastAsia="Calibri" w:cs="Calibri"/>
                <w:color w:val="000000"/>
                <w:sz w:val="19"/>
                <w:szCs w:val="19"/>
              </w:rPr>
              <w:t>8.8</w:t>
            </w:r>
          </w:p>
        </w:tc>
        <w:tc>
          <w:tcPr>
            <w:tcW w:w="3300" w:type="dxa"/>
            <w:tcMar>
              <w:top w:w="60" w:type="dxa"/>
              <w:left w:w="80" w:type="dxa"/>
              <w:bottom w:w="60" w:type="dxa"/>
              <w:right w:w="80" w:type="dxa"/>
            </w:tcMar>
            <w:vAlign w:val="center"/>
          </w:tcPr>
          <w:p w14:paraId="2A8901ED">
            <w:pPr>
              <w:jc w:val="center"/>
            </w:pPr>
            <w:r>
              <w:rPr>
                <w:rFonts w:ascii="Calibri" w:hAnsi="Calibri" w:eastAsia="Calibri" w:cs="Calibri"/>
                <w:color w:val="000000"/>
                <w:sz w:val="19"/>
                <w:szCs w:val="19"/>
              </w:rPr>
              <w:t>Management of technical vulnerabilities</w:t>
            </w:r>
          </w:p>
        </w:tc>
        <w:tc>
          <w:tcPr>
            <w:tcW w:w="4700" w:type="dxa"/>
            <w:tcMar>
              <w:top w:w="60" w:type="dxa"/>
              <w:left w:w="80" w:type="dxa"/>
              <w:bottom w:w="60" w:type="dxa"/>
              <w:right w:w="80" w:type="dxa"/>
            </w:tcMar>
            <w:vAlign w:val="center"/>
          </w:tcPr>
          <w:p w14:paraId="7388D5A1">
            <w:pPr>
              <w:jc w:val="center"/>
            </w:pPr>
            <w:r>
              <w:rPr>
                <w:rFonts w:ascii="Calibri" w:hAnsi="Calibri" w:eastAsia="Calibri" w:cs="Calibri"/>
                <w:color w:val="000000"/>
                <w:sz w:val="19"/>
                <w:szCs w:val="19"/>
              </w:rPr>
              <w:t>Vulnerability scans performed on an ad hoc basis.</w:t>
            </w:r>
          </w:p>
        </w:tc>
        <w:tc>
          <w:tcPr>
            <w:tcW w:w="4700" w:type="dxa"/>
            <w:tcMar>
              <w:top w:w="60" w:type="dxa"/>
              <w:left w:w="80" w:type="dxa"/>
              <w:bottom w:w="60" w:type="dxa"/>
              <w:right w:w="80" w:type="dxa"/>
            </w:tcMar>
            <w:vAlign w:val="center"/>
          </w:tcPr>
          <w:p w14:paraId="784BD546">
            <w:pPr>
              <w:jc w:val="center"/>
            </w:pPr>
            <w:r>
              <w:rPr>
                <w:rFonts w:ascii="Calibri" w:hAnsi="Calibri" w:eastAsia="Calibri" w:cs="Calibri"/>
                <w:color w:val="000000"/>
                <w:sz w:val="19"/>
                <w:szCs w:val="19"/>
              </w:rPr>
              <w:t>No formal patch management SLA defined.</w:t>
            </w:r>
          </w:p>
        </w:tc>
        <w:tc>
          <w:tcPr>
            <w:tcW w:w="1000" w:type="dxa"/>
            <w:tcMar>
              <w:top w:w="60" w:type="dxa"/>
              <w:left w:w="80" w:type="dxa"/>
              <w:bottom w:w="60" w:type="dxa"/>
              <w:right w:w="80" w:type="dxa"/>
            </w:tcMar>
            <w:vAlign w:val="center"/>
          </w:tcPr>
          <w:p w14:paraId="1A35A20F">
            <w:pPr>
              <w:jc w:val="center"/>
            </w:pPr>
            <w:r>
              <w:rPr>
                <w:rFonts w:ascii="Calibri" w:hAnsi="Calibri" w:eastAsia="Calibri" w:cs="Calibri"/>
                <w:b/>
                <w:bCs/>
                <w:color w:val="C00000"/>
                <w:sz w:val="19"/>
                <w:szCs w:val="19"/>
              </w:rPr>
              <w:t>High</w:t>
            </w:r>
          </w:p>
        </w:tc>
      </w:tr>
      <w:tr w14:paraId="20334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485B51AF">
            <w:pPr>
              <w:jc w:val="center"/>
            </w:pPr>
            <w:r>
              <w:rPr>
                <w:rFonts w:ascii="Calibri" w:hAnsi="Calibri" w:eastAsia="Calibri" w:cs="Calibri"/>
                <w:color w:val="000000"/>
                <w:sz w:val="19"/>
                <w:szCs w:val="19"/>
              </w:rPr>
              <w:t>8.9</w:t>
            </w:r>
          </w:p>
        </w:tc>
        <w:tc>
          <w:tcPr>
            <w:tcW w:w="3300" w:type="dxa"/>
            <w:tcMar>
              <w:top w:w="60" w:type="dxa"/>
              <w:left w:w="80" w:type="dxa"/>
              <w:bottom w:w="60" w:type="dxa"/>
              <w:right w:w="80" w:type="dxa"/>
            </w:tcMar>
            <w:vAlign w:val="center"/>
          </w:tcPr>
          <w:p w14:paraId="4E2FE881">
            <w:pPr>
              <w:jc w:val="center"/>
            </w:pPr>
            <w:r>
              <w:rPr>
                <w:rFonts w:ascii="Calibri" w:hAnsi="Calibri" w:eastAsia="Calibri" w:cs="Calibri"/>
                <w:color w:val="000000"/>
                <w:sz w:val="19"/>
                <w:szCs w:val="19"/>
              </w:rPr>
              <w:t>Configuration management</w:t>
            </w:r>
          </w:p>
        </w:tc>
        <w:tc>
          <w:tcPr>
            <w:tcW w:w="4700" w:type="dxa"/>
            <w:tcMar>
              <w:top w:w="60" w:type="dxa"/>
              <w:left w:w="80" w:type="dxa"/>
              <w:bottom w:w="60" w:type="dxa"/>
              <w:right w:w="80" w:type="dxa"/>
            </w:tcMar>
            <w:vAlign w:val="center"/>
          </w:tcPr>
          <w:p w14:paraId="64BB9813">
            <w:pPr>
              <w:jc w:val="center"/>
            </w:pPr>
            <w:r>
              <w:rPr>
                <w:rFonts w:ascii="Calibri" w:hAnsi="Calibri" w:eastAsia="Calibri" w:cs="Calibri"/>
                <w:color w:val="000000"/>
                <w:sz w:val="19"/>
                <w:szCs w:val="19"/>
              </w:rPr>
              <w:t>Baseline configurations defined for core banking systems.</w:t>
            </w:r>
          </w:p>
        </w:tc>
        <w:tc>
          <w:tcPr>
            <w:tcW w:w="4700" w:type="dxa"/>
            <w:tcMar>
              <w:top w:w="60" w:type="dxa"/>
              <w:left w:w="80" w:type="dxa"/>
              <w:bottom w:w="60" w:type="dxa"/>
              <w:right w:w="80" w:type="dxa"/>
            </w:tcMar>
            <w:vAlign w:val="center"/>
          </w:tcPr>
          <w:p w14:paraId="5136D155">
            <w:pPr>
              <w:jc w:val="center"/>
            </w:pPr>
            <w:r>
              <w:rPr>
                <w:rFonts w:ascii="Calibri" w:hAnsi="Calibri" w:eastAsia="Calibri" w:cs="Calibri"/>
                <w:color w:val="000000"/>
                <w:sz w:val="19"/>
                <w:szCs w:val="19"/>
              </w:rPr>
              <w:t>Not extended to all servers and network devices.</w:t>
            </w:r>
          </w:p>
        </w:tc>
        <w:tc>
          <w:tcPr>
            <w:tcW w:w="1000" w:type="dxa"/>
            <w:tcMar>
              <w:top w:w="60" w:type="dxa"/>
              <w:left w:w="80" w:type="dxa"/>
              <w:bottom w:w="60" w:type="dxa"/>
              <w:right w:w="80" w:type="dxa"/>
            </w:tcMar>
            <w:vAlign w:val="center"/>
          </w:tcPr>
          <w:p w14:paraId="122D69DC">
            <w:pPr>
              <w:jc w:val="center"/>
            </w:pPr>
            <w:r>
              <w:rPr>
                <w:rFonts w:ascii="Calibri" w:hAnsi="Calibri" w:eastAsia="Calibri" w:cs="Calibri"/>
                <w:b/>
                <w:bCs/>
                <w:color w:val="9C6500"/>
                <w:sz w:val="19"/>
                <w:szCs w:val="19"/>
              </w:rPr>
              <w:t>Medium</w:t>
            </w:r>
          </w:p>
        </w:tc>
      </w:tr>
      <w:tr w14:paraId="0989C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6E9C591F">
            <w:pPr>
              <w:jc w:val="center"/>
            </w:pPr>
            <w:r>
              <w:rPr>
                <w:rFonts w:ascii="Calibri" w:hAnsi="Calibri" w:eastAsia="Calibri" w:cs="Calibri"/>
                <w:color w:val="000000"/>
                <w:sz w:val="19"/>
                <w:szCs w:val="19"/>
              </w:rPr>
              <w:t>8.10</w:t>
            </w:r>
          </w:p>
        </w:tc>
        <w:tc>
          <w:tcPr>
            <w:tcW w:w="3300" w:type="dxa"/>
            <w:tcMar>
              <w:top w:w="60" w:type="dxa"/>
              <w:left w:w="80" w:type="dxa"/>
              <w:bottom w:w="60" w:type="dxa"/>
              <w:right w:w="80" w:type="dxa"/>
            </w:tcMar>
            <w:vAlign w:val="center"/>
          </w:tcPr>
          <w:p w14:paraId="0737111D">
            <w:pPr>
              <w:jc w:val="center"/>
            </w:pPr>
            <w:r>
              <w:rPr>
                <w:rFonts w:ascii="Calibri" w:hAnsi="Calibri" w:eastAsia="Calibri" w:cs="Calibri"/>
                <w:color w:val="000000"/>
                <w:sz w:val="19"/>
                <w:szCs w:val="19"/>
              </w:rPr>
              <w:t>Information deletion</w:t>
            </w:r>
          </w:p>
        </w:tc>
        <w:tc>
          <w:tcPr>
            <w:tcW w:w="4700" w:type="dxa"/>
            <w:tcMar>
              <w:top w:w="60" w:type="dxa"/>
              <w:left w:w="80" w:type="dxa"/>
              <w:bottom w:w="60" w:type="dxa"/>
              <w:right w:w="80" w:type="dxa"/>
            </w:tcMar>
            <w:vAlign w:val="center"/>
          </w:tcPr>
          <w:p w14:paraId="2FB0768D">
            <w:pPr>
              <w:jc w:val="center"/>
            </w:pPr>
            <w:r>
              <w:rPr>
                <w:rFonts w:ascii="Calibri" w:hAnsi="Calibri" w:eastAsia="Calibri" w:cs="Calibri"/>
                <w:color w:val="000000"/>
                <w:sz w:val="19"/>
                <w:szCs w:val="19"/>
              </w:rPr>
              <w:t>Data deleted from systems upon formal request.</w:t>
            </w:r>
          </w:p>
        </w:tc>
        <w:tc>
          <w:tcPr>
            <w:tcW w:w="4700" w:type="dxa"/>
            <w:tcMar>
              <w:top w:w="60" w:type="dxa"/>
              <w:left w:w="80" w:type="dxa"/>
              <w:bottom w:w="60" w:type="dxa"/>
              <w:right w:w="80" w:type="dxa"/>
            </w:tcMar>
            <w:vAlign w:val="center"/>
          </w:tcPr>
          <w:p w14:paraId="084388C6">
            <w:pPr>
              <w:jc w:val="center"/>
            </w:pPr>
            <w:r>
              <w:rPr>
                <w:rFonts w:ascii="Calibri" w:hAnsi="Calibri" w:eastAsia="Calibri" w:cs="Calibri"/>
                <w:color w:val="000000"/>
                <w:sz w:val="19"/>
                <w:szCs w:val="19"/>
              </w:rPr>
              <w:t>No formal secure information deletion standard.</w:t>
            </w:r>
          </w:p>
        </w:tc>
        <w:tc>
          <w:tcPr>
            <w:tcW w:w="1000" w:type="dxa"/>
            <w:tcMar>
              <w:top w:w="60" w:type="dxa"/>
              <w:left w:w="80" w:type="dxa"/>
              <w:bottom w:w="60" w:type="dxa"/>
              <w:right w:w="80" w:type="dxa"/>
            </w:tcMar>
            <w:vAlign w:val="center"/>
          </w:tcPr>
          <w:p w14:paraId="373150BA">
            <w:pPr>
              <w:jc w:val="center"/>
            </w:pPr>
            <w:r>
              <w:rPr>
                <w:rFonts w:ascii="Calibri" w:hAnsi="Calibri" w:eastAsia="Calibri" w:cs="Calibri"/>
                <w:b/>
                <w:bCs/>
                <w:color w:val="9C6500"/>
                <w:sz w:val="19"/>
                <w:szCs w:val="19"/>
              </w:rPr>
              <w:t>Medium</w:t>
            </w:r>
          </w:p>
        </w:tc>
      </w:tr>
      <w:tr w14:paraId="6B894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0E3CEDF4">
            <w:pPr>
              <w:jc w:val="center"/>
            </w:pPr>
            <w:r>
              <w:rPr>
                <w:rFonts w:ascii="Calibri" w:hAnsi="Calibri" w:eastAsia="Calibri" w:cs="Calibri"/>
                <w:color w:val="000000"/>
                <w:sz w:val="19"/>
                <w:szCs w:val="19"/>
              </w:rPr>
              <w:t>8.11</w:t>
            </w:r>
          </w:p>
        </w:tc>
        <w:tc>
          <w:tcPr>
            <w:tcW w:w="3300" w:type="dxa"/>
            <w:tcMar>
              <w:top w:w="60" w:type="dxa"/>
              <w:left w:w="80" w:type="dxa"/>
              <w:bottom w:w="60" w:type="dxa"/>
              <w:right w:w="80" w:type="dxa"/>
            </w:tcMar>
            <w:vAlign w:val="center"/>
          </w:tcPr>
          <w:p w14:paraId="12EC840F">
            <w:pPr>
              <w:jc w:val="center"/>
            </w:pPr>
            <w:r>
              <w:rPr>
                <w:rFonts w:ascii="Calibri" w:hAnsi="Calibri" w:eastAsia="Calibri" w:cs="Calibri"/>
                <w:color w:val="000000"/>
                <w:sz w:val="19"/>
                <w:szCs w:val="19"/>
              </w:rPr>
              <w:t>Data masking</w:t>
            </w:r>
          </w:p>
        </w:tc>
        <w:tc>
          <w:tcPr>
            <w:tcW w:w="4700" w:type="dxa"/>
            <w:tcMar>
              <w:top w:w="60" w:type="dxa"/>
              <w:left w:w="80" w:type="dxa"/>
              <w:bottom w:w="60" w:type="dxa"/>
              <w:right w:w="80" w:type="dxa"/>
            </w:tcMar>
            <w:vAlign w:val="center"/>
          </w:tcPr>
          <w:p w14:paraId="3006E8E3">
            <w:pPr>
              <w:jc w:val="center"/>
            </w:pPr>
            <w:r>
              <w:rPr>
                <w:rFonts w:ascii="Calibri" w:hAnsi="Calibri" w:eastAsia="Calibri" w:cs="Calibri"/>
                <w:color w:val="000000"/>
                <w:sz w:val="19"/>
                <w:szCs w:val="19"/>
              </w:rPr>
              <w:t>Limited data masking applied in test environments.</w:t>
            </w:r>
          </w:p>
        </w:tc>
        <w:tc>
          <w:tcPr>
            <w:tcW w:w="4700" w:type="dxa"/>
            <w:tcMar>
              <w:top w:w="60" w:type="dxa"/>
              <w:left w:w="80" w:type="dxa"/>
              <w:bottom w:w="60" w:type="dxa"/>
              <w:right w:w="80" w:type="dxa"/>
            </w:tcMar>
            <w:vAlign w:val="center"/>
          </w:tcPr>
          <w:p w14:paraId="164E70DD">
            <w:pPr>
              <w:jc w:val="center"/>
            </w:pPr>
            <w:r>
              <w:rPr>
                <w:rFonts w:ascii="Calibri" w:hAnsi="Calibri" w:eastAsia="Calibri" w:cs="Calibri"/>
                <w:color w:val="000000"/>
                <w:sz w:val="19"/>
                <w:szCs w:val="19"/>
              </w:rPr>
              <w:t>Not consistently applied across all non-production systems.</w:t>
            </w:r>
          </w:p>
        </w:tc>
        <w:tc>
          <w:tcPr>
            <w:tcW w:w="1000" w:type="dxa"/>
            <w:tcMar>
              <w:top w:w="60" w:type="dxa"/>
              <w:left w:w="80" w:type="dxa"/>
              <w:bottom w:w="60" w:type="dxa"/>
              <w:right w:w="80" w:type="dxa"/>
            </w:tcMar>
            <w:vAlign w:val="center"/>
          </w:tcPr>
          <w:p w14:paraId="7776CC3A">
            <w:pPr>
              <w:jc w:val="center"/>
            </w:pPr>
            <w:r>
              <w:rPr>
                <w:rFonts w:ascii="Calibri" w:hAnsi="Calibri" w:eastAsia="Calibri" w:cs="Calibri"/>
                <w:b/>
                <w:bCs/>
                <w:color w:val="C00000"/>
                <w:sz w:val="19"/>
                <w:szCs w:val="19"/>
              </w:rPr>
              <w:t>High</w:t>
            </w:r>
          </w:p>
        </w:tc>
      </w:tr>
      <w:tr w14:paraId="09B55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4B8765AD">
            <w:pPr>
              <w:jc w:val="center"/>
            </w:pPr>
            <w:r>
              <w:rPr>
                <w:rFonts w:ascii="Calibri" w:hAnsi="Calibri" w:eastAsia="Calibri" w:cs="Calibri"/>
                <w:color w:val="000000"/>
                <w:sz w:val="19"/>
                <w:szCs w:val="19"/>
              </w:rPr>
              <w:t>8.12</w:t>
            </w:r>
          </w:p>
        </w:tc>
        <w:tc>
          <w:tcPr>
            <w:tcW w:w="3300" w:type="dxa"/>
            <w:tcMar>
              <w:top w:w="60" w:type="dxa"/>
              <w:left w:w="80" w:type="dxa"/>
              <w:bottom w:w="60" w:type="dxa"/>
              <w:right w:w="80" w:type="dxa"/>
            </w:tcMar>
            <w:vAlign w:val="center"/>
          </w:tcPr>
          <w:p w14:paraId="3A7D2B8D">
            <w:pPr>
              <w:jc w:val="center"/>
            </w:pPr>
            <w:r>
              <w:rPr>
                <w:rFonts w:ascii="Calibri" w:hAnsi="Calibri" w:eastAsia="Calibri" w:cs="Calibri"/>
                <w:color w:val="000000"/>
                <w:sz w:val="19"/>
                <w:szCs w:val="19"/>
              </w:rPr>
              <w:t>Data leakage prevention</w:t>
            </w:r>
          </w:p>
        </w:tc>
        <w:tc>
          <w:tcPr>
            <w:tcW w:w="4700" w:type="dxa"/>
            <w:tcMar>
              <w:top w:w="60" w:type="dxa"/>
              <w:left w:w="80" w:type="dxa"/>
              <w:bottom w:w="60" w:type="dxa"/>
              <w:right w:w="80" w:type="dxa"/>
            </w:tcMar>
            <w:vAlign w:val="center"/>
          </w:tcPr>
          <w:p w14:paraId="678BCEAD">
            <w:pPr>
              <w:jc w:val="center"/>
            </w:pPr>
            <w:r>
              <w:rPr>
                <w:rFonts w:ascii="Calibri" w:hAnsi="Calibri" w:eastAsia="Calibri" w:cs="Calibri"/>
                <w:color w:val="000000"/>
                <w:sz w:val="19"/>
                <w:szCs w:val="19"/>
              </w:rPr>
              <w:t>DLP solution deployed across key data channels.</w:t>
            </w:r>
          </w:p>
        </w:tc>
        <w:tc>
          <w:tcPr>
            <w:tcW w:w="4700" w:type="dxa"/>
            <w:tcMar>
              <w:top w:w="60" w:type="dxa"/>
              <w:left w:w="80" w:type="dxa"/>
              <w:bottom w:w="60" w:type="dxa"/>
              <w:right w:w="80" w:type="dxa"/>
            </w:tcMar>
            <w:vAlign w:val="center"/>
          </w:tcPr>
          <w:p w14:paraId="4CB7E987">
            <w:pPr>
              <w:jc w:val="center"/>
            </w:pPr>
            <w:r>
              <w:rPr>
                <w:rFonts w:ascii="Calibri" w:hAnsi="Calibri" w:eastAsia="Calibri" w:cs="Calibri"/>
                <w:color w:val="000000"/>
                <w:sz w:val="19"/>
                <w:szCs w:val="19"/>
              </w:rPr>
              <w:t>Policies not fully tuned for all sensitive data types.</w:t>
            </w:r>
          </w:p>
        </w:tc>
        <w:tc>
          <w:tcPr>
            <w:tcW w:w="1000" w:type="dxa"/>
            <w:tcMar>
              <w:top w:w="60" w:type="dxa"/>
              <w:left w:w="80" w:type="dxa"/>
              <w:bottom w:w="60" w:type="dxa"/>
              <w:right w:w="80" w:type="dxa"/>
            </w:tcMar>
            <w:vAlign w:val="center"/>
          </w:tcPr>
          <w:p w14:paraId="3AC69050">
            <w:pPr>
              <w:jc w:val="center"/>
            </w:pPr>
            <w:r>
              <w:rPr>
                <w:rFonts w:ascii="Calibri" w:hAnsi="Calibri" w:eastAsia="Calibri" w:cs="Calibri"/>
                <w:b/>
                <w:bCs/>
                <w:color w:val="375623"/>
                <w:sz w:val="19"/>
                <w:szCs w:val="19"/>
              </w:rPr>
              <w:t>Low</w:t>
            </w:r>
          </w:p>
        </w:tc>
      </w:tr>
      <w:tr w14:paraId="49152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0C5C7327">
            <w:pPr>
              <w:jc w:val="center"/>
            </w:pPr>
            <w:r>
              <w:rPr>
                <w:rFonts w:ascii="Calibri" w:hAnsi="Calibri" w:eastAsia="Calibri" w:cs="Calibri"/>
                <w:color w:val="000000"/>
                <w:sz w:val="19"/>
                <w:szCs w:val="19"/>
              </w:rPr>
              <w:t>8.13</w:t>
            </w:r>
          </w:p>
        </w:tc>
        <w:tc>
          <w:tcPr>
            <w:tcW w:w="3300" w:type="dxa"/>
            <w:tcMar>
              <w:top w:w="60" w:type="dxa"/>
              <w:left w:w="80" w:type="dxa"/>
              <w:bottom w:w="60" w:type="dxa"/>
              <w:right w:w="80" w:type="dxa"/>
            </w:tcMar>
            <w:vAlign w:val="center"/>
          </w:tcPr>
          <w:p w14:paraId="02BB12D1">
            <w:pPr>
              <w:jc w:val="center"/>
            </w:pPr>
            <w:r>
              <w:rPr>
                <w:rFonts w:ascii="Calibri" w:hAnsi="Calibri" w:eastAsia="Calibri" w:cs="Calibri"/>
                <w:color w:val="000000"/>
                <w:sz w:val="19"/>
                <w:szCs w:val="19"/>
              </w:rPr>
              <w:t>Information backup</w:t>
            </w:r>
          </w:p>
        </w:tc>
        <w:tc>
          <w:tcPr>
            <w:tcW w:w="4700" w:type="dxa"/>
            <w:tcMar>
              <w:top w:w="60" w:type="dxa"/>
              <w:left w:w="80" w:type="dxa"/>
              <w:bottom w:w="60" w:type="dxa"/>
              <w:right w:w="80" w:type="dxa"/>
            </w:tcMar>
            <w:vAlign w:val="center"/>
          </w:tcPr>
          <w:p w14:paraId="0ABBA4C5">
            <w:pPr>
              <w:jc w:val="center"/>
            </w:pPr>
            <w:r>
              <w:rPr>
                <w:rFonts w:ascii="Calibri" w:hAnsi="Calibri" w:eastAsia="Calibri" w:cs="Calibri"/>
                <w:color w:val="000000"/>
                <w:sz w:val="19"/>
                <w:szCs w:val="19"/>
              </w:rPr>
              <w:t>Automated backups configured for core banking systems.</w:t>
            </w:r>
          </w:p>
        </w:tc>
        <w:tc>
          <w:tcPr>
            <w:tcW w:w="4700" w:type="dxa"/>
            <w:tcMar>
              <w:top w:w="60" w:type="dxa"/>
              <w:left w:w="80" w:type="dxa"/>
              <w:bottom w:w="60" w:type="dxa"/>
              <w:right w:w="80" w:type="dxa"/>
            </w:tcMar>
            <w:vAlign w:val="center"/>
          </w:tcPr>
          <w:p w14:paraId="5FC48259">
            <w:pPr>
              <w:jc w:val="center"/>
            </w:pPr>
            <w:r>
              <w:rPr>
                <w:rFonts w:ascii="Calibri" w:hAnsi="Calibri" w:eastAsia="Calibri" w:cs="Calibri"/>
                <w:color w:val="000000"/>
                <w:sz w:val="19"/>
                <w:szCs w:val="19"/>
              </w:rPr>
              <w:t>Backup restoration is not tested on a regular schedule.</w:t>
            </w:r>
          </w:p>
        </w:tc>
        <w:tc>
          <w:tcPr>
            <w:tcW w:w="1000" w:type="dxa"/>
            <w:tcMar>
              <w:top w:w="60" w:type="dxa"/>
              <w:left w:w="80" w:type="dxa"/>
              <w:bottom w:w="60" w:type="dxa"/>
              <w:right w:w="80" w:type="dxa"/>
            </w:tcMar>
            <w:vAlign w:val="center"/>
          </w:tcPr>
          <w:p w14:paraId="4F732C79">
            <w:pPr>
              <w:jc w:val="center"/>
            </w:pPr>
            <w:r>
              <w:rPr>
                <w:rFonts w:ascii="Calibri" w:hAnsi="Calibri" w:eastAsia="Calibri" w:cs="Calibri"/>
                <w:b/>
                <w:bCs/>
                <w:color w:val="9C6500"/>
                <w:sz w:val="19"/>
                <w:szCs w:val="19"/>
              </w:rPr>
              <w:t>Medium</w:t>
            </w:r>
          </w:p>
        </w:tc>
      </w:tr>
      <w:tr w14:paraId="5CA83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2BD926F4">
            <w:pPr>
              <w:jc w:val="center"/>
            </w:pPr>
            <w:r>
              <w:rPr>
                <w:rFonts w:ascii="Calibri" w:hAnsi="Calibri" w:eastAsia="Calibri" w:cs="Calibri"/>
                <w:color w:val="000000"/>
                <w:sz w:val="19"/>
                <w:szCs w:val="19"/>
              </w:rPr>
              <w:t>8.14</w:t>
            </w:r>
          </w:p>
        </w:tc>
        <w:tc>
          <w:tcPr>
            <w:tcW w:w="3300" w:type="dxa"/>
            <w:tcMar>
              <w:top w:w="60" w:type="dxa"/>
              <w:left w:w="80" w:type="dxa"/>
              <w:bottom w:w="60" w:type="dxa"/>
              <w:right w:w="80" w:type="dxa"/>
            </w:tcMar>
            <w:vAlign w:val="center"/>
          </w:tcPr>
          <w:p w14:paraId="78569A2F">
            <w:pPr>
              <w:jc w:val="center"/>
            </w:pPr>
            <w:r>
              <w:rPr>
                <w:rFonts w:ascii="Calibri" w:hAnsi="Calibri" w:eastAsia="Calibri" w:cs="Calibri"/>
                <w:color w:val="000000"/>
                <w:sz w:val="19"/>
                <w:szCs w:val="19"/>
              </w:rPr>
              <w:t>Redundancy of information processing facilities</w:t>
            </w:r>
          </w:p>
        </w:tc>
        <w:tc>
          <w:tcPr>
            <w:tcW w:w="4700" w:type="dxa"/>
            <w:tcMar>
              <w:top w:w="60" w:type="dxa"/>
              <w:left w:w="80" w:type="dxa"/>
              <w:bottom w:w="60" w:type="dxa"/>
              <w:right w:w="80" w:type="dxa"/>
            </w:tcMar>
            <w:vAlign w:val="center"/>
          </w:tcPr>
          <w:p w14:paraId="2A9225F9">
            <w:pPr>
              <w:jc w:val="center"/>
            </w:pPr>
            <w:r>
              <w:rPr>
                <w:rFonts w:ascii="Calibri" w:hAnsi="Calibri" w:eastAsia="Calibri" w:cs="Calibri"/>
                <w:color w:val="000000"/>
                <w:sz w:val="19"/>
                <w:szCs w:val="19"/>
              </w:rPr>
              <w:t>DR site with data replication is operational.</w:t>
            </w:r>
          </w:p>
        </w:tc>
        <w:tc>
          <w:tcPr>
            <w:tcW w:w="4700" w:type="dxa"/>
            <w:tcMar>
              <w:top w:w="60" w:type="dxa"/>
              <w:left w:w="80" w:type="dxa"/>
              <w:bottom w:w="60" w:type="dxa"/>
              <w:right w:w="80" w:type="dxa"/>
            </w:tcMar>
            <w:vAlign w:val="center"/>
          </w:tcPr>
          <w:p w14:paraId="2A886EBA">
            <w:pPr>
              <w:jc w:val="center"/>
            </w:pPr>
            <w:r>
              <w:rPr>
                <w:rFonts w:ascii="Calibri" w:hAnsi="Calibri" w:eastAsia="Calibri" w:cs="Calibri"/>
                <w:color w:val="000000"/>
                <w:sz w:val="19"/>
                <w:szCs w:val="19"/>
              </w:rPr>
              <w:t>Failover has not been tested at the planned frequency.</w:t>
            </w:r>
          </w:p>
        </w:tc>
        <w:tc>
          <w:tcPr>
            <w:tcW w:w="1000" w:type="dxa"/>
            <w:tcMar>
              <w:top w:w="60" w:type="dxa"/>
              <w:left w:w="80" w:type="dxa"/>
              <w:bottom w:w="60" w:type="dxa"/>
              <w:right w:w="80" w:type="dxa"/>
            </w:tcMar>
            <w:vAlign w:val="center"/>
          </w:tcPr>
          <w:p w14:paraId="422CE29D">
            <w:pPr>
              <w:jc w:val="center"/>
            </w:pPr>
            <w:r>
              <w:rPr>
                <w:rFonts w:ascii="Calibri" w:hAnsi="Calibri" w:eastAsia="Calibri" w:cs="Calibri"/>
                <w:b/>
                <w:bCs/>
                <w:color w:val="9C6500"/>
                <w:sz w:val="19"/>
                <w:szCs w:val="19"/>
              </w:rPr>
              <w:t>Medium</w:t>
            </w:r>
          </w:p>
        </w:tc>
      </w:tr>
      <w:tr w14:paraId="7E822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1C359A64">
            <w:pPr>
              <w:jc w:val="center"/>
            </w:pPr>
            <w:r>
              <w:rPr>
                <w:rFonts w:ascii="Calibri" w:hAnsi="Calibri" w:eastAsia="Calibri" w:cs="Calibri"/>
                <w:color w:val="000000"/>
                <w:sz w:val="19"/>
                <w:szCs w:val="19"/>
              </w:rPr>
              <w:t>8.15</w:t>
            </w:r>
          </w:p>
        </w:tc>
        <w:tc>
          <w:tcPr>
            <w:tcW w:w="3300" w:type="dxa"/>
            <w:tcMar>
              <w:top w:w="60" w:type="dxa"/>
              <w:left w:w="80" w:type="dxa"/>
              <w:bottom w:w="60" w:type="dxa"/>
              <w:right w:w="80" w:type="dxa"/>
            </w:tcMar>
            <w:vAlign w:val="center"/>
          </w:tcPr>
          <w:p w14:paraId="233E41DC">
            <w:pPr>
              <w:jc w:val="center"/>
            </w:pPr>
            <w:r>
              <w:rPr>
                <w:rFonts w:ascii="Calibri" w:hAnsi="Calibri" w:eastAsia="Calibri" w:cs="Calibri"/>
                <w:color w:val="000000"/>
                <w:sz w:val="19"/>
                <w:szCs w:val="19"/>
              </w:rPr>
              <w:t>Logging</w:t>
            </w:r>
          </w:p>
        </w:tc>
        <w:tc>
          <w:tcPr>
            <w:tcW w:w="4700" w:type="dxa"/>
            <w:tcMar>
              <w:top w:w="60" w:type="dxa"/>
              <w:left w:w="80" w:type="dxa"/>
              <w:bottom w:w="60" w:type="dxa"/>
              <w:right w:w="80" w:type="dxa"/>
            </w:tcMar>
            <w:vAlign w:val="center"/>
          </w:tcPr>
          <w:p w14:paraId="7432E25F">
            <w:pPr>
              <w:jc w:val="center"/>
            </w:pPr>
            <w:r>
              <w:rPr>
                <w:rFonts w:ascii="Calibri" w:hAnsi="Calibri" w:eastAsia="Calibri" w:cs="Calibri"/>
                <w:color w:val="000000"/>
                <w:sz w:val="19"/>
                <w:szCs w:val="19"/>
              </w:rPr>
              <w:t>SIEM collects logs from key banking systems.</w:t>
            </w:r>
          </w:p>
        </w:tc>
        <w:tc>
          <w:tcPr>
            <w:tcW w:w="4700" w:type="dxa"/>
            <w:tcMar>
              <w:top w:w="60" w:type="dxa"/>
              <w:left w:w="80" w:type="dxa"/>
              <w:bottom w:w="60" w:type="dxa"/>
              <w:right w:w="80" w:type="dxa"/>
            </w:tcMar>
            <w:vAlign w:val="center"/>
          </w:tcPr>
          <w:p w14:paraId="581F4D47">
            <w:pPr>
              <w:jc w:val="center"/>
            </w:pPr>
            <w:r>
              <w:rPr>
                <w:rFonts w:ascii="Calibri" w:hAnsi="Calibri" w:eastAsia="Calibri" w:cs="Calibri"/>
                <w:color w:val="000000"/>
                <w:sz w:val="19"/>
                <w:szCs w:val="19"/>
              </w:rPr>
              <w:t>Not all systems are onboarded to the SIEM platform.</w:t>
            </w:r>
          </w:p>
        </w:tc>
        <w:tc>
          <w:tcPr>
            <w:tcW w:w="1000" w:type="dxa"/>
            <w:tcMar>
              <w:top w:w="60" w:type="dxa"/>
              <w:left w:w="80" w:type="dxa"/>
              <w:bottom w:w="60" w:type="dxa"/>
              <w:right w:w="80" w:type="dxa"/>
            </w:tcMar>
            <w:vAlign w:val="center"/>
          </w:tcPr>
          <w:p w14:paraId="00561595">
            <w:pPr>
              <w:jc w:val="center"/>
            </w:pPr>
            <w:r>
              <w:rPr>
                <w:rFonts w:ascii="Calibri" w:hAnsi="Calibri" w:eastAsia="Calibri" w:cs="Calibri"/>
                <w:b/>
                <w:bCs/>
                <w:color w:val="9C6500"/>
                <w:sz w:val="19"/>
                <w:szCs w:val="19"/>
              </w:rPr>
              <w:t>Medium</w:t>
            </w:r>
          </w:p>
        </w:tc>
      </w:tr>
      <w:tr w14:paraId="6D1C1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316CB33B">
            <w:pPr>
              <w:jc w:val="center"/>
            </w:pPr>
            <w:r>
              <w:rPr>
                <w:rFonts w:ascii="Calibri" w:hAnsi="Calibri" w:eastAsia="Calibri" w:cs="Calibri"/>
                <w:color w:val="000000"/>
                <w:sz w:val="19"/>
                <w:szCs w:val="19"/>
              </w:rPr>
              <w:t>8.16</w:t>
            </w:r>
          </w:p>
        </w:tc>
        <w:tc>
          <w:tcPr>
            <w:tcW w:w="3300" w:type="dxa"/>
            <w:tcMar>
              <w:top w:w="60" w:type="dxa"/>
              <w:left w:w="80" w:type="dxa"/>
              <w:bottom w:w="60" w:type="dxa"/>
              <w:right w:w="80" w:type="dxa"/>
            </w:tcMar>
            <w:vAlign w:val="center"/>
          </w:tcPr>
          <w:p w14:paraId="52EDF854">
            <w:pPr>
              <w:jc w:val="center"/>
            </w:pPr>
            <w:r>
              <w:rPr>
                <w:rFonts w:ascii="Calibri" w:hAnsi="Calibri" w:eastAsia="Calibri" w:cs="Calibri"/>
                <w:color w:val="000000"/>
                <w:sz w:val="19"/>
                <w:szCs w:val="19"/>
              </w:rPr>
              <w:t>Monitoring activities</w:t>
            </w:r>
          </w:p>
        </w:tc>
        <w:tc>
          <w:tcPr>
            <w:tcW w:w="4700" w:type="dxa"/>
            <w:tcMar>
              <w:top w:w="60" w:type="dxa"/>
              <w:left w:w="80" w:type="dxa"/>
              <w:bottom w:w="60" w:type="dxa"/>
              <w:right w:w="80" w:type="dxa"/>
            </w:tcMar>
            <w:vAlign w:val="center"/>
          </w:tcPr>
          <w:p w14:paraId="695BC179">
            <w:pPr>
              <w:jc w:val="center"/>
            </w:pPr>
            <w:r>
              <w:rPr>
                <w:rFonts w:ascii="Calibri" w:hAnsi="Calibri" w:eastAsia="Calibri" w:cs="Calibri"/>
                <w:color w:val="000000"/>
                <w:sz w:val="19"/>
                <w:szCs w:val="19"/>
              </w:rPr>
              <w:t>SOC actively monitors SIEM-generated alerts.</w:t>
            </w:r>
          </w:p>
        </w:tc>
        <w:tc>
          <w:tcPr>
            <w:tcW w:w="4700" w:type="dxa"/>
            <w:tcMar>
              <w:top w:w="60" w:type="dxa"/>
              <w:left w:w="80" w:type="dxa"/>
              <w:bottom w:w="60" w:type="dxa"/>
              <w:right w:w="80" w:type="dxa"/>
            </w:tcMar>
            <w:vAlign w:val="center"/>
          </w:tcPr>
          <w:p w14:paraId="48B4C6B7">
            <w:pPr>
              <w:jc w:val="center"/>
            </w:pPr>
            <w:r>
              <w:rPr>
                <w:rFonts w:ascii="Calibri" w:hAnsi="Calibri" w:eastAsia="Calibri" w:cs="Calibri"/>
                <w:color w:val="000000"/>
                <w:sz w:val="19"/>
                <w:szCs w:val="19"/>
              </w:rPr>
              <w:t>24/7 monitoring coverage has not been formally confirmed.</w:t>
            </w:r>
          </w:p>
        </w:tc>
        <w:tc>
          <w:tcPr>
            <w:tcW w:w="1000" w:type="dxa"/>
            <w:tcMar>
              <w:top w:w="60" w:type="dxa"/>
              <w:left w:w="80" w:type="dxa"/>
              <w:bottom w:w="60" w:type="dxa"/>
              <w:right w:w="80" w:type="dxa"/>
            </w:tcMar>
            <w:vAlign w:val="center"/>
          </w:tcPr>
          <w:p w14:paraId="0DEABCA4">
            <w:pPr>
              <w:jc w:val="center"/>
            </w:pPr>
            <w:r>
              <w:rPr>
                <w:rFonts w:ascii="Calibri" w:hAnsi="Calibri" w:eastAsia="Calibri" w:cs="Calibri"/>
                <w:b/>
                <w:bCs/>
                <w:color w:val="C00000"/>
                <w:sz w:val="19"/>
                <w:szCs w:val="19"/>
              </w:rPr>
              <w:t>High</w:t>
            </w:r>
          </w:p>
        </w:tc>
      </w:tr>
      <w:tr w14:paraId="61F14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770E32C9">
            <w:pPr>
              <w:jc w:val="center"/>
            </w:pPr>
            <w:r>
              <w:rPr>
                <w:rFonts w:ascii="Calibri" w:hAnsi="Calibri" w:eastAsia="Calibri" w:cs="Calibri"/>
                <w:color w:val="000000"/>
                <w:sz w:val="19"/>
                <w:szCs w:val="19"/>
              </w:rPr>
              <w:t>8.17</w:t>
            </w:r>
          </w:p>
        </w:tc>
        <w:tc>
          <w:tcPr>
            <w:tcW w:w="3300" w:type="dxa"/>
            <w:tcMar>
              <w:top w:w="60" w:type="dxa"/>
              <w:left w:w="80" w:type="dxa"/>
              <w:bottom w:w="60" w:type="dxa"/>
              <w:right w:w="80" w:type="dxa"/>
            </w:tcMar>
            <w:vAlign w:val="center"/>
          </w:tcPr>
          <w:p w14:paraId="1AAEB3D5">
            <w:pPr>
              <w:jc w:val="center"/>
            </w:pPr>
            <w:r>
              <w:rPr>
                <w:rFonts w:ascii="Calibri" w:hAnsi="Calibri" w:eastAsia="Calibri" w:cs="Calibri"/>
                <w:color w:val="000000"/>
                <w:sz w:val="19"/>
                <w:szCs w:val="19"/>
              </w:rPr>
              <w:t>Clock synchronization</w:t>
            </w:r>
          </w:p>
        </w:tc>
        <w:tc>
          <w:tcPr>
            <w:tcW w:w="4700" w:type="dxa"/>
            <w:tcMar>
              <w:top w:w="60" w:type="dxa"/>
              <w:left w:w="80" w:type="dxa"/>
              <w:bottom w:w="60" w:type="dxa"/>
              <w:right w:w="80" w:type="dxa"/>
            </w:tcMar>
            <w:vAlign w:val="center"/>
          </w:tcPr>
          <w:p w14:paraId="6174939D">
            <w:pPr>
              <w:jc w:val="center"/>
            </w:pPr>
            <w:r>
              <w:rPr>
                <w:rFonts w:ascii="Calibri" w:hAnsi="Calibri" w:eastAsia="Calibri" w:cs="Calibri"/>
                <w:color w:val="000000"/>
                <w:sz w:val="19"/>
                <w:szCs w:val="19"/>
              </w:rPr>
              <w:t>NTP used to synchronize core banking servers.</w:t>
            </w:r>
          </w:p>
        </w:tc>
        <w:tc>
          <w:tcPr>
            <w:tcW w:w="4700" w:type="dxa"/>
            <w:tcMar>
              <w:top w:w="60" w:type="dxa"/>
              <w:left w:w="80" w:type="dxa"/>
              <w:bottom w:w="60" w:type="dxa"/>
              <w:right w:w="80" w:type="dxa"/>
            </w:tcMar>
            <w:vAlign w:val="center"/>
          </w:tcPr>
          <w:p w14:paraId="48923047">
            <w:pPr>
              <w:jc w:val="center"/>
            </w:pPr>
            <w:r>
              <w:rPr>
                <w:rFonts w:ascii="Calibri" w:hAnsi="Calibri" w:eastAsia="Calibri" w:cs="Calibri"/>
                <w:color w:val="000000"/>
                <w:sz w:val="19"/>
                <w:szCs w:val="19"/>
              </w:rPr>
              <w:t>Coverage has not been verified across all systems.</w:t>
            </w:r>
          </w:p>
        </w:tc>
        <w:tc>
          <w:tcPr>
            <w:tcW w:w="1000" w:type="dxa"/>
            <w:tcMar>
              <w:top w:w="60" w:type="dxa"/>
              <w:left w:w="80" w:type="dxa"/>
              <w:bottom w:w="60" w:type="dxa"/>
              <w:right w:w="80" w:type="dxa"/>
            </w:tcMar>
            <w:vAlign w:val="center"/>
          </w:tcPr>
          <w:p w14:paraId="5F2C66AB">
            <w:pPr>
              <w:jc w:val="center"/>
            </w:pPr>
            <w:r>
              <w:rPr>
                <w:rFonts w:ascii="Calibri" w:hAnsi="Calibri" w:eastAsia="Calibri" w:cs="Calibri"/>
                <w:b/>
                <w:bCs/>
                <w:color w:val="375623"/>
                <w:sz w:val="19"/>
                <w:szCs w:val="19"/>
              </w:rPr>
              <w:t>Low</w:t>
            </w:r>
          </w:p>
        </w:tc>
      </w:tr>
      <w:tr w14:paraId="7B7FE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01E230B6">
            <w:pPr>
              <w:jc w:val="center"/>
            </w:pPr>
            <w:r>
              <w:rPr>
                <w:rFonts w:ascii="Calibri" w:hAnsi="Calibri" w:eastAsia="Calibri" w:cs="Calibri"/>
                <w:color w:val="000000"/>
                <w:sz w:val="19"/>
                <w:szCs w:val="19"/>
              </w:rPr>
              <w:t>8.18</w:t>
            </w:r>
          </w:p>
        </w:tc>
        <w:tc>
          <w:tcPr>
            <w:tcW w:w="3300" w:type="dxa"/>
            <w:tcMar>
              <w:top w:w="60" w:type="dxa"/>
              <w:left w:w="80" w:type="dxa"/>
              <w:bottom w:w="60" w:type="dxa"/>
              <w:right w:w="80" w:type="dxa"/>
            </w:tcMar>
            <w:vAlign w:val="center"/>
          </w:tcPr>
          <w:p w14:paraId="6F28FA81">
            <w:pPr>
              <w:jc w:val="center"/>
            </w:pPr>
            <w:r>
              <w:rPr>
                <w:rFonts w:ascii="Calibri" w:hAnsi="Calibri" w:eastAsia="Calibri" w:cs="Calibri"/>
                <w:color w:val="000000"/>
                <w:sz w:val="19"/>
                <w:szCs w:val="19"/>
              </w:rPr>
              <w:t>Use of privileged utility programs</w:t>
            </w:r>
          </w:p>
        </w:tc>
        <w:tc>
          <w:tcPr>
            <w:tcW w:w="4700" w:type="dxa"/>
            <w:tcMar>
              <w:top w:w="60" w:type="dxa"/>
              <w:left w:w="80" w:type="dxa"/>
              <w:bottom w:w="60" w:type="dxa"/>
              <w:right w:w="80" w:type="dxa"/>
            </w:tcMar>
            <w:vAlign w:val="center"/>
          </w:tcPr>
          <w:p w14:paraId="41C69633">
            <w:pPr>
              <w:jc w:val="center"/>
            </w:pPr>
            <w:r>
              <w:rPr>
                <w:rFonts w:ascii="Calibri" w:hAnsi="Calibri" w:eastAsia="Calibri" w:cs="Calibri"/>
                <w:color w:val="000000"/>
                <w:sz w:val="19"/>
                <w:szCs w:val="19"/>
              </w:rPr>
              <w:t>Use restricted to the administrative team.</w:t>
            </w:r>
          </w:p>
        </w:tc>
        <w:tc>
          <w:tcPr>
            <w:tcW w:w="4700" w:type="dxa"/>
            <w:tcMar>
              <w:top w:w="60" w:type="dxa"/>
              <w:left w:w="80" w:type="dxa"/>
              <w:bottom w:w="60" w:type="dxa"/>
              <w:right w:w="80" w:type="dxa"/>
            </w:tcMar>
            <w:vAlign w:val="center"/>
          </w:tcPr>
          <w:p w14:paraId="66EAA49C">
            <w:pPr>
              <w:jc w:val="center"/>
            </w:pPr>
            <w:r>
              <w:rPr>
                <w:rFonts w:ascii="Calibri" w:hAnsi="Calibri" w:eastAsia="Calibri" w:cs="Calibri"/>
                <w:color w:val="000000"/>
                <w:sz w:val="19"/>
                <w:szCs w:val="19"/>
              </w:rPr>
              <w:t>Usage of privileged utility programs is not logged.</w:t>
            </w:r>
          </w:p>
        </w:tc>
        <w:tc>
          <w:tcPr>
            <w:tcW w:w="1000" w:type="dxa"/>
            <w:tcMar>
              <w:top w:w="60" w:type="dxa"/>
              <w:left w:w="80" w:type="dxa"/>
              <w:bottom w:w="60" w:type="dxa"/>
              <w:right w:w="80" w:type="dxa"/>
            </w:tcMar>
            <w:vAlign w:val="center"/>
          </w:tcPr>
          <w:p w14:paraId="3E883045">
            <w:pPr>
              <w:jc w:val="center"/>
            </w:pPr>
            <w:r>
              <w:rPr>
                <w:rFonts w:ascii="Calibri" w:hAnsi="Calibri" w:eastAsia="Calibri" w:cs="Calibri"/>
                <w:b/>
                <w:bCs/>
                <w:color w:val="9C6500"/>
                <w:sz w:val="19"/>
                <w:szCs w:val="19"/>
              </w:rPr>
              <w:t>Medium</w:t>
            </w:r>
          </w:p>
        </w:tc>
      </w:tr>
      <w:tr w14:paraId="65C3E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0A3DFA89">
            <w:pPr>
              <w:jc w:val="center"/>
            </w:pPr>
            <w:r>
              <w:rPr>
                <w:rFonts w:ascii="Calibri" w:hAnsi="Calibri" w:eastAsia="Calibri" w:cs="Calibri"/>
                <w:color w:val="000000"/>
                <w:sz w:val="19"/>
                <w:szCs w:val="19"/>
              </w:rPr>
              <w:t>8.19</w:t>
            </w:r>
          </w:p>
        </w:tc>
        <w:tc>
          <w:tcPr>
            <w:tcW w:w="3300" w:type="dxa"/>
            <w:tcMar>
              <w:top w:w="60" w:type="dxa"/>
              <w:left w:w="80" w:type="dxa"/>
              <w:bottom w:w="60" w:type="dxa"/>
              <w:right w:w="80" w:type="dxa"/>
            </w:tcMar>
            <w:vAlign w:val="center"/>
          </w:tcPr>
          <w:p w14:paraId="2C9E8F94">
            <w:pPr>
              <w:jc w:val="center"/>
            </w:pPr>
            <w:r>
              <w:rPr>
                <w:rFonts w:ascii="Calibri" w:hAnsi="Calibri" w:eastAsia="Calibri" w:cs="Calibri"/>
                <w:color w:val="000000"/>
                <w:sz w:val="19"/>
                <w:szCs w:val="19"/>
              </w:rPr>
              <w:t>Installation of software on operational systems</w:t>
            </w:r>
          </w:p>
        </w:tc>
        <w:tc>
          <w:tcPr>
            <w:tcW w:w="4700" w:type="dxa"/>
            <w:tcMar>
              <w:top w:w="60" w:type="dxa"/>
              <w:left w:w="80" w:type="dxa"/>
              <w:bottom w:w="60" w:type="dxa"/>
              <w:right w:w="80" w:type="dxa"/>
            </w:tcMar>
            <w:vAlign w:val="center"/>
          </w:tcPr>
          <w:p w14:paraId="64ED968D">
            <w:pPr>
              <w:jc w:val="center"/>
            </w:pPr>
            <w:r>
              <w:rPr>
                <w:rFonts w:ascii="Calibri" w:hAnsi="Calibri" w:eastAsia="Calibri" w:cs="Calibri"/>
                <w:color w:val="000000"/>
                <w:sz w:val="19"/>
                <w:szCs w:val="19"/>
              </w:rPr>
              <w:t>Approved software list maintained for endpoints.</w:t>
            </w:r>
          </w:p>
        </w:tc>
        <w:tc>
          <w:tcPr>
            <w:tcW w:w="4700" w:type="dxa"/>
            <w:tcMar>
              <w:top w:w="60" w:type="dxa"/>
              <w:left w:w="80" w:type="dxa"/>
              <w:bottom w:w="60" w:type="dxa"/>
              <w:right w:w="80" w:type="dxa"/>
            </w:tcMar>
            <w:vAlign w:val="center"/>
          </w:tcPr>
          <w:p w14:paraId="1B483912">
            <w:pPr>
              <w:jc w:val="center"/>
            </w:pPr>
            <w:r>
              <w:rPr>
                <w:rFonts w:ascii="Calibri" w:hAnsi="Calibri" w:eastAsia="Calibri" w:cs="Calibri"/>
                <w:color w:val="000000"/>
                <w:sz w:val="19"/>
                <w:szCs w:val="19"/>
              </w:rPr>
              <w:t>No formal software installation approval workflow.</w:t>
            </w:r>
          </w:p>
        </w:tc>
        <w:tc>
          <w:tcPr>
            <w:tcW w:w="1000" w:type="dxa"/>
            <w:tcMar>
              <w:top w:w="60" w:type="dxa"/>
              <w:left w:w="80" w:type="dxa"/>
              <w:bottom w:w="60" w:type="dxa"/>
              <w:right w:w="80" w:type="dxa"/>
            </w:tcMar>
            <w:vAlign w:val="center"/>
          </w:tcPr>
          <w:p w14:paraId="6E8F0A61">
            <w:pPr>
              <w:jc w:val="center"/>
            </w:pPr>
            <w:r>
              <w:rPr>
                <w:rFonts w:ascii="Calibri" w:hAnsi="Calibri" w:eastAsia="Calibri" w:cs="Calibri"/>
                <w:b/>
                <w:bCs/>
                <w:color w:val="375623"/>
                <w:sz w:val="19"/>
                <w:szCs w:val="19"/>
              </w:rPr>
              <w:t>Low</w:t>
            </w:r>
          </w:p>
        </w:tc>
      </w:tr>
      <w:tr w14:paraId="55509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1977CA7D">
            <w:pPr>
              <w:jc w:val="center"/>
            </w:pPr>
            <w:r>
              <w:rPr>
                <w:rFonts w:ascii="Calibri" w:hAnsi="Calibri" w:eastAsia="Calibri" w:cs="Calibri"/>
                <w:color w:val="000000"/>
                <w:sz w:val="19"/>
                <w:szCs w:val="19"/>
              </w:rPr>
              <w:t>8.20</w:t>
            </w:r>
          </w:p>
        </w:tc>
        <w:tc>
          <w:tcPr>
            <w:tcW w:w="3300" w:type="dxa"/>
            <w:tcMar>
              <w:top w:w="60" w:type="dxa"/>
              <w:left w:w="80" w:type="dxa"/>
              <w:bottom w:w="60" w:type="dxa"/>
              <w:right w:w="80" w:type="dxa"/>
            </w:tcMar>
            <w:vAlign w:val="center"/>
          </w:tcPr>
          <w:p w14:paraId="7C4A83EB">
            <w:pPr>
              <w:jc w:val="center"/>
            </w:pPr>
            <w:r>
              <w:rPr>
                <w:rFonts w:ascii="Calibri" w:hAnsi="Calibri" w:eastAsia="Calibri" w:cs="Calibri"/>
                <w:color w:val="000000"/>
                <w:sz w:val="19"/>
                <w:szCs w:val="19"/>
              </w:rPr>
              <w:t>Networks security</w:t>
            </w:r>
          </w:p>
        </w:tc>
        <w:tc>
          <w:tcPr>
            <w:tcW w:w="4700" w:type="dxa"/>
            <w:tcMar>
              <w:top w:w="60" w:type="dxa"/>
              <w:left w:w="80" w:type="dxa"/>
              <w:bottom w:w="60" w:type="dxa"/>
              <w:right w:w="80" w:type="dxa"/>
            </w:tcMar>
            <w:vAlign w:val="center"/>
          </w:tcPr>
          <w:p w14:paraId="1540F92B">
            <w:pPr>
              <w:jc w:val="center"/>
            </w:pPr>
            <w:r>
              <w:rPr>
                <w:rFonts w:ascii="Calibri" w:hAnsi="Calibri" w:eastAsia="Calibri" w:cs="Calibri"/>
                <w:color w:val="000000"/>
                <w:sz w:val="19"/>
                <w:szCs w:val="19"/>
              </w:rPr>
              <w:t>Firewalls and network segmentation deployed.</w:t>
            </w:r>
          </w:p>
        </w:tc>
        <w:tc>
          <w:tcPr>
            <w:tcW w:w="4700" w:type="dxa"/>
            <w:tcMar>
              <w:top w:w="60" w:type="dxa"/>
              <w:left w:w="80" w:type="dxa"/>
              <w:bottom w:w="60" w:type="dxa"/>
              <w:right w:w="80" w:type="dxa"/>
            </w:tcMar>
            <w:vAlign w:val="center"/>
          </w:tcPr>
          <w:p w14:paraId="25D80CDA">
            <w:pPr>
              <w:jc w:val="center"/>
            </w:pPr>
            <w:r>
              <w:rPr>
                <w:rFonts w:ascii="Calibri" w:hAnsi="Calibri" w:eastAsia="Calibri" w:cs="Calibri"/>
                <w:color w:val="000000"/>
                <w:sz w:val="19"/>
                <w:szCs w:val="19"/>
              </w:rPr>
              <w:t>Firewall rule review not performed on a set schedule.</w:t>
            </w:r>
          </w:p>
        </w:tc>
        <w:tc>
          <w:tcPr>
            <w:tcW w:w="1000" w:type="dxa"/>
            <w:tcMar>
              <w:top w:w="60" w:type="dxa"/>
              <w:left w:w="80" w:type="dxa"/>
              <w:bottom w:w="60" w:type="dxa"/>
              <w:right w:w="80" w:type="dxa"/>
            </w:tcMar>
            <w:vAlign w:val="center"/>
          </w:tcPr>
          <w:p w14:paraId="5F73918F">
            <w:pPr>
              <w:jc w:val="center"/>
            </w:pPr>
            <w:r>
              <w:rPr>
                <w:rFonts w:ascii="Calibri" w:hAnsi="Calibri" w:eastAsia="Calibri" w:cs="Calibri"/>
                <w:b/>
                <w:bCs/>
                <w:color w:val="9C6500"/>
                <w:sz w:val="19"/>
                <w:szCs w:val="19"/>
              </w:rPr>
              <w:t>Medium</w:t>
            </w:r>
          </w:p>
        </w:tc>
      </w:tr>
      <w:tr w14:paraId="13191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199D169A">
            <w:pPr>
              <w:jc w:val="center"/>
            </w:pPr>
            <w:r>
              <w:rPr>
                <w:rFonts w:ascii="Calibri" w:hAnsi="Calibri" w:eastAsia="Calibri" w:cs="Calibri"/>
                <w:color w:val="000000"/>
                <w:sz w:val="19"/>
                <w:szCs w:val="19"/>
              </w:rPr>
              <w:t>8.21</w:t>
            </w:r>
          </w:p>
        </w:tc>
        <w:tc>
          <w:tcPr>
            <w:tcW w:w="3300" w:type="dxa"/>
            <w:tcMar>
              <w:top w:w="60" w:type="dxa"/>
              <w:left w:w="80" w:type="dxa"/>
              <w:bottom w:w="60" w:type="dxa"/>
              <w:right w:w="80" w:type="dxa"/>
            </w:tcMar>
            <w:vAlign w:val="center"/>
          </w:tcPr>
          <w:p w14:paraId="28160113">
            <w:pPr>
              <w:jc w:val="center"/>
            </w:pPr>
            <w:r>
              <w:rPr>
                <w:rFonts w:ascii="Calibri" w:hAnsi="Calibri" w:eastAsia="Calibri" w:cs="Calibri"/>
                <w:color w:val="000000"/>
                <w:sz w:val="19"/>
                <w:szCs w:val="19"/>
              </w:rPr>
              <w:t>Security of network services</w:t>
            </w:r>
          </w:p>
        </w:tc>
        <w:tc>
          <w:tcPr>
            <w:tcW w:w="4700" w:type="dxa"/>
            <w:tcMar>
              <w:top w:w="60" w:type="dxa"/>
              <w:left w:w="80" w:type="dxa"/>
              <w:bottom w:w="60" w:type="dxa"/>
              <w:right w:w="80" w:type="dxa"/>
            </w:tcMar>
            <w:vAlign w:val="center"/>
          </w:tcPr>
          <w:p w14:paraId="0EC0D422">
            <w:pPr>
              <w:jc w:val="center"/>
            </w:pPr>
            <w:r>
              <w:rPr>
                <w:rFonts w:ascii="Calibri" w:hAnsi="Calibri" w:eastAsia="Calibri" w:cs="Calibri"/>
                <w:color w:val="000000"/>
                <w:sz w:val="19"/>
                <w:szCs w:val="19"/>
              </w:rPr>
              <w:t>RTGS/ACH payment gateways are secured.</w:t>
            </w:r>
          </w:p>
        </w:tc>
        <w:tc>
          <w:tcPr>
            <w:tcW w:w="4700" w:type="dxa"/>
            <w:tcMar>
              <w:top w:w="60" w:type="dxa"/>
              <w:left w:w="80" w:type="dxa"/>
              <w:bottom w:w="60" w:type="dxa"/>
              <w:right w:w="80" w:type="dxa"/>
            </w:tcMar>
            <w:vAlign w:val="center"/>
          </w:tcPr>
          <w:p w14:paraId="3BB83AF6">
            <w:pPr>
              <w:jc w:val="center"/>
            </w:pPr>
            <w:r>
              <w:rPr>
                <w:rFonts w:ascii="Calibri" w:hAnsi="Calibri" w:eastAsia="Calibri" w:cs="Calibri"/>
                <w:color w:val="000000"/>
                <w:sz w:val="19"/>
                <w:szCs w:val="19"/>
              </w:rPr>
              <w:t>No formal, maintained network services inventory.</w:t>
            </w:r>
          </w:p>
        </w:tc>
        <w:tc>
          <w:tcPr>
            <w:tcW w:w="1000" w:type="dxa"/>
            <w:tcMar>
              <w:top w:w="60" w:type="dxa"/>
              <w:left w:w="80" w:type="dxa"/>
              <w:bottom w:w="60" w:type="dxa"/>
              <w:right w:w="80" w:type="dxa"/>
            </w:tcMar>
            <w:vAlign w:val="center"/>
          </w:tcPr>
          <w:p w14:paraId="153E1ACA">
            <w:pPr>
              <w:jc w:val="center"/>
            </w:pPr>
            <w:r>
              <w:rPr>
                <w:rFonts w:ascii="Calibri" w:hAnsi="Calibri" w:eastAsia="Calibri" w:cs="Calibri"/>
                <w:b/>
                <w:bCs/>
                <w:color w:val="375623"/>
                <w:sz w:val="19"/>
                <w:szCs w:val="19"/>
              </w:rPr>
              <w:t>Low</w:t>
            </w:r>
          </w:p>
        </w:tc>
      </w:tr>
      <w:tr w14:paraId="09A4F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04F978FA">
            <w:pPr>
              <w:jc w:val="center"/>
            </w:pPr>
            <w:r>
              <w:rPr>
                <w:rFonts w:ascii="Calibri" w:hAnsi="Calibri" w:eastAsia="Calibri" w:cs="Calibri"/>
                <w:color w:val="000000"/>
                <w:sz w:val="19"/>
                <w:szCs w:val="19"/>
              </w:rPr>
              <w:t>8.22</w:t>
            </w:r>
          </w:p>
        </w:tc>
        <w:tc>
          <w:tcPr>
            <w:tcW w:w="3300" w:type="dxa"/>
            <w:tcMar>
              <w:top w:w="60" w:type="dxa"/>
              <w:left w:w="80" w:type="dxa"/>
              <w:bottom w:w="60" w:type="dxa"/>
              <w:right w:w="80" w:type="dxa"/>
            </w:tcMar>
            <w:vAlign w:val="center"/>
          </w:tcPr>
          <w:p w14:paraId="284FD39D">
            <w:pPr>
              <w:jc w:val="center"/>
            </w:pPr>
            <w:r>
              <w:rPr>
                <w:rFonts w:ascii="Calibri" w:hAnsi="Calibri" w:eastAsia="Calibri" w:cs="Calibri"/>
                <w:color w:val="000000"/>
                <w:sz w:val="19"/>
                <w:szCs w:val="19"/>
              </w:rPr>
              <w:t>Segregation of networks</w:t>
            </w:r>
          </w:p>
        </w:tc>
        <w:tc>
          <w:tcPr>
            <w:tcW w:w="4700" w:type="dxa"/>
            <w:tcMar>
              <w:top w:w="60" w:type="dxa"/>
              <w:left w:w="80" w:type="dxa"/>
              <w:bottom w:w="60" w:type="dxa"/>
              <w:right w:w="80" w:type="dxa"/>
            </w:tcMar>
            <w:vAlign w:val="center"/>
          </w:tcPr>
          <w:p w14:paraId="6DB6786B">
            <w:pPr>
              <w:jc w:val="center"/>
            </w:pPr>
            <w:r>
              <w:rPr>
                <w:rFonts w:ascii="Calibri" w:hAnsi="Calibri" w:eastAsia="Calibri" w:cs="Calibri"/>
                <w:color w:val="000000"/>
                <w:sz w:val="19"/>
                <w:szCs w:val="19"/>
              </w:rPr>
              <w:t>Core banking network segmented from corporate network.</w:t>
            </w:r>
          </w:p>
        </w:tc>
        <w:tc>
          <w:tcPr>
            <w:tcW w:w="4700" w:type="dxa"/>
            <w:tcMar>
              <w:top w:w="60" w:type="dxa"/>
              <w:left w:w="80" w:type="dxa"/>
              <w:bottom w:w="60" w:type="dxa"/>
              <w:right w:w="80" w:type="dxa"/>
            </w:tcMar>
            <w:vAlign w:val="center"/>
          </w:tcPr>
          <w:p w14:paraId="1B855851">
            <w:pPr>
              <w:jc w:val="center"/>
            </w:pPr>
            <w:r>
              <w:rPr>
                <w:rFonts w:ascii="Calibri" w:hAnsi="Calibri" w:eastAsia="Calibri" w:cs="Calibri"/>
                <w:color w:val="000000"/>
                <w:sz w:val="19"/>
                <w:szCs w:val="19"/>
              </w:rPr>
              <w:t>Guest and branch network segmentation is inconsistent.</w:t>
            </w:r>
          </w:p>
        </w:tc>
        <w:tc>
          <w:tcPr>
            <w:tcW w:w="1000" w:type="dxa"/>
            <w:tcMar>
              <w:top w:w="60" w:type="dxa"/>
              <w:left w:w="80" w:type="dxa"/>
              <w:bottom w:w="60" w:type="dxa"/>
              <w:right w:w="80" w:type="dxa"/>
            </w:tcMar>
            <w:vAlign w:val="center"/>
          </w:tcPr>
          <w:p w14:paraId="4B5DF172">
            <w:pPr>
              <w:jc w:val="center"/>
            </w:pPr>
            <w:r>
              <w:rPr>
                <w:rFonts w:ascii="Calibri" w:hAnsi="Calibri" w:eastAsia="Calibri" w:cs="Calibri"/>
                <w:b/>
                <w:bCs/>
                <w:color w:val="9C6500"/>
                <w:sz w:val="19"/>
                <w:szCs w:val="19"/>
              </w:rPr>
              <w:t>Medium</w:t>
            </w:r>
          </w:p>
        </w:tc>
      </w:tr>
      <w:tr w14:paraId="53ABE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4107E0CA">
            <w:pPr>
              <w:jc w:val="center"/>
            </w:pPr>
            <w:r>
              <w:rPr>
                <w:rFonts w:ascii="Calibri" w:hAnsi="Calibri" w:eastAsia="Calibri" w:cs="Calibri"/>
                <w:color w:val="000000"/>
                <w:sz w:val="19"/>
                <w:szCs w:val="19"/>
              </w:rPr>
              <w:t>8.23</w:t>
            </w:r>
          </w:p>
        </w:tc>
        <w:tc>
          <w:tcPr>
            <w:tcW w:w="3300" w:type="dxa"/>
            <w:tcMar>
              <w:top w:w="60" w:type="dxa"/>
              <w:left w:w="80" w:type="dxa"/>
              <w:bottom w:w="60" w:type="dxa"/>
              <w:right w:w="80" w:type="dxa"/>
            </w:tcMar>
            <w:vAlign w:val="center"/>
          </w:tcPr>
          <w:p w14:paraId="090F257D">
            <w:pPr>
              <w:jc w:val="center"/>
            </w:pPr>
            <w:r>
              <w:rPr>
                <w:rFonts w:ascii="Calibri" w:hAnsi="Calibri" w:eastAsia="Calibri" w:cs="Calibri"/>
                <w:color w:val="000000"/>
                <w:sz w:val="19"/>
                <w:szCs w:val="19"/>
              </w:rPr>
              <w:t>Web filtering</w:t>
            </w:r>
          </w:p>
        </w:tc>
        <w:tc>
          <w:tcPr>
            <w:tcW w:w="4700" w:type="dxa"/>
            <w:tcMar>
              <w:top w:w="60" w:type="dxa"/>
              <w:left w:w="80" w:type="dxa"/>
              <w:bottom w:w="60" w:type="dxa"/>
              <w:right w:w="80" w:type="dxa"/>
            </w:tcMar>
            <w:vAlign w:val="center"/>
          </w:tcPr>
          <w:p w14:paraId="51B142A1">
            <w:pPr>
              <w:jc w:val="center"/>
            </w:pPr>
            <w:r>
              <w:rPr>
                <w:rFonts w:ascii="Calibri" w:hAnsi="Calibri" w:eastAsia="Calibri" w:cs="Calibri"/>
                <w:color w:val="000000"/>
                <w:sz w:val="19"/>
                <w:szCs w:val="19"/>
              </w:rPr>
              <w:t>Web filtering deployed at the network gateway.</w:t>
            </w:r>
          </w:p>
        </w:tc>
        <w:tc>
          <w:tcPr>
            <w:tcW w:w="4700" w:type="dxa"/>
            <w:tcMar>
              <w:top w:w="60" w:type="dxa"/>
              <w:left w:w="80" w:type="dxa"/>
              <w:bottom w:w="60" w:type="dxa"/>
              <w:right w:w="80" w:type="dxa"/>
            </w:tcMar>
            <w:vAlign w:val="center"/>
          </w:tcPr>
          <w:p w14:paraId="07B2C8F8">
            <w:pPr>
              <w:jc w:val="center"/>
            </w:pPr>
            <w:r>
              <w:rPr>
                <w:rFonts w:ascii="Calibri" w:hAnsi="Calibri" w:eastAsia="Calibri" w:cs="Calibri"/>
                <w:color w:val="000000"/>
                <w:sz w:val="19"/>
                <w:szCs w:val="19"/>
              </w:rPr>
              <w:t>Filtering policy not reviewed on a periodic basis.</w:t>
            </w:r>
          </w:p>
        </w:tc>
        <w:tc>
          <w:tcPr>
            <w:tcW w:w="1000" w:type="dxa"/>
            <w:tcMar>
              <w:top w:w="60" w:type="dxa"/>
              <w:left w:w="80" w:type="dxa"/>
              <w:bottom w:w="60" w:type="dxa"/>
              <w:right w:w="80" w:type="dxa"/>
            </w:tcMar>
            <w:vAlign w:val="center"/>
          </w:tcPr>
          <w:p w14:paraId="6E25F694">
            <w:pPr>
              <w:jc w:val="center"/>
            </w:pPr>
            <w:r>
              <w:rPr>
                <w:rFonts w:ascii="Calibri" w:hAnsi="Calibri" w:eastAsia="Calibri" w:cs="Calibri"/>
                <w:b/>
                <w:bCs/>
                <w:color w:val="375623"/>
                <w:sz w:val="19"/>
                <w:szCs w:val="19"/>
              </w:rPr>
              <w:t>Low</w:t>
            </w:r>
          </w:p>
        </w:tc>
      </w:tr>
      <w:tr w14:paraId="6E4DA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127AE976">
            <w:pPr>
              <w:jc w:val="center"/>
            </w:pPr>
            <w:r>
              <w:rPr>
                <w:rFonts w:ascii="Calibri" w:hAnsi="Calibri" w:eastAsia="Calibri" w:cs="Calibri"/>
                <w:color w:val="000000"/>
                <w:sz w:val="19"/>
                <w:szCs w:val="19"/>
              </w:rPr>
              <w:t>8.24</w:t>
            </w:r>
          </w:p>
        </w:tc>
        <w:tc>
          <w:tcPr>
            <w:tcW w:w="3300" w:type="dxa"/>
            <w:tcMar>
              <w:top w:w="60" w:type="dxa"/>
              <w:left w:w="80" w:type="dxa"/>
              <w:bottom w:w="60" w:type="dxa"/>
              <w:right w:w="80" w:type="dxa"/>
            </w:tcMar>
            <w:vAlign w:val="center"/>
          </w:tcPr>
          <w:p w14:paraId="639BC081">
            <w:pPr>
              <w:jc w:val="center"/>
            </w:pPr>
            <w:r>
              <w:rPr>
                <w:rFonts w:ascii="Calibri" w:hAnsi="Calibri" w:eastAsia="Calibri" w:cs="Calibri"/>
                <w:color w:val="000000"/>
                <w:sz w:val="19"/>
                <w:szCs w:val="19"/>
              </w:rPr>
              <w:t>Use of cryptography</w:t>
            </w:r>
          </w:p>
        </w:tc>
        <w:tc>
          <w:tcPr>
            <w:tcW w:w="4700" w:type="dxa"/>
            <w:tcMar>
              <w:top w:w="60" w:type="dxa"/>
              <w:left w:w="80" w:type="dxa"/>
              <w:bottom w:w="60" w:type="dxa"/>
              <w:right w:w="80" w:type="dxa"/>
            </w:tcMar>
            <w:vAlign w:val="center"/>
          </w:tcPr>
          <w:p w14:paraId="00D86A3A">
            <w:pPr>
              <w:jc w:val="center"/>
            </w:pPr>
            <w:r>
              <w:rPr>
                <w:rFonts w:ascii="Calibri" w:hAnsi="Calibri" w:eastAsia="Calibri" w:cs="Calibri"/>
                <w:color w:val="000000"/>
                <w:sz w:val="19"/>
                <w:szCs w:val="19"/>
              </w:rPr>
              <w:t>PKI and key management infrastructure in place.</w:t>
            </w:r>
          </w:p>
        </w:tc>
        <w:tc>
          <w:tcPr>
            <w:tcW w:w="4700" w:type="dxa"/>
            <w:tcMar>
              <w:top w:w="60" w:type="dxa"/>
              <w:left w:w="80" w:type="dxa"/>
              <w:bottom w:w="60" w:type="dxa"/>
              <w:right w:w="80" w:type="dxa"/>
            </w:tcMar>
            <w:vAlign w:val="center"/>
          </w:tcPr>
          <w:p w14:paraId="133078D8">
            <w:pPr>
              <w:jc w:val="center"/>
            </w:pPr>
            <w:r>
              <w:rPr>
                <w:rFonts w:ascii="Calibri" w:hAnsi="Calibri" w:eastAsia="Calibri" w:cs="Calibri"/>
                <w:color w:val="000000"/>
                <w:sz w:val="19"/>
                <w:szCs w:val="19"/>
              </w:rPr>
              <w:t>No formal, documented cryptographic policy.</w:t>
            </w:r>
          </w:p>
        </w:tc>
        <w:tc>
          <w:tcPr>
            <w:tcW w:w="1000" w:type="dxa"/>
            <w:tcMar>
              <w:top w:w="60" w:type="dxa"/>
              <w:left w:w="80" w:type="dxa"/>
              <w:bottom w:w="60" w:type="dxa"/>
              <w:right w:w="80" w:type="dxa"/>
            </w:tcMar>
            <w:vAlign w:val="center"/>
          </w:tcPr>
          <w:p w14:paraId="7A767498">
            <w:pPr>
              <w:jc w:val="center"/>
            </w:pPr>
            <w:r>
              <w:rPr>
                <w:rFonts w:ascii="Calibri" w:hAnsi="Calibri" w:eastAsia="Calibri" w:cs="Calibri"/>
                <w:b/>
                <w:bCs/>
                <w:color w:val="C00000"/>
                <w:sz w:val="19"/>
                <w:szCs w:val="19"/>
              </w:rPr>
              <w:t>High</w:t>
            </w:r>
          </w:p>
        </w:tc>
      </w:tr>
      <w:tr w14:paraId="53435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452A8DDC">
            <w:pPr>
              <w:jc w:val="center"/>
            </w:pPr>
            <w:r>
              <w:rPr>
                <w:rFonts w:ascii="Calibri" w:hAnsi="Calibri" w:eastAsia="Calibri" w:cs="Calibri"/>
                <w:color w:val="000000"/>
                <w:sz w:val="19"/>
                <w:szCs w:val="19"/>
              </w:rPr>
              <w:t>8.25</w:t>
            </w:r>
          </w:p>
        </w:tc>
        <w:tc>
          <w:tcPr>
            <w:tcW w:w="3300" w:type="dxa"/>
            <w:tcMar>
              <w:top w:w="60" w:type="dxa"/>
              <w:left w:w="80" w:type="dxa"/>
              <w:bottom w:w="60" w:type="dxa"/>
              <w:right w:w="80" w:type="dxa"/>
            </w:tcMar>
            <w:vAlign w:val="center"/>
          </w:tcPr>
          <w:p w14:paraId="2A7B5FF0">
            <w:pPr>
              <w:jc w:val="center"/>
            </w:pPr>
            <w:r>
              <w:rPr>
                <w:rFonts w:ascii="Calibri" w:hAnsi="Calibri" w:eastAsia="Calibri" w:cs="Calibri"/>
                <w:color w:val="000000"/>
                <w:sz w:val="19"/>
                <w:szCs w:val="19"/>
              </w:rPr>
              <w:t>Secure development life cycle</w:t>
            </w:r>
          </w:p>
        </w:tc>
        <w:tc>
          <w:tcPr>
            <w:tcW w:w="4700" w:type="dxa"/>
            <w:tcMar>
              <w:top w:w="60" w:type="dxa"/>
              <w:left w:w="80" w:type="dxa"/>
              <w:bottom w:w="60" w:type="dxa"/>
              <w:right w:w="80" w:type="dxa"/>
            </w:tcMar>
            <w:vAlign w:val="center"/>
          </w:tcPr>
          <w:p w14:paraId="35DC5A33">
            <w:pPr>
              <w:jc w:val="center"/>
            </w:pPr>
            <w:r>
              <w:rPr>
                <w:rFonts w:ascii="Calibri" w:hAnsi="Calibri" w:eastAsia="Calibri" w:cs="Calibri"/>
                <w:color w:val="000000"/>
                <w:sz w:val="19"/>
                <w:szCs w:val="19"/>
              </w:rPr>
              <w:t>Development team follows informal internal practices.</w:t>
            </w:r>
          </w:p>
        </w:tc>
        <w:tc>
          <w:tcPr>
            <w:tcW w:w="4700" w:type="dxa"/>
            <w:tcMar>
              <w:top w:w="60" w:type="dxa"/>
              <w:left w:w="80" w:type="dxa"/>
              <w:bottom w:w="60" w:type="dxa"/>
              <w:right w:w="80" w:type="dxa"/>
            </w:tcMar>
            <w:vAlign w:val="center"/>
          </w:tcPr>
          <w:p w14:paraId="659C432C">
            <w:pPr>
              <w:jc w:val="center"/>
            </w:pPr>
            <w:r>
              <w:rPr>
                <w:rFonts w:ascii="Calibri" w:hAnsi="Calibri" w:eastAsia="Calibri" w:cs="Calibri"/>
                <w:color w:val="000000"/>
                <w:sz w:val="19"/>
                <w:szCs w:val="19"/>
              </w:rPr>
              <w:t>No formal, documented SDLC security policy.</w:t>
            </w:r>
          </w:p>
        </w:tc>
        <w:tc>
          <w:tcPr>
            <w:tcW w:w="1000" w:type="dxa"/>
            <w:tcMar>
              <w:top w:w="60" w:type="dxa"/>
              <w:left w:w="80" w:type="dxa"/>
              <w:bottom w:w="60" w:type="dxa"/>
              <w:right w:w="80" w:type="dxa"/>
            </w:tcMar>
            <w:vAlign w:val="center"/>
          </w:tcPr>
          <w:p w14:paraId="14D58B72">
            <w:pPr>
              <w:jc w:val="center"/>
            </w:pPr>
            <w:r>
              <w:rPr>
                <w:rFonts w:ascii="Calibri" w:hAnsi="Calibri" w:eastAsia="Calibri" w:cs="Calibri"/>
                <w:b/>
                <w:bCs/>
                <w:color w:val="C00000"/>
                <w:sz w:val="19"/>
                <w:szCs w:val="19"/>
              </w:rPr>
              <w:t>High</w:t>
            </w:r>
          </w:p>
        </w:tc>
      </w:tr>
      <w:tr w14:paraId="092EB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486EC09D">
            <w:pPr>
              <w:jc w:val="center"/>
            </w:pPr>
            <w:r>
              <w:rPr>
                <w:rFonts w:ascii="Calibri" w:hAnsi="Calibri" w:eastAsia="Calibri" w:cs="Calibri"/>
                <w:color w:val="000000"/>
                <w:sz w:val="19"/>
                <w:szCs w:val="19"/>
              </w:rPr>
              <w:t>8.26</w:t>
            </w:r>
          </w:p>
        </w:tc>
        <w:tc>
          <w:tcPr>
            <w:tcW w:w="3300" w:type="dxa"/>
            <w:tcMar>
              <w:top w:w="60" w:type="dxa"/>
              <w:left w:w="80" w:type="dxa"/>
              <w:bottom w:w="60" w:type="dxa"/>
              <w:right w:w="80" w:type="dxa"/>
            </w:tcMar>
            <w:vAlign w:val="center"/>
          </w:tcPr>
          <w:p w14:paraId="13D6B83C">
            <w:pPr>
              <w:jc w:val="center"/>
            </w:pPr>
            <w:r>
              <w:rPr>
                <w:rFonts w:ascii="Calibri" w:hAnsi="Calibri" w:eastAsia="Calibri" w:cs="Calibri"/>
                <w:color w:val="000000"/>
                <w:sz w:val="19"/>
                <w:szCs w:val="19"/>
              </w:rPr>
              <w:t>Application security requirements</w:t>
            </w:r>
          </w:p>
        </w:tc>
        <w:tc>
          <w:tcPr>
            <w:tcW w:w="4700" w:type="dxa"/>
            <w:tcMar>
              <w:top w:w="60" w:type="dxa"/>
              <w:left w:w="80" w:type="dxa"/>
              <w:bottom w:w="60" w:type="dxa"/>
              <w:right w:w="80" w:type="dxa"/>
            </w:tcMar>
            <w:vAlign w:val="center"/>
          </w:tcPr>
          <w:p w14:paraId="6FCDBC01">
            <w:pPr>
              <w:jc w:val="center"/>
            </w:pPr>
            <w:r>
              <w:rPr>
                <w:rFonts w:ascii="Calibri" w:hAnsi="Calibri" w:eastAsia="Calibri" w:cs="Calibri"/>
                <w:color w:val="000000"/>
                <w:sz w:val="19"/>
                <w:szCs w:val="19"/>
              </w:rPr>
              <w:t>Security requirements gathered informally per project.</w:t>
            </w:r>
          </w:p>
        </w:tc>
        <w:tc>
          <w:tcPr>
            <w:tcW w:w="4700" w:type="dxa"/>
            <w:tcMar>
              <w:top w:w="60" w:type="dxa"/>
              <w:left w:w="80" w:type="dxa"/>
              <w:bottom w:w="60" w:type="dxa"/>
              <w:right w:w="80" w:type="dxa"/>
            </w:tcMar>
            <w:vAlign w:val="center"/>
          </w:tcPr>
          <w:p w14:paraId="226ADDC3">
            <w:pPr>
              <w:jc w:val="center"/>
            </w:pPr>
            <w:r>
              <w:rPr>
                <w:rFonts w:ascii="Calibri" w:hAnsi="Calibri" w:eastAsia="Calibri" w:cs="Calibri"/>
                <w:color w:val="000000"/>
                <w:sz w:val="19"/>
                <w:szCs w:val="19"/>
              </w:rPr>
              <w:t>No standardized security requirements template.</w:t>
            </w:r>
          </w:p>
        </w:tc>
        <w:tc>
          <w:tcPr>
            <w:tcW w:w="1000" w:type="dxa"/>
            <w:tcMar>
              <w:top w:w="60" w:type="dxa"/>
              <w:left w:w="80" w:type="dxa"/>
              <w:bottom w:w="60" w:type="dxa"/>
              <w:right w:w="80" w:type="dxa"/>
            </w:tcMar>
            <w:vAlign w:val="center"/>
          </w:tcPr>
          <w:p w14:paraId="5F2F33CD">
            <w:pPr>
              <w:jc w:val="center"/>
            </w:pPr>
            <w:r>
              <w:rPr>
                <w:rFonts w:ascii="Calibri" w:hAnsi="Calibri" w:eastAsia="Calibri" w:cs="Calibri"/>
                <w:b/>
                <w:bCs/>
                <w:color w:val="9C6500"/>
                <w:sz w:val="19"/>
                <w:szCs w:val="19"/>
              </w:rPr>
              <w:t>Medium</w:t>
            </w:r>
          </w:p>
        </w:tc>
      </w:tr>
      <w:tr w14:paraId="4A40D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1E4BB0DE">
            <w:pPr>
              <w:jc w:val="center"/>
            </w:pPr>
            <w:r>
              <w:rPr>
                <w:rFonts w:ascii="Calibri" w:hAnsi="Calibri" w:eastAsia="Calibri" w:cs="Calibri"/>
                <w:color w:val="000000"/>
                <w:sz w:val="19"/>
                <w:szCs w:val="19"/>
              </w:rPr>
              <w:t>8.27</w:t>
            </w:r>
          </w:p>
        </w:tc>
        <w:tc>
          <w:tcPr>
            <w:tcW w:w="3300" w:type="dxa"/>
            <w:tcMar>
              <w:top w:w="60" w:type="dxa"/>
              <w:left w:w="80" w:type="dxa"/>
              <w:bottom w:w="60" w:type="dxa"/>
              <w:right w:w="80" w:type="dxa"/>
            </w:tcMar>
            <w:vAlign w:val="center"/>
          </w:tcPr>
          <w:p w14:paraId="01DBEDF5">
            <w:pPr>
              <w:jc w:val="center"/>
            </w:pPr>
            <w:r>
              <w:rPr>
                <w:rFonts w:ascii="Calibri" w:hAnsi="Calibri" w:eastAsia="Calibri" w:cs="Calibri"/>
                <w:color w:val="000000"/>
                <w:sz w:val="19"/>
                <w:szCs w:val="19"/>
              </w:rPr>
              <w:t>Secure system architecture and engineering principles</w:t>
            </w:r>
          </w:p>
        </w:tc>
        <w:tc>
          <w:tcPr>
            <w:tcW w:w="4700" w:type="dxa"/>
            <w:tcMar>
              <w:top w:w="60" w:type="dxa"/>
              <w:left w:w="80" w:type="dxa"/>
              <w:bottom w:w="60" w:type="dxa"/>
              <w:right w:w="80" w:type="dxa"/>
            </w:tcMar>
            <w:vAlign w:val="center"/>
          </w:tcPr>
          <w:p w14:paraId="12468AAD">
            <w:pPr>
              <w:jc w:val="center"/>
            </w:pPr>
            <w:r>
              <w:rPr>
                <w:rFonts w:ascii="Calibri" w:hAnsi="Calibri" w:eastAsia="Calibri" w:cs="Calibri"/>
                <w:color w:val="000000"/>
                <w:sz w:val="19"/>
                <w:szCs w:val="19"/>
              </w:rPr>
              <w:t>Architecture reviewed informally by senior engineers.</w:t>
            </w:r>
          </w:p>
        </w:tc>
        <w:tc>
          <w:tcPr>
            <w:tcW w:w="4700" w:type="dxa"/>
            <w:tcMar>
              <w:top w:w="60" w:type="dxa"/>
              <w:left w:w="80" w:type="dxa"/>
              <w:bottom w:w="60" w:type="dxa"/>
              <w:right w:w="80" w:type="dxa"/>
            </w:tcMar>
            <w:vAlign w:val="center"/>
          </w:tcPr>
          <w:p w14:paraId="13BBF29E">
            <w:pPr>
              <w:jc w:val="center"/>
            </w:pPr>
            <w:r>
              <w:rPr>
                <w:rFonts w:ascii="Calibri" w:hAnsi="Calibri" w:eastAsia="Calibri" w:cs="Calibri"/>
                <w:color w:val="000000"/>
                <w:sz w:val="19"/>
                <w:szCs w:val="19"/>
              </w:rPr>
              <w:t>No formal architecture review board or gate.</w:t>
            </w:r>
          </w:p>
        </w:tc>
        <w:tc>
          <w:tcPr>
            <w:tcW w:w="1000" w:type="dxa"/>
            <w:tcMar>
              <w:top w:w="60" w:type="dxa"/>
              <w:left w:w="80" w:type="dxa"/>
              <w:bottom w:w="60" w:type="dxa"/>
              <w:right w:w="80" w:type="dxa"/>
            </w:tcMar>
            <w:vAlign w:val="center"/>
          </w:tcPr>
          <w:p w14:paraId="27724047">
            <w:pPr>
              <w:jc w:val="center"/>
            </w:pPr>
            <w:r>
              <w:rPr>
                <w:rFonts w:ascii="Calibri" w:hAnsi="Calibri" w:eastAsia="Calibri" w:cs="Calibri"/>
                <w:b/>
                <w:bCs/>
                <w:color w:val="9C6500"/>
                <w:sz w:val="19"/>
                <w:szCs w:val="19"/>
              </w:rPr>
              <w:t>Medium</w:t>
            </w:r>
          </w:p>
        </w:tc>
      </w:tr>
      <w:tr w14:paraId="66BF1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1989B747">
            <w:pPr>
              <w:jc w:val="center"/>
            </w:pPr>
            <w:r>
              <w:rPr>
                <w:rFonts w:ascii="Calibri" w:hAnsi="Calibri" w:eastAsia="Calibri" w:cs="Calibri"/>
                <w:color w:val="000000"/>
                <w:sz w:val="19"/>
                <w:szCs w:val="19"/>
              </w:rPr>
              <w:t>8.28</w:t>
            </w:r>
          </w:p>
        </w:tc>
        <w:tc>
          <w:tcPr>
            <w:tcW w:w="3300" w:type="dxa"/>
            <w:tcMar>
              <w:top w:w="60" w:type="dxa"/>
              <w:left w:w="80" w:type="dxa"/>
              <w:bottom w:w="60" w:type="dxa"/>
              <w:right w:w="80" w:type="dxa"/>
            </w:tcMar>
            <w:vAlign w:val="center"/>
          </w:tcPr>
          <w:p w14:paraId="3BC2682D">
            <w:pPr>
              <w:jc w:val="center"/>
            </w:pPr>
            <w:r>
              <w:rPr>
                <w:rFonts w:ascii="Calibri" w:hAnsi="Calibri" w:eastAsia="Calibri" w:cs="Calibri"/>
                <w:color w:val="000000"/>
                <w:sz w:val="19"/>
                <w:szCs w:val="19"/>
              </w:rPr>
              <w:t>Secure coding</w:t>
            </w:r>
          </w:p>
        </w:tc>
        <w:tc>
          <w:tcPr>
            <w:tcW w:w="4700" w:type="dxa"/>
            <w:tcMar>
              <w:top w:w="60" w:type="dxa"/>
              <w:left w:w="80" w:type="dxa"/>
              <w:bottom w:w="60" w:type="dxa"/>
              <w:right w:w="80" w:type="dxa"/>
            </w:tcMar>
            <w:vAlign w:val="center"/>
          </w:tcPr>
          <w:p w14:paraId="2422DF8E">
            <w:pPr>
              <w:jc w:val="center"/>
            </w:pPr>
            <w:r>
              <w:rPr>
                <w:rFonts w:ascii="Calibri" w:hAnsi="Calibri" w:eastAsia="Calibri" w:cs="Calibri"/>
                <w:color w:val="000000"/>
                <w:sz w:val="19"/>
                <w:szCs w:val="19"/>
              </w:rPr>
              <w:t>Developers experienced but follow no formal standard.</w:t>
            </w:r>
          </w:p>
        </w:tc>
        <w:tc>
          <w:tcPr>
            <w:tcW w:w="4700" w:type="dxa"/>
            <w:tcMar>
              <w:top w:w="60" w:type="dxa"/>
              <w:left w:w="80" w:type="dxa"/>
              <w:bottom w:w="60" w:type="dxa"/>
              <w:right w:w="80" w:type="dxa"/>
            </w:tcMar>
            <w:vAlign w:val="center"/>
          </w:tcPr>
          <w:p w14:paraId="3DDDE1CF">
            <w:pPr>
              <w:jc w:val="center"/>
            </w:pPr>
            <w:r>
              <w:rPr>
                <w:rFonts w:ascii="Calibri" w:hAnsi="Calibri" w:eastAsia="Calibri" w:cs="Calibri"/>
                <w:color w:val="000000"/>
                <w:sz w:val="19"/>
                <w:szCs w:val="19"/>
              </w:rPr>
              <w:t>No secure coding guideline or developer training.</w:t>
            </w:r>
          </w:p>
        </w:tc>
        <w:tc>
          <w:tcPr>
            <w:tcW w:w="1000" w:type="dxa"/>
            <w:tcMar>
              <w:top w:w="60" w:type="dxa"/>
              <w:left w:w="80" w:type="dxa"/>
              <w:bottom w:w="60" w:type="dxa"/>
              <w:right w:w="80" w:type="dxa"/>
            </w:tcMar>
            <w:vAlign w:val="center"/>
          </w:tcPr>
          <w:p w14:paraId="387075ED">
            <w:pPr>
              <w:jc w:val="center"/>
            </w:pPr>
            <w:r>
              <w:rPr>
                <w:rFonts w:ascii="Calibri" w:hAnsi="Calibri" w:eastAsia="Calibri" w:cs="Calibri"/>
                <w:b/>
                <w:bCs/>
                <w:color w:val="C00000"/>
                <w:sz w:val="19"/>
                <w:szCs w:val="19"/>
              </w:rPr>
              <w:t>High</w:t>
            </w:r>
          </w:p>
        </w:tc>
      </w:tr>
      <w:tr w14:paraId="6F776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185CC338">
            <w:pPr>
              <w:jc w:val="center"/>
            </w:pPr>
            <w:r>
              <w:rPr>
                <w:rFonts w:ascii="Calibri" w:hAnsi="Calibri" w:eastAsia="Calibri" w:cs="Calibri"/>
                <w:color w:val="000000"/>
                <w:sz w:val="19"/>
                <w:szCs w:val="19"/>
              </w:rPr>
              <w:t>8.29</w:t>
            </w:r>
          </w:p>
        </w:tc>
        <w:tc>
          <w:tcPr>
            <w:tcW w:w="3300" w:type="dxa"/>
            <w:tcMar>
              <w:top w:w="60" w:type="dxa"/>
              <w:left w:w="80" w:type="dxa"/>
              <w:bottom w:w="60" w:type="dxa"/>
              <w:right w:w="80" w:type="dxa"/>
            </w:tcMar>
            <w:vAlign w:val="center"/>
          </w:tcPr>
          <w:p w14:paraId="2D02F579">
            <w:pPr>
              <w:jc w:val="center"/>
            </w:pPr>
            <w:r>
              <w:rPr>
                <w:rFonts w:ascii="Calibri" w:hAnsi="Calibri" w:eastAsia="Calibri" w:cs="Calibri"/>
                <w:color w:val="000000"/>
                <w:sz w:val="19"/>
                <w:szCs w:val="19"/>
              </w:rPr>
              <w:t>Security testing in development and acceptance</w:t>
            </w:r>
          </w:p>
        </w:tc>
        <w:tc>
          <w:tcPr>
            <w:tcW w:w="4700" w:type="dxa"/>
            <w:tcMar>
              <w:top w:w="60" w:type="dxa"/>
              <w:left w:w="80" w:type="dxa"/>
              <w:bottom w:w="60" w:type="dxa"/>
              <w:right w:w="80" w:type="dxa"/>
            </w:tcMar>
            <w:vAlign w:val="center"/>
          </w:tcPr>
          <w:p w14:paraId="1511A0DE">
            <w:pPr>
              <w:jc w:val="center"/>
            </w:pPr>
            <w:r>
              <w:rPr>
                <w:rFonts w:ascii="Calibri" w:hAnsi="Calibri" w:eastAsia="Calibri" w:cs="Calibri"/>
                <w:color w:val="000000"/>
                <w:sz w:val="19"/>
                <w:szCs w:val="19"/>
              </w:rPr>
              <w:t>Functional testing performed before releases.</w:t>
            </w:r>
          </w:p>
        </w:tc>
        <w:tc>
          <w:tcPr>
            <w:tcW w:w="4700" w:type="dxa"/>
            <w:tcMar>
              <w:top w:w="60" w:type="dxa"/>
              <w:left w:w="80" w:type="dxa"/>
              <w:bottom w:w="60" w:type="dxa"/>
              <w:right w:w="80" w:type="dxa"/>
            </w:tcMar>
            <w:vAlign w:val="center"/>
          </w:tcPr>
          <w:p w14:paraId="2F51C2C5">
            <w:pPr>
              <w:jc w:val="center"/>
            </w:pPr>
            <w:r>
              <w:rPr>
                <w:rFonts w:ascii="Calibri" w:hAnsi="Calibri" w:eastAsia="Calibri" w:cs="Calibri"/>
                <w:color w:val="000000"/>
                <w:sz w:val="19"/>
                <w:szCs w:val="19"/>
              </w:rPr>
              <w:t>No dedicated security or penetration testing phase.</w:t>
            </w:r>
          </w:p>
        </w:tc>
        <w:tc>
          <w:tcPr>
            <w:tcW w:w="1000" w:type="dxa"/>
            <w:tcMar>
              <w:top w:w="60" w:type="dxa"/>
              <w:left w:w="80" w:type="dxa"/>
              <w:bottom w:w="60" w:type="dxa"/>
              <w:right w:w="80" w:type="dxa"/>
            </w:tcMar>
            <w:vAlign w:val="center"/>
          </w:tcPr>
          <w:p w14:paraId="45D20D97">
            <w:pPr>
              <w:jc w:val="center"/>
            </w:pPr>
            <w:r>
              <w:rPr>
                <w:rFonts w:ascii="Calibri" w:hAnsi="Calibri" w:eastAsia="Calibri" w:cs="Calibri"/>
                <w:b/>
                <w:bCs/>
                <w:color w:val="C00000"/>
                <w:sz w:val="19"/>
                <w:szCs w:val="19"/>
              </w:rPr>
              <w:t>High</w:t>
            </w:r>
          </w:p>
        </w:tc>
      </w:tr>
      <w:tr w14:paraId="606E5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1F1F442B">
            <w:pPr>
              <w:jc w:val="center"/>
            </w:pPr>
            <w:r>
              <w:rPr>
                <w:rFonts w:ascii="Calibri" w:hAnsi="Calibri" w:eastAsia="Calibri" w:cs="Calibri"/>
                <w:color w:val="000000"/>
                <w:sz w:val="19"/>
                <w:szCs w:val="19"/>
              </w:rPr>
              <w:t>8.30</w:t>
            </w:r>
          </w:p>
        </w:tc>
        <w:tc>
          <w:tcPr>
            <w:tcW w:w="3300" w:type="dxa"/>
            <w:tcMar>
              <w:top w:w="60" w:type="dxa"/>
              <w:left w:w="80" w:type="dxa"/>
              <w:bottom w:w="60" w:type="dxa"/>
              <w:right w:w="80" w:type="dxa"/>
            </w:tcMar>
            <w:vAlign w:val="center"/>
          </w:tcPr>
          <w:p w14:paraId="13F203BF">
            <w:pPr>
              <w:jc w:val="center"/>
            </w:pPr>
            <w:r>
              <w:rPr>
                <w:rFonts w:ascii="Calibri" w:hAnsi="Calibri" w:eastAsia="Calibri" w:cs="Calibri"/>
                <w:color w:val="000000"/>
                <w:sz w:val="19"/>
                <w:szCs w:val="19"/>
              </w:rPr>
              <w:t>Outsourced development</w:t>
            </w:r>
          </w:p>
        </w:tc>
        <w:tc>
          <w:tcPr>
            <w:tcW w:w="4700" w:type="dxa"/>
            <w:tcMar>
              <w:top w:w="60" w:type="dxa"/>
              <w:left w:w="80" w:type="dxa"/>
              <w:bottom w:w="60" w:type="dxa"/>
              <w:right w:w="80" w:type="dxa"/>
            </w:tcMar>
            <w:vAlign w:val="center"/>
          </w:tcPr>
          <w:p w14:paraId="1C276ECE">
            <w:pPr>
              <w:jc w:val="center"/>
            </w:pPr>
            <w:r>
              <w:rPr>
                <w:rFonts w:ascii="Calibri" w:hAnsi="Calibri" w:eastAsia="Calibri" w:cs="Calibri"/>
                <w:color w:val="000000"/>
                <w:sz w:val="19"/>
                <w:szCs w:val="19"/>
              </w:rPr>
              <w:t>Some fintech API integrations are outsourced.</w:t>
            </w:r>
          </w:p>
        </w:tc>
        <w:tc>
          <w:tcPr>
            <w:tcW w:w="4700" w:type="dxa"/>
            <w:tcMar>
              <w:top w:w="60" w:type="dxa"/>
              <w:left w:w="80" w:type="dxa"/>
              <w:bottom w:w="60" w:type="dxa"/>
              <w:right w:w="80" w:type="dxa"/>
            </w:tcMar>
            <w:vAlign w:val="center"/>
          </w:tcPr>
          <w:p w14:paraId="4C1EE028">
            <w:pPr>
              <w:jc w:val="center"/>
            </w:pPr>
            <w:r>
              <w:rPr>
                <w:rFonts w:ascii="Calibri" w:hAnsi="Calibri" w:eastAsia="Calibri" w:cs="Calibri"/>
                <w:color w:val="000000"/>
                <w:sz w:val="19"/>
                <w:szCs w:val="19"/>
              </w:rPr>
              <w:t>No security requirements embedded in outsourcing contracts.</w:t>
            </w:r>
          </w:p>
        </w:tc>
        <w:tc>
          <w:tcPr>
            <w:tcW w:w="1000" w:type="dxa"/>
            <w:tcMar>
              <w:top w:w="60" w:type="dxa"/>
              <w:left w:w="80" w:type="dxa"/>
              <w:bottom w:w="60" w:type="dxa"/>
              <w:right w:w="80" w:type="dxa"/>
            </w:tcMar>
            <w:vAlign w:val="center"/>
          </w:tcPr>
          <w:p w14:paraId="435C665C">
            <w:pPr>
              <w:jc w:val="center"/>
            </w:pPr>
            <w:r>
              <w:rPr>
                <w:rFonts w:ascii="Calibri" w:hAnsi="Calibri" w:eastAsia="Calibri" w:cs="Calibri"/>
                <w:b/>
                <w:bCs/>
                <w:color w:val="C00000"/>
                <w:sz w:val="19"/>
                <w:szCs w:val="19"/>
              </w:rPr>
              <w:t>High</w:t>
            </w:r>
          </w:p>
        </w:tc>
      </w:tr>
      <w:tr w14:paraId="336C9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12525E80">
            <w:pPr>
              <w:jc w:val="center"/>
            </w:pPr>
            <w:r>
              <w:rPr>
                <w:rFonts w:ascii="Calibri" w:hAnsi="Calibri" w:eastAsia="Calibri" w:cs="Calibri"/>
                <w:color w:val="000000"/>
                <w:sz w:val="19"/>
                <w:szCs w:val="19"/>
              </w:rPr>
              <w:t>8.31</w:t>
            </w:r>
          </w:p>
        </w:tc>
        <w:tc>
          <w:tcPr>
            <w:tcW w:w="3300" w:type="dxa"/>
            <w:tcMar>
              <w:top w:w="60" w:type="dxa"/>
              <w:left w:w="80" w:type="dxa"/>
              <w:bottom w:w="60" w:type="dxa"/>
              <w:right w:w="80" w:type="dxa"/>
            </w:tcMar>
            <w:vAlign w:val="center"/>
          </w:tcPr>
          <w:p w14:paraId="4F2853BD">
            <w:pPr>
              <w:jc w:val="center"/>
            </w:pPr>
            <w:r>
              <w:rPr>
                <w:rFonts w:ascii="Calibri" w:hAnsi="Calibri" w:eastAsia="Calibri" w:cs="Calibri"/>
                <w:color w:val="000000"/>
                <w:sz w:val="19"/>
                <w:szCs w:val="19"/>
              </w:rPr>
              <w:t>Separation of development, test and production environments</w:t>
            </w:r>
          </w:p>
        </w:tc>
        <w:tc>
          <w:tcPr>
            <w:tcW w:w="4700" w:type="dxa"/>
            <w:tcMar>
              <w:top w:w="60" w:type="dxa"/>
              <w:left w:w="80" w:type="dxa"/>
              <w:bottom w:w="60" w:type="dxa"/>
              <w:right w:w="80" w:type="dxa"/>
            </w:tcMar>
            <w:vAlign w:val="center"/>
          </w:tcPr>
          <w:p w14:paraId="282A171C">
            <w:pPr>
              <w:jc w:val="center"/>
            </w:pPr>
            <w:r>
              <w:rPr>
                <w:rFonts w:ascii="Calibri" w:hAnsi="Calibri" w:eastAsia="Calibri" w:cs="Calibri"/>
                <w:color w:val="000000"/>
                <w:sz w:val="19"/>
                <w:szCs w:val="19"/>
              </w:rPr>
              <w:t>Separate environments maintained for core banking.</w:t>
            </w:r>
          </w:p>
        </w:tc>
        <w:tc>
          <w:tcPr>
            <w:tcW w:w="4700" w:type="dxa"/>
            <w:tcMar>
              <w:top w:w="60" w:type="dxa"/>
              <w:left w:w="80" w:type="dxa"/>
              <w:bottom w:w="60" w:type="dxa"/>
              <w:right w:w="80" w:type="dxa"/>
            </w:tcMar>
            <w:vAlign w:val="center"/>
          </w:tcPr>
          <w:p w14:paraId="053551D2">
            <w:pPr>
              <w:jc w:val="center"/>
            </w:pPr>
            <w:r>
              <w:rPr>
                <w:rFonts w:ascii="Calibri" w:hAnsi="Calibri" w:eastAsia="Calibri" w:cs="Calibri"/>
                <w:color w:val="000000"/>
                <w:sz w:val="19"/>
                <w:szCs w:val="19"/>
              </w:rPr>
              <w:t>Access boundaries between environments not periodically audited.</w:t>
            </w:r>
          </w:p>
        </w:tc>
        <w:tc>
          <w:tcPr>
            <w:tcW w:w="1000" w:type="dxa"/>
            <w:tcMar>
              <w:top w:w="60" w:type="dxa"/>
              <w:left w:w="80" w:type="dxa"/>
              <w:bottom w:w="60" w:type="dxa"/>
              <w:right w:w="80" w:type="dxa"/>
            </w:tcMar>
            <w:vAlign w:val="center"/>
          </w:tcPr>
          <w:p w14:paraId="6A5A0ED7">
            <w:pPr>
              <w:jc w:val="center"/>
            </w:pPr>
            <w:r>
              <w:rPr>
                <w:rFonts w:ascii="Calibri" w:hAnsi="Calibri" w:eastAsia="Calibri" w:cs="Calibri"/>
                <w:b/>
                <w:bCs/>
                <w:color w:val="9C6500"/>
                <w:sz w:val="19"/>
                <w:szCs w:val="19"/>
              </w:rPr>
              <w:t>Medium</w:t>
            </w:r>
          </w:p>
        </w:tc>
      </w:tr>
      <w:tr w14:paraId="51F56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5176424F">
            <w:pPr>
              <w:jc w:val="center"/>
            </w:pPr>
            <w:r>
              <w:rPr>
                <w:rFonts w:ascii="Calibri" w:hAnsi="Calibri" w:eastAsia="Calibri" w:cs="Calibri"/>
                <w:color w:val="000000"/>
                <w:sz w:val="19"/>
                <w:szCs w:val="19"/>
              </w:rPr>
              <w:t>8.32</w:t>
            </w:r>
          </w:p>
        </w:tc>
        <w:tc>
          <w:tcPr>
            <w:tcW w:w="3300" w:type="dxa"/>
            <w:tcMar>
              <w:top w:w="60" w:type="dxa"/>
              <w:left w:w="80" w:type="dxa"/>
              <w:bottom w:w="60" w:type="dxa"/>
              <w:right w:w="80" w:type="dxa"/>
            </w:tcMar>
            <w:vAlign w:val="center"/>
          </w:tcPr>
          <w:p w14:paraId="5EA76077">
            <w:pPr>
              <w:jc w:val="center"/>
            </w:pPr>
            <w:r>
              <w:rPr>
                <w:rFonts w:ascii="Calibri" w:hAnsi="Calibri" w:eastAsia="Calibri" w:cs="Calibri"/>
                <w:color w:val="000000"/>
                <w:sz w:val="19"/>
                <w:szCs w:val="19"/>
              </w:rPr>
              <w:t>Change management</w:t>
            </w:r>
          </w:p>
        </w:tc>
        <w:tc>
          <w:tcPr>
            <w:tcW w:w="4700" w:type="dxa"/>
            <w:tcMar>
              <w:top w:w="60" w:type="dxa"/>
              <w:left w:w="80" w:type="dxa"/>
              <w:bottom w:w="60" w:type="dxa"/>
              <w:right w:w="80" w:type="dxa"/>
            </w:tcMar>
            <w:vAlign w:val="center"/>
          </w:tcPr>
          <w:p w14:paraId="6CDA6BC0">
            <w:pPr>
              <w:jc w:val="center"/>
            </w:pPr>
            <w:r>
              <w:rPr>
                <w:rFonts w:ascii="Calibri" w:hAnsi="Calibri" w:eastAsia="Calibri" w:cs="Calibri"/>
                <w:color w:val="000000"/>
                <w:sz w:val="19"/>
                <w:szCs w:val="19"/>
              </w:rPr>
              <w:t>Formal change approval process for core banking changes.</w:t>
            </w:r>
          </w:p>
        </w:tc>
        <w:tc>
          <w:tcPr>
            <w:tcW w:w="4700" w:type="dxa"/>
            <w:tcMar>
              <w:top w:w="60" w:type="dxa"/>
              <w:left w:w="80" w:type="dxa"/>
              <w:bottom w:w="60" w:type="dxa"/>
              <w:right w:w="80" w:type="dxa"/>
            </w:tcMar>
            <w:vAlign w:val="center"/>
          </w:tcPr>
          <w:p w14:paraId="37DA944A">
            <w:pPr>
              <w:jc w:val="center"/>
            </w:pPr>
            <w:r>
              <w:rPr>
                <w:rFonts w:ascii="Calibri" w:hAnsi="Calibri" w:eastAsia="Calibri" w:cs="Calibri"/>
                <w:color w:val="000000"/>
                <w:sz w:val="19"/>
                <w:szCs w:val="19"/>
              </w:rPr>
              <w:t>Not consistently applied to minor system changes.</w:t>
            </w:r>
          </w:p>
        </w:tc>
        <w:tc>
          <w:tcPr>
            <w:tcW w:w="1000" w:type="dxa"/>
            <w:tcMar>
              <w:top w:w="60" w:type="dxa"/>
              <w:left w:w="80" w:type="dxa"/>
              <w:bottom w:w="60" w:type="dxa"/>
              <w:right w:w="80" w:type="dxa"/>
            </w:tcMar>
            <w:vAlign w:val="center"/>
          </w:tcPr>
          <w:p w14:paraId="4EA16A1C">
            <w:pPr>
              <w:jc w:val="center"/>
            </w:pPr>
            <w:r>
              <w:rPr>
                <w:rFonts w:ascii="Calibri" w:hAnsi="Calibri" w:eastAsia="Calibri" w:cs="Calibri"/>
                <w:b/>
                <w:bCs/>
                <w:color w:val="9C6500"/>
                <w:sz w:val="19"/>
                <w:szCs w:val="19"/>
              </w:rPr>
              <w:t>Medium</w:t>
            </w:r>
          </w:p>
        </w:tc>
      </w:tr>
      <w:tr w14:paraId="466B9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53D321B0">
            <w:pPr>
              <w:jc w:val="center"/>
            </w:pPr>
            <w:r>
              <w:rPr>
                <w:rFonts w:ascii="Calibri" w:hAnsi="Calibri" w:eastAsia="Calibri" w:cs="Calibri"/>
                <w:color w:val="000000"/>
                <w:sz w:val="19"/>
                <w:szCs w:val="19"/>
              </w:rPr>
              <w:t>8.33</w:t>
            </w:r>
          </w:p>
        </w:tc>
        <w:tc>
          <w:tcPr>
            <w:tcW w:w="3300" w:type="dxa"/>
            <w:tcMar>
              <w:top w:w="60" w:type="dxa"/>
              <w:left w:w="80" w:type="dxa"/>
              <w:bottom w:w="60" w:type="dxa"/>
              <w:right w:w="80" w:type="dxa"/>
            </w:tcMar>
            <w:vAlign w:val="center"/>
          </w:tcPr>
          <w:p w14:paraId="658E3D44">
            <w:pPr>
              <w:jc w:val="center"/>
            </w:pPr>
            <w:r>
              <w:rPr>
                <w:rFonts w:ascii="Calibri" w:hAnsi="Calibri" w:eastAsia="Calibri" w:cs="Calibri"/>
                <w:color w:val="000000"/>
                <w:sz w:val="19"/>
                <w:szCs w:val="19"/>
              </w:rPr>
              <w:t>Test information</w:t>
            </w:r>
          </w:p>
        </w:tc>
        <w:tc>
          <w:tcPr>
            <w:tcW w:w="4700" w:type="dxa"/>
            <w:tcMar>
              <w:top w:w="60" w:type="dxa"/>
              <w:left w:w="80" w:type="dxa"/>
              <w:bottom w:w="60" w:type="dxa"/>
              <w:right w:w="80" w:type="dxa"/>
            </w:tcMar>
            <w:vAlign w:val="center"/>
          </w:tcPr>
          <w:p w14:paraId="6946DB3C">
            <w:pPr>
              <w:jc w:val="center"/>
            </w:pPr>
            <w:r>
              <w:rPr>
                <w:rFonts w:ascii="Calibri" w:hAnsi="Calibri" w:eastAsia="Calibri" w:cs="Calibri"/>
                <w:color w:val="000000"/>
                <w:sz w:val="19"/>
                <w:szCs w:val="19"/>
              </w:rPr>
              <w:t>Production-like data used during system testing.</w:t>
            </w:r>
          </w:p>
        </w:tc>
        <w:tc>
          <w:tcPr>
            <w:tcW w:w="4700" w:type="dxa"/>
            <w:tcMar>
              <w:top w:w="60" w:type="dxa"/>
              <w:left w:w="80" w:type="dxa"/>
              <w:bottom w:w="60" w:type="dxa"/>
              <w:right w:w="80" w:type="dxa"/>
            </w:tcMar>
            <w:vAlign w:val="center"/>
          </w:tcPr>
          <w:p w14:paraId="0570A1E6">
            <w:pPr>
              <w:jc w:val="center"/>
            </w:pPr>
            <w:r>
              <w:rPr>
                <w:rFonts w:ascii="Calibri" w:hAnsi="Calibri" w:eastAsia="Calibri" w:cs="Calibri"/>
                <w:color w:val="000000"/>
                <w:sz w:val="19"/>
                <w:szCs w:val="19"/>
              </w:rPr>
              <w:t>No data masking standard defined for test data.</w:t>
            </w:r>
          </w:p>
        </w:tc>
        <w:tc>
          <w:tcPr>
            <w:tcW w:w="1000" w:type="dxa"/>
            <w:tcMar>
              <w:top w:w="60" w:type="dxa"/>
              <w:left w:w="80" w:type="dxa"/>
              <w:bottom w:w="60" w:type="dxa"/>
              <w:right w:w="80" w:type="dxa"/>
            </w:tcMar>
            <w:vAlign w:val="center"/>
          </w:tcPr>
          <w:p w14:paraId="07FEF259">
            <w:pPr>
              <w:jc w:val="center"/>
            </w:pPr>
            <w:r>
              <w:rPr>
                <w:rFonts w:ascii="Calibri" w:hAnsi="Calibri" w:eastAsia="Calibri" w:cs="Calibri"/>
                <w:b/>
                <w:bCs/>
                <w:color w:val="C00000"/>
                <w:sz w:val="19"/>
                <w:szCs w:val="19"/>
              </w:rPr>
              <w:t>High</w:t>
            </w:r>
          </w:p>
        </w:tc>
      </w:tr>
      <w:tr w14:paraId="2C2A8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4A63E430">
            <w:pPr>
              <w:jc w:val="center"/>
            </w:pPr>
            <w:r>
              <w:rPr>
                <w:rFonts w:ascii="Calibri" w:hAnsi="Calibri" w:eastAsia="Calibri" w:cs="Calibri"/>
                <w:color w:val="000000"/>
                <w:sz w:val="19"/>
                <w:szCs w:val="19"/>
              </w:rPr>
              <w:t>8.34</w:t>
            </w:r>
          </w:p>
        </w:tc>
        <w:tc>
          <w:tcPr>
            <w:tcW w:w="3300" w:type="dxa"/>
            <w:tcMar>
              <w:top w:w="60" w:type="dxa"/>
              <w:left w:w="80" w:type="dxa"/>
              <w:bottom w:w="60" w:type="dxa"/>
              <w:right w:w="80" w:type="dxa"/>
            </w:tcMar>
            <w:vAlign w:val="center"/>
          </w:tcPr>
          <w:p w14:paraId="56334D20">
            <w:pPr>
              <w:jc w:val="center"/>
            </w:pPr>
            <w:r>
              <w:rPr>
                <w:rFonts w:ascii="Calibri" w:hAnsi="Calibri" w:eastAsia="Calibri" w:cs="Calibri"/>
                <w:color w:val="000000"/>
                <w:sz w:val="19"/>
                <w:szCs w:val="19"/>
              </w:rPr>
              <w:t>Protection of information systems during audit testing</w:t>
            </w:r>
          </w:p>
        </w:tc>
        <w:tc>
          <w:tcPr>
            <w:tcW w:w="4700" w:type="dxa"/>
            <w:tcMar>
              <w:top w:w="60" w:type="dxa"/>
              <w:left w:w="80" w:type="dxa"/>
              <w:bottom w:w="60" w:type="dxa"/>
              <w:right w:w="80" w:type="dxa"/>
            </w:tcMar>
            <w:vAlign w:val="center"/>
          </w:tcPr>
          <w:p w14:paraId="5E3EBBCA">
            <w:pPr>
              <w:jc w:val="center"/>
            </w:pPr>
            <w:r>
              <w:rPr>
                <w:rFonts w:ascii="Calibri" w:hAnsi="Calibri" w:eastAsia="Calibri" w:cs="Calibri"/>
                <w:color w:val="000000"/>
                <w:sz w:val="19"/>
                <w:szCs w:val="19"/>
              </w:rPr>
              <w:t>Audit activities are scheduled and coordinated with IT.</w:t>
            </w:r>
          </w:p>
        </w:tc>
        <w:tc>
          <w:tcPr>
            <w:tcW w:w="4700" w:type="dxa"/>
            <w:tcMar>
              <w:top w:w="60" w:type="dxa"/>
              <w:left w:w="80" w:type="dxa"/>
              <w:bottom w:w="60" w:type="dxa"/>
              <w:right w:w="80" w:type="dxa"/>
            </w:tcMar>
            <w:vAlign w:val="center"/>
          </w:tcPr>
          <w:p w14:paraId="668180FC">
            <w:pPr>
              <w:jc w:val="center"/>
            </w:pPr>
            <w:r>
              <w:rPr>
                <w:rFonts w:ascii="Calibri" w:hAnsi="Calibri" w:eastAsia="Calibri" w:cs="Calibri"/>
                <w:color w:val="000000"/>
                <w:sz w:val="19"/>
                <w:szCs w:val="19"/>
              </w:rPr>
              <w:t>No formal protection procedure for systems under audit.</w:t>
            </w:r>
          </w:p>
        </w:tc>
        <w:tc>
          <w:tcPr>
            <w:tcW w:w="1000" w:type="dxa"/>
            <w:tcMar>
              <w:top w:w="60" w:type="dxa"/>
              <w:left w:w="80" w:type="dxa"/>
              <w:bottom w:w="60" w:type="dxa"/>
              <w:right w:w="80" w:type="dxa"/>
            </w:tcMar>
            <w:vAlign w:val="center"/>
          </w:tcPr>
          <w:p w14:paraId="3CDD4809">
            <w:pPr>
              <w:jc w:val="center"/>
            </w:pPr>
            <w:r>
              <w:rPr>
                <w:rFonts w:ascii="Calibri" w:hAnsi="Calibri" w:eastAsia="Calibri" w:cs="Calibri"/>
                <w:b/>
                <w:bCs/>
                <w:color w:val="9C6500"/>
                <w:sz w:val="19"/>
                <w:szCs w:val="19"/>
              </w:rPr>
              <w:t>Medium</w:t>
            </w:r>
          </w:p>
        </w:tc>
      </w:tr>
    </w:tbl>
    <w:p w14:paraId="1032EC68">
      <w:pPr>
        <w:spacing w:after="200"/>
      </w:pPr>
    </w:p>
    <w:p w14:paraId="43EB5DA8">
      <w:pPr>
        <w:pBdr>
          <w:bottom w:val="single" w:color="000000" w:sz="6" w:space="4"/>
        </w:pBdr>
        <w:spacing w:before="320" w:after="60"/>
        <w:rPr>
          <w:rFonts w:ascii="Times New Roman" w:hAnsi="Times New Roman" w:eastAsia="Times New Roman" w:cs="Times New Roman"/>
          <w:b/>
          <w:bCs/>
          <w:color w:val="000000"/>
          <w:sz w:val="26"/>
          <w:szCs w:val="26"/>
        </w:rPr>
      </w:pPr>
    </w:p>
    <w:p w14:paraId="265FC002">
      <w:pPr>
        <w:pBdr>
          <w:bottom w:val="single" w:color="000000" w:sz="6" w:space="4"/>
        </w:pBdr>
        <w:spacing w:before="320" w:after="60"/>
        <w:rPr>
          <w:rFonts w:ascii="Times New Roman" w:hAnsi="Times New Roman" w:eastAsia="Times New Roman" w:cs="Times New Roman"/>
          <w:b/>
          <w:bCs/>
          <w:color w:val="000000"/>
          <w:sz w:val="26"/>
          <w:szCs w:val="26"/>
        </w:rPr>
      </w:pPr>
    </w:p>
    <w:p w14:paraId="7AF55DFE">
      <w:pPr>
        <w:pBdr>
          <w:bottom w:val="single" w:color="000000" w:sz="6" w:space="4"/>
        </w:pBdr>
        <w:spacing w:before="320" w:after="60"/>
      </w:pPr>
      <w:r>
        <w:rPr>
          <w:rFonts w:ascii="Times New Roman" w:hAnsi="Times New Roman" w:eastAsia="Times New Roman" w:cs="Times New Roman"/>
          <w:b/>
          <w:bCs/>
          <w:color w:val="000000"/>
          <w:sz w:val="26"/>
          <w:szCs w:val="26"/>
        </w:rPr>
        <w:t>5. Conclusion</w:t>
      </w:r>
    </w:p>
    <w:p w14:paraId="0648EC22">
      <w:pPr>
        <w:spacing w:after="160"/>
      </w:pPr>
      <w:r>
        <w:rPr>
          <w:rFonts w:ascii="Calibri" w:hAnsi="Calibri" w:eastAsia="Calibri" w:cs="Calibri"/>
          <w:color w:val="000000"/>
          <w:sz w:val="20"/>
          <w:szCs w:val="20"/>
        </w:rPr>
        <w:t>This gap analysis confirms that UnityTrust Bank has established a reasonable technological security foundation, driven by its digital-first strategy, but that formal governance, documentation, and organizational-level controls require significant strengthening to meet ISO/IEC 27001:2022 requirements.</w:t>
      </w:r>
    </w:p>
    <w:p w14:paraId="449D1CDB">
      <w:pPr>
        <w:spacing w:after="160"/>
      </w:pPr>
      <w:r>
        <w:rPr>
          <w:rFonts w:ascii="Calibri" w:hAnsi="Calibri" w:eastAsia="Calibri" w:cs="Calibri"/>
          <w:color w:val="000000"/>
          <w:sz w:val="20"/>
          <w:szCs w:val="20"/>
        </w:rPr>
        <w:t>The findings in this report directly inform the Asset Identification and Threat register, the Risk Treatment Plan, and the Statement of Applicability, which together form the remaining deliverables of this ISMS implementation project. Priority should be given to closing High-priority gaps in information classification, supplier security, incident response, secure development, and continuous monitoring within the next reporting cycle.</w:t>
      </w:r>
    </w:p>
    <w:sectPr>
      <w:headerReference r:id="rId3" w:type="default"/>
      <w:footerReference r:id="rId4" w:type="default"/>
      <w:pgSz w:w="16838" w:h="11906" w:orient="landscape"/>
      <w:pgMar w:top="900" w:right="720" w:bottom="900" w:left="72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5F5960">
    <w:pPr>
      <w:pBdr>
        <w:top w:val="single" w:color="000000" w:sz="4" w:space="4"/>
      </w:pBdr>
      <w:tabs>
        <w:tab w:val="right" w:pos="14400"/>
      </w:tabs>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3B7DE2">
    <w:pPr>
      <w:jc w:val="both"/>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compatSetting w:name="compatibilityMode" w:uri="http://schemas.microsoft.com/office/word" w:val="15"/>
  </w:compat>
  <w:rsids>
    <w:rsidRoot w:val="00000000"/>
    <w:rsid w:val="26706DD0"/>
    <w:rsid w:val="2671218C"/>
    <w:rsid w:val="406D2642"/>
    <w:rsid w:val="525C54AC"/>
    <w:rsid w:val="61F401C1"/>
    <w:rsid w:val="7B050F6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440</Words>
  <Characters>2737</Characters>
  <TotalTime>1234</TotalTime>
  <ScaleCrop>false</ScaleCrop>
  <LinksUpToDate>false</LinksUpToDate>
  <CharactersWithSpaces>3144</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2026-08-10T04:05:00Z</dcterms:created>
  <dc:creator>Un-named</dc:creator>
  <cp:lastModifiedBy>NAWAB SHEHZAD</cp:lastModifiedBy>
  <dcterms:modified xsi:type="dcterms:W3CDTF">2026-08-11T03:14:07Z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eyJoZGlkIjoiY2Y0NDYyMDg5MTE5YjYzYmQ2OTVmNmE4MDE4YTUwZDciLCJ1c2VySWQiOiI4ODEzODU4NjAzNTQyIn0=</vt:lpwstr>
  </property>
  <property fmtid="{D5CDD505-2E9C-101B-9397-08002B2CF9AE}" pid="3" name="KSOProductBuildVer">
    <vt:lpwstr>1033-12.1.0.28032</vt:lpwstr>
  </property>
  <property fmtid="{D5CDD505-2E9C-101B-9397-08002B2CF9AE}" pid="4" name="ICV">
    <vt:lpwstr>90F3E2058C4D43AD83E6DADE47FF5A89_13</vt:lpwstr>
  </property>
</Properties>
</file>