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39A5E">
      <w:pPr>
        <w:spacing w:before="1600" w:after="200"/>
        <w:jc w:val="center"/>
      </w:pPr>
      <w:r>
        <w:rPr>
          <w:rFonts w:ascii="Times New Roman" w:hAnsi="Times New Roman" w:eastAsia="Times New Roman" w:cs="Times New Roman"/>
          <w:b/>
          <w:bCs/>
          <w:color w:val="000000"/>
          <w:sz w:val="32"/>
          <w:szCs w:val="32"/>
        </w:rPr>
        <w:t>UnityTrust Bank</w:t>
      </w:r>
    </w:p>
    <w:p w14:paraId="031ED02A">
      <w:pPr>
        <w:spacing w:after="100"/>
        <w:jc w:val="center"/>
      </w:pPr>
      <w:r>
        <w:rPr>
          <w:rFonts w:ascii="Times New Roman" w:hAnsi="Times New Roman" w:eastAsia="Times New Roman" w:cs="Times New Roman"/>
          <w:b/>
          <w:bCs/>
          <w:color w:val="000000"/>
          <w:sz w:val="44"/>
          <w:szCs w:val="44"/>
        </w:rPr>
        <w:t>Statement of Applicability (SoA)</w:t>
      </w:r>
    </w:p>
    <w:p w14:paraId="7041DEC5">
      <w:pPr>
        <w:spacing w:after="800"/>
        <w:jc w:val="center"/>
      </w:pPr>
      <w:r>
        <w:rPr>
          <w:rFonts w:ascii="Times New Roman" w:hAnsi="Times New Roman" w:eastAsia="Times New Roman" w:cs="Times New Roman"/>
          <w:i/>
          <w:iCs/>
          <w:color w:val="404040"/>
          <w:sz w:val="24"/>
          <w:szCs w:val="24"/>
        </w:rPr>
        <w:t>ISO/IEC 27001:2022 Annex A - Applicability of Controls</w:t>
      </w:r>
    </w:p>
    <w:p w14:paraId="197723CB">
      <w:pPr>
        <w:spacing w:before="1000" w:after="60"/>
        <w:jc w:val="center"/>
      </w:pPr>
      <w:r>
        <w:rPr>
          <w:rFonts w:ascii="Calibri" w:hAnsi="Calibri" w:eastAsia="Calibri" w:cs="Calibri"/>
          <w:color w:val="000000"/>
          <w:sz w:val="22"/>
          <w:szCs w:val="22"/>
        </w:rPr>
        <w:t>Prepared by: Shehzad Ahmad</w:t>
      </w:r>
    </w:p>
    <w:p w14:paraId="17943F00">
      <w:pPr>
        <w:spacing w:after="60"/>
        <w:jc w:val="center"/>
      </w:pPr>
      <w:r>
        <w:rPr>
          <w:rFonts w:ascii="Calibri" w:hAnsi="Calibri" w:eastAsia="Calibri" w:cs="Calibri"/>
          <w:color w:val="000000"/>
          <w:sz w:val="22"/>
          <w:szCs w:val="22"/>
        </w:rPr>
        <w:t>GRC Internship - PKCERT (National CERT Pakistan)</w:t>
      </w:r>
    </w:p>
    <w:p w14:paraId="16A81C5A">
      <w:pPr>
        <w:spacing w:after="60"/>
        <w:jc w:val="center"/>
      </w:pPr>
      <w:r>
        <w:rPr>
          <w:rFonts w:ascii="Calibri" w:hAnsi="Calibri" w:eastAsia="Calibri" w:cs="Calibri"/>
          <w:color w:val="595959"/>
          <w:sz w:val="20"/>
          <w:szCs w:val="20"/>
        </w:rPr>
        <w:t>Document Classification: Internal</w:t>
      </w:r>
    </w:p>
    <w:p w14:paraId="5FB9472E">
      <w:pPr>
        <w:spacing w:after="60"/>
        <w:jc w:val="center"/>
      </w:pPr>
      <w:r>
        <w:rPr>
          <w:rFonts w:ascii="Calibri" w:hAnsi="Calibri" w:eastAsia="Calibri" w:cs="Calibri"/>
          <w:color w:val="595959"/>
          <w:sz w:val="20"/>
          <w:szCs w:val="20"/>
        </w:rPr>
        <w:t>Date: August 2026</w:t>
      </w:r>
    </w:p>
    <w:tbl>
      <w:tblPr>
        <w:tblStyle w:val="9"/>
        <w:tblpPr w:leftFromText="180" w:rightFromText="180" w:vertAnchor="text" w:horzAnchor="page" w:tblpX="4137" w:tblpY="579"/>
        <w:tblOverlap w:val="never"/>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49F0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shd w:val="clear" w:color="auto" w:fill="D9D9D9"/>
            <w:tcMar>
              <w:top w:w="60" w:type="dxa"/>
              <w:left w:w="80" w:type="dxa"/>
              <w:bottom w:w="60" w:type="dxa"/>
              <w:right w:w="80" w:type="dxa"/>
            </w:tcMar>
            <w:vAlign w:val="center"/>
          </w:tcPr>
          <w:p w14:paraId="3027ACF1">
            <w:r>
              <w:rPr>
                <w:rFonts w:ascii="Calibri" w:hAnsi="Calibri" w:eastAsia="Calibri" w:cs="Calibri"/>
                <w:b/>
                <w:bCs/>
                <w:color w:val="000000"/>
                <w:sz w:val="19"/>
                <w:szCs w:val="19"/>
              </w:rPr>
              <w:t>Field</w:t>
            </w:r>
          </w:p>
        </w:tc>
        <w:tc>
          <w:tcPr>
            <w:tcW w:w="6000" w:type="dxa"/>
            <w:shd w:val="clear" w:color="auto" w:fill="D9D9D9"/>
            <w:tcMar>
              <w:top w:w="60" w:type="dxa"/>
              <w:left w:w="80" w:type="dxa"/>
              <w:bottom w:w="60" w:type="dxa"/>
              <w:right w:w="80" w:type="dxa"/>
            </w:tcMar>
            <w:vAlign w:val="center"/>
          </w:tcPr>
          <w:p w14:paraId="16C7C50C">
            <w:r>
              <w:rPr>
                <w:rFonts w:ascii="Calibri" w:hAnsi="Calibri" w:eastAsia="Calibri" w:cs="Calibri"/>
                <w:b/>
                <w:bCs/>
                <w:color w:val="000000"/>
                <w:sz w:val="19"/>
                <w:szCs w:val="19"/>
              </w:rPr>
              <w:t>Details</w:t>
            </w:r>
          </w:p>
        </w:tc>
      </w:tr>
      <w:tr w14:paraId="2E7C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11E9D0C1">
            <w:r>
              <w:rPr>
                <w:rFonts w:ascii="Calibri" w:hAnsi="Calibri" w:eastAsia="Calibri" w:cs="Calibri"/>
                <w:color w:val="000000"/>
                <w:sz w:val="19"/>
                <w:szCs w:val="19"/>
              </w:rPr>
              <w:t>Document Title</w:t>
            </w:r>
          </w:p>
        </w:tc>
        <w:tc>
          <w:tcPr>
            <w:tcW w:w="6000" w:type="dxa"/>
            <w:tcMar>
              <w:top w:w="60" w:type="dxa"/>
              <w:left w:w="80" w:type="dxa"/>
              <w:bottom w:w="60" w:type="dxa"/>
              <w:right w:w="80" w:type="dxa"/>
            </w:tcMar>
            <w:vAlign w:val="center"/>
          </w:tcPr>
          <w:p w14:paraId="25602246">
            <w:r>
              <w:rPr>
                <w:rFonts w:ascii="Calibri" w:hAnsi="Calibri" w:eastAsia="Calibri" w:cs="Calibri"/>
                <w:color w:val="000000"/>
                <w:sz w:val="19"/>
                <w:szCs w:val="19"/>
              </w:rPr>
              <w:t>Statement of Applicability (SoA)</w:t>
            </w:r>
          </w:p>
        </w:tc>
      </w:tr>
      <w:tr w14:paraId="0BC2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2188DFD4">
            <w:r>
              <w:rPr>
                <w:rFonts w:ascii="Calibri" w:hAnsi="Calibri" w:eastAsia="Calibri" w:cs="Calibri"/>
                <w:color w:val="000000"/>
                <w:sz w:val="19"/>
                <w:szCs w:val="19"/>
              </w:rPr>
              <w:t>Organization</w:t>
            </w:r>
          </w:p>
        </w:tc>
        <w:tc>
          <w:tcPr>
            <w:tcW w:w="6000" w:type="dxa"/>
            <w:tcMar>
              <w:top w:w="60" w:type="dxa"/>
              <w:left w:w="80" w:type="dxa"/>
              <w:bottom w:w="60" w:type="dxa"/>
              <w:right w:w="80" w:type="dxa"/>
            </w:tcMar>
            <w:vAlign w:val="center"/>
          </w:tcPr>
          <w:p w14:paraId="4BFBDAC7">
            <w:r>
              <w:rPr>
                <w:rFonts w:ascii="Calibri" w:hAnsi="Calibri" w:eastAsia="Calibri" w:cs="Calibri"/>
                <w:color w:val="000000"/>
                <w:sz w:val="19"/>
                <w:szCs w:val="19"/>
              </w:rPr>
              <w:t>UnityTrust Bank</w:t>
            </w:r>
          </w:p>
        </w:tc>
      </w:tr>
      <w:tr w14:paraId="16B0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16948331">
            <w:r>
              <w:rPr>
                <w:rFonts w:ascii="Calibri" w:hAnsi="Calibri" w:eastAsia="Calibri" w:cs="Calibri"/>
                <w:color w:val="000000"/>
                <w:sz w:val="19"/>
                <w:szCs w:val="19"/>
              </w:rPr>
              <w:t>Prepared By</w:t>
            </w:r>
          </w:p>
        </w:tc>
        <w:tc>
          <w:tcPr>
            <w:tcW w:w="6000" w:type="dxa"/>
            <w:tcMar>
              <w:top w:w="60" w:type="dxa"/>
              <w:left w:w="80" w:type="dxa"/>
              <w:bottom w:w="60" w:type="dxa"/>
              <w:right w:w="80" w:type="dxa"/>
            </w:tcMar>
            <w:vAlign w:val="center"/>
          </w:tcPr>
          <w:p w14:paraId="0C1561C0">
            <w:r>
              <w:rPr>
                <w:rFonts w:ascii="Calibri" w:hAnsi="Calibri" w:eastAsia="Calibri" w:cs="Calibri"/>
                <w:b/>
                <w:bCs/>
                <w:color w:val="000000"/>
                <w:sz w:val="19"/>
                <w:szCs w:val="19"/>
              </w:rPr>
              <w:t>Shehzad Ahmad</w:t>
            </w:r>
          </w:p>
        </w:tc>
      </w:tr>
      <w:tr w14:paraId="4E60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6A2AD99F">
            <w:r>
              <w:rPr>
                <w:rFonts w:ascii="Calibri" w:hAnsi="Calibri" w:eastAsia="Calibri" w:cs="Calibri"/>
                <w:color w:val="000000"/>
                <w:sz w:val="19"/>
                <w:szCs w:val="19"/>
              </w:rPr>
              <w:t>Status</w:t>
            </w:r>
          </w:p>
        </w:tc>
        <w:tc>
          <w:tcPr>
            <w:tcW w:w="6000" w:type="dxa"/>
            <w:tcMar>
              <w:top w:w="60" w:type="dxa"/>
              <w:left w:w="80" w:type="dxa"/>
              <w:bottom w:w="60" w:type="dxa"/>
              <w:right w:w="80" w:type="dxa"/>
            </w:tcMar>
            <w:vAlign w:val="center"/>
          </w:tcPr>
          <w:p w14:paraId="1B0BE478">
            <w:r>
              <w:rPr>
                <w:rFonts w:ascii="Calibri" w:hAnsi="Calibri" w:eastAsia="Calibri" w:cs="Calibri"/>
                <w:i/>
                <w:iCs/>
                <w:color w:val="000000"/>
                <w:sz w:val="19"/>
                <w:szCs w:val="19"/>
              </w:rPr>
              <w:t>Draft for Review</w:t>
            </w:r>
          </w:p>
        </w:tc>
      </w:tr>
      <w:tr w14:paraId="6C08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80" w:type="dxa"/>
              <w:bottom w:w="60" w:type="dxa"/>
              <w:right w:w="80" w:type="dxa"/>
            </w:tcMar>
            <w:vAlign w:val="center"/>
          </w:tcPr>
          <w:p w14:paraId="68925856">
            <w:r>
              <w:rPr>
                <w:rFonts w:ascii="Calibri" w:hAnsi="Calibri" w:eastAsia="Calibri" w:cs="Calibri"/>
                <w:color w:val="000000"/>
                <w:sz w:val="19"/>
                <w:szCs w:val="19"/>
              </w:rPr>
              <w:t>Standard Reference</w:t>
            </w:r>
          </w:p>
        </w:tc>
        <w:tc>
          <w:tcPr>
            <w:tcW w:w="6000" w:type="dxa"/>
            <w:tcMar>
              <w:top w:w="60" w:type="dxa"/>
              <w:left w:w="80" w:type="dxa"/>
              <w:bottom w:w="60" w:type="dxa"/>
              <w:right w:w="80" w:type="dxa"/>
            </w:tcMar>
            <w:vAlign w:val="center"/>
          </w:tcPr>
          <w:p w14:paraId="12126C59">
            <w:r>
              <w:rPr>
                <w:rFonts w:ascii="Calibri" w:hAnsi="Calibri" w:eastAsia="Calibri" w:cs="Calibri"/>
                <w:color w:val="000000"/>
                <w:sz w:val="19"/>
                <w:szCs w:val="19"/>
              </w:rPr>
              <w:t>ISO/IEC 27001:2022, Annex A</w:t>
            </w:r>
          </w:p>
        </w:tc>
      </w:tr>
    </w:tbl>
    <w:p w14:paraId="389E64A6">
      <w:pPr>
        <w:spacing w:after="200"/>
      </w:pPr>
    </w:p>
    <w:p w14:paraId="105ECA69">
      <w:pPr>
        <w:pageBreakBefore/>
      </w:pPr>
    </w:p>
    <w:p w14:paraId="008BC2D0">
      <w:pPr>
        <w:pBdr>
          <w:bottom w:val="single" w:color="000000" w:sz="6" w:space="4"/>
        </w:pBdr>
        <w:spacing w:before="320" w:after="60"/>
      </w:pPr>
      <w:r>
        <w:rPr>
          <w:rFonts w:ascii="Times New Roman" w:hAnsi="Times New Roman" w:eastAsia="Times New Roman" w:cs="Times New Roman"/>
          <w:b/>
          <w:bCs/>
          <w:color w:val="000000"/>
          <w:sz w:val="26"/>
          <w:szCs w:val="26"/>
        </w:rPr>
        <w:t>1. Introduction and Purpose</w:t>
      </w:r>
    </w:p>
    <w:p w14:paraId="20FD352C">
      <w:pPr>
        <w:spacing w:after="160"/>
      </w:pPr>
      <w:r>
        <w:rPr>
          <w:rFonts w:ascii="Calibri" w:hAnsi="Calibri" w:eastAsia="Calibri" w:cs="Calibri"/>
          <w:color w:val="000000"/>
          <w:sz w:val="20"/>
          <w:szCs w:val="20"/>
        </w:rPr>
        <w:t>The Statement of Applicability (SoA) is a mandatory document under ISO/IEC 27001:2022, Clause 6.1.3(d). It records which of the 93 Annex A controls apply to UnityTrust Bank's Information Security Management System (ISMS), the justification for including each control, its current implementation status, and the reference document or plan governing it.</w:t>
      </w:r>
    </w:p>
    <w:p w14:paraId="7FF4DED6">
      <w:pPr>
        <w:spacing w:after="160"/>
      </w:pPr>
      <w:r>
        <w:rPr>
          <w:rFonts w:ascii="Calibri" w:hAnsi="Calibri" w:eastAsia="Calibri" w:cs="Calibri"/>
          <w:color w:val="000000"/>
          <w:sz w:val="20"/>
          <w:szCs w:val="20"/>
        </w:rPr>
        <w:t>This SoA was developed following the completion of the Gap Analysis and the Risk Treatment Plan. All 93 Annex A controls were assessed and determined to be applicable to UnityTrust Bank, given the bank's broad digital, physical, and third-party operating environment spanning core banking, digital channels, payments, cloud-hosted analytics, and open banking partnerships.</w:t>
      </w:r>
    </w:p>
    <w:p w14:paraId="663E9707">
      <w:pPr>
        <w:spacing w:after="160"/>
      </w:pPr>
      <w:r>
        <w:rPr>
          <w:rFonts w:ascii="Calibri" w:hAnsi="Calibri" w:eastAsia="Calibri" w:cs="Calibri"/>
          <w:color w:val="000000"/>
          <w:sz w:val="20"/>
          <w:szCs w:val="20"/>
        </w:rPr>
        <w:t>Of the 93 applicable controls, 92 are Partially Implemented and 1 are Not Implemented as of this assessment. Both categories are addressed through the mitigating controls defined in the Risk Treatment Plan, with target completion timelines assigned by risk priority.</w:t>
      </w:r>
    </w:p>
    <w:p w14:paraId="587C7B39">
      <w:pPr>
        <w:pBdr>
          <w:bottom w:val="single" w:color="000000" w:sz="6" w:space="4"/>
        </w:pBdr>
        <w:spacing w:before="320" w:after="60"/>
      </w:pPr>
      <w:r>
        <w:rPr>
          <w:rFonts w:ascii="Times New Roman" w:hAnsi="Times New Roman" w:eastAsia="Times New Roman" w:cs="Times New Roman"/>
          <w:b/>
          <w:bCs/>
          <w:color w:val="000000"/>
          <w:sz w:val="26"/>
          <w:szCs w:val="26"/>
        </w:rPr>
        <w:t>2. Methodology</w:t>
      </w:r>
    </w:p>
    <w:p w14:paraId="3B5EE2E4">
      <w:pPr>
        <w:spacing w:after="160"/>
      </w:pPr>
      <w:r>
        <w:rPr>
          <w:rFonts w:ascii="Calibri" w:hAnsi="Calibri" w:eastAsia="Calibri" w:cs="Calibri"/>
          <w:color w:val="000000"/>
          <w:sz w:val="20"/>
          <w:szCs w:val="20"/>
        </w:rPr>
        <w:t>Each of the 93 Annex A controls was evaluated against the following criteria to determine applicability:</w:t>
      </w:r>
    </w:p>
    <w:p w14:paraId="20DA813E">
      <w:pPr>
        <w:spacing w:after="80"/>
      </w:pPr>
      <w:r>
        <w:rPr>
          <w:rFonts w:ascii="Calibri" w:hAnsi="Calibri" w:eastAsia="Calibri" w:cs="Calibri"/>
          <w:color w:val="000000"/>
          <w:sz w:val="20"/>
          <w:szCs w:val="20"/>
        </w:rPr>
        <w:t>•  Whether the control addresses a risk identified in the Asset Identification &amp; Threat Register.</w:t>
      </w:r>
    </w:p>
    <w:p w14:paraId="58A12587">
      <w:pPr>
        <w:spacing w:after="80"/>
      </w:pPr>
      <w:r>
        <w:rPr>
          <w:rFonts w:ascii="Calibri" w:hAnsi="Calibri" w:eastAsia="Calibri" w:cs="Calibri"/>
          <w:color w:val="000000"/>
          <w:sz w:val="20"/>
          <w:szCs w:val="20"/>
        </w:rPr>
        <w:t>•  Whether the control is required to meet a legal, regulatory, or contractual obligation relevant to a commercial bank.</w:t>
      </w:r>
    </w:p>
    <w:p w14:paraId="6C272BE6">
      <w:pPr>
        <w:spacing w:after="80"/>
      </w:pPr>
      <w:r>
        <w:rPr>
          <w:rFonts w:ascii="Calibri" w:hAnsi="Calibri" w:eastAsia="Calibri" w:cs="Calibri"/>
          <w:color w:val="000000"/>
          <w:sz w:val="20"/>
          <w:szCs w:val="20"/>
        </w:rPr>
        <w:t>•  Whether the control supports UnityTrust Bank's business objectives, particularly digital adoption, fraud prevention, and regulatory compliance.</w:t>
      </w:r>
    </w:p>
    <w:p w14:paraId="64365D67">
      <w:pPr>
        <w:spacing w:after="160"/>
      </w:pPr>
      <w:r>
        <w:rPr>
          <w:rFonts w:ascii="Calibri" w:hAnsi="Calibri" w:eastAsia="Calibri" w:cs="Calibri"/>
          <w:color w:val="000000"/>
          <w:sz w:val="20"/>
          <w:szCs w:val="20"/>
        </w:rPr>
        <w:t>Controls determined to be applicable were then cross-referenced against the Gap Analysis to determine their current Implementation Status, and against the Risk Treatment Plan to identify the governing policy, procedure, or plan.</w:t>
      </w:r>
    </w:p>
    <w:p w14:paraId="4EDC671F">
      <w:pPr>
        <w:spacing w:before="200" w:after="100"/>
      </w:pPr>
      <w:r>
        <w:rPr>
          <w:rFonts w:ascii="Times New Roman" w:hAnsi="Times New Roman" w:eastAsia="Times New Roman" w:cs="Times New Roman"/>
          <w:b/>
          <w:bCs/>
          <w:color w:val="000000"/>
          <w:sz w:val="22"/>
          <w:szCs w:val="22"/>
        </w:rPr>
        <w:t>2.1 Applicability Summary</w:t>
      </w:r>
    </w:p>
    <w:p w14:paraId="5E035F1E">
      <w:pPr>
        <w:spacing w:after="200"/>
      </w:pPr>
      <w:r>
        <w:rPr>
          <w:rFonts w:ascii="Calibri" w:hAnsi="Calibri" w:eastAsia="Calibri" w:cs="Calibri"/>
          <w:b/>
          <w:bCs/>
          <w:color w:val="000000"/>
          <w:sz w:val="20"/>
          <w:szCs w:val="20"/>
        </w:rPr>
        <w:t xml:space="preserve">Total controls assessed: 93   |   </w:t>
      </w:r>
      <w:r>
        <w:rPr>
          <w:rFonts w:ascii="Calibri" w:hAnsi="Calibri" w:eastAsia="Calibri" w:cs="Calibri"/>
          <w:b/>
          <w:bCs/>
          <w:color w:val="375623"/>
          <w:sz w:val="20"/>
          <w:szCs w:val="20"/>
        </w:rPr>
        <w:t xml:space="preserve">Applicable: 93   |   </w:t>
      </w:r>
      <w:r>
        <w:rPr>
          <w:rFonts w:ascii="Calibri" w:hAnsi="Calibri" w:eastAsia="Calibri" w:cs="Calibri"/>
          <w:b/>
          <w:bCs/>
          <w:color w:val="000000"/>
          <w:sz w:val="20"/>
          <w:szCs w:val="20"/>
        </w:rPr>
        <w:t>Excluded: 0</w:t>
      </w:r>
    </w:p>
    <w:p w14:paraId="5C3DE015">
      <w:pPr>
        <w:spacing w:after="200"/>
      </w:pPr>
      <w:r>
        <w:rPr>
          <w:rFonts w:ascii="Calibri" w:hAnsi="Calibri" w:eastAsia="Calibri" w:cs="Calibri"/>
          <w:b/>
          <w:bCs/>
          <w:color w:val="9C6500"/>
          <w:sz w:val="20"/>
          <w:szCs w:val="20"/>
        </w:rPr>
        <w:t xml:space="preserve">Partially Implemented: 92   |   </w:t>
      </w:r>
      <w:r>
        <w:rPr>
          <w:rFonts w:ascii="Calibri" w:hAnsi="Calibri" w:eastAsia="Calibri" w:cs="Calibri"/>
          <w:b/>
          <w:bCs/>
          <w:color w:val="C00000"/>
          <w:sz w:val="20"/>
          <w:szCs w:val="20"/>
        </w:rPr>
        <w:t>Not Implemented: 1</w:t>
      </w:r>
    </w:p>
    <w:p w14:paraId="2593E6D2">
      <w:pPr>
        <w:pBdr>
          <w:bottom w:val="single" w:color="000000" w:sz="6" w:space="4"/>
        </w:pBdr>
        <w:spacing w:before="320" w:after="60"/>
      </w:pPr>
      <w:r>
        <w:rPr>
          <w:rFonts w:ascii="Times New Roman" w:hAnsi="Times New Roman" w:eastAsia="Times New Roman" w:cs="Times New Roman"/>
          <w:b/>
          <w:bCs/>
          <w:color w:val="000000"/>
          <w:sz w:val="26"/>
          <w:szCs w:val="26"/>
        </w:rPr>
        <w:t>3. Statement of Applicability</w:t>
      </w:r>
    </w:p>
    <w:p w14:paraId="2C115F31">
      <w:pPr>
        <w:spacing w:after="160"/>
      </w:pPr>
      <w:r>
        <w:rPr>
          <w:rFonts w:ascii="Calibri" w:hAnsi="Calibri" w:eastAsia="Calibri" w:cs="Calibri"/>
          <w:color w:val="000000"/>
          <w:sz w:val="20"/>
          <w:szCs w:val="20"/>
        </w:rPr>
        <w:t>The table below lists all 93 ISO/IEC 27001:2022 Annex A controls, organized by control theme, with their applicability, justification, implementation status, and governing reference.</w:t>
      </w:r>
    </w:p>
    <w:p w14:paraId="6B6A5731">
      <w:pPr>
        <w:spacing w:before="200" w:after="100"/>
        <w:jc w:val="center"/>
        <w:rPr>
          <w:rFonts w:ascii="Times New Roman" w:hAnsi="Times New Roman" w:eastAsia="Times New Roman" w:cs="Times New Roman"/>
          <w:b/>
          <w:bCs/>
          <w:color w:val="000000"/>
          <w:sz w:val="28"/>
          <w:szCs w:val="28"/>
        </w:rPr>
      </w:pPr>
    </w:p>
    <w:p w14:paraId="758DF0E7">
      <w:pPr>
        <w:spacing w:before="200" w:after="100"/>
        <w:jc w:val="center"/>
        <w:rPr>
          <w:rFonts w:ascii="Times New Roman" w:hAnsi="Times New Roman" w:eastAsia="Times New Roman" w:cs="Times New Roman"/>
          <w:b/>
          <w:bCs/>
          <w:color w:val="000000"/>
          <w:sz w:val="28"/>
          <w:szCs w:val="28"/>
        </w:rPr>
      </w:pPr>
    </w:p>
    <w:p w14:paraId="6FC69F40">
      <w:pPr>
        <w:spacing w:before="200" w:after="100"/>
        <w:jc w:val="center"/>
        <w:rPr>
          <w:rFonts w:ascii="Times New Roman" w:hAnsi="Times New Roman" w:eastAsia="Times New Roman" w:cs="Times New Roman"/>
          <w:b/>
          <w:bCs/>
          <w:color w:val="000000"/>
          <w:sz w:val="28"/>
          <w:szCs w:val="28"/>
        </w:rPr>
      </w:pPr>
    </w:p>
    <w:p w14:paraId="0DCF298A">
      <w:pPr>
        <w:spacing w:before="200" w:after="100"/>
        <w:jc w:val="center"/>
        <w:rPr>
          <w:sz w:val="24"/>
          <w:szCs w:val="28"/>
        </w:rPr>
      </w:pPr>
      <w:r>
        <w:rPr>
          <w:rFonts w:ascii="Times New Roman" w:hAnsi="Times New Roman" w:eastAsia="Times New Roman" w:cs="Times New Roman"/>
          <w:b/>
          <w:bCs/>
          <w:color w:val="000000"/>
          <w:sz w:val="28"/>
          <w:szCs w:val="28"/>
        </w:rPr>
        <w:t>3.1 A.5 - Organizational Controls (37 controls)</w:t>
      </w:r>
    </w:p>
    <w:tbl>
      <w:tblPr>
        <w:tblStyle w:val="9"/>
        <w:tblW w:w="14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2900"/>
        <w:gridCol w:w="1100"/>
        <w:gridCol w:w="4500"/>
        <w:gridCol w:w="1900"/>
        <w:gridCol w:w="3050"/>
      </w:tblGrid>
      <w:tr w14:paraId="7E4D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850" w:type="dxa"/>
            <w:shd w:val="clear" w:color="auto" w:fill="D9D9D9"/>
            <w:tcMar>
              <w:top w:w="60" w:type="dxa"/>
              <w:left w:w="80" w:type="dxa"/>
              <w:bottom w:w="60" w:type="dxa"/>
              <w:right w:w="80" w:type="dxa"/>
            </w:tcMar>
            <w:vAlign w:val="center"/>
          </w:tcPr>
          <w:p w14:paraId="185FD72F">
            <w:pPr>
              <w:jc w:val="both"/>
            </w:pPr>
            <w:r>
              <w:rPr>
                <w:rFonts w:ascii="Calibri" w:hAnsi="Calibri" w:eastAsia="Calibri" w:cs="Calibri"/>
                <w:b/>
                <w:bCs/>
                <w:color w:val="000000"/>
                <w:sz w:val="19"/>
                <w:szCs w:val="19"/>
              </w:rPr>
              <w:t>Ref</w:t>
            </w:r>
          </w:p>
        </w:tc>
        <w:tc>
          <w:tcPr>
            <w:tcW w:w="2900" w:type="dxa"/>
            <w:shd w:val="clear" w:color="auto" w:fill="D9D9D9"/>
            <w:tcMar>
              <w:top w:w="60" w:type="dxa"/>
              <w:left w:w="80" w:type="dxa"/>
              <w:bottom w:w="60" w:type="dxa"/>
              <w:right w:w="80" w:type="dxa"/>
            </w:tcMar>
            <w:vAlign w:val="center"/>
          </w:tcPr>
          <w:p w14:paraId="75B7655C">
            <w:pPr>
              <w:jc w:val="center"/>
            </w:pPr>
            <w:r>
              <w:rPr>
                <w:rFonts w:ascii="Calibri" w:hAnsi="Calibri" w:eastAsia="Calibri" w:cs="Calibri"/>
                <w:b/>
                <w:bCs/>
                <w:color w:val="000000"/>
                <w:sz w:val="19"/>
                <w:szCs w:val="19"/>
              </w:rPr>
              <w:t>Control</w:t>
            </w:r>
          </w:p>
        </w:tc>
        <w:tc>
          <w:tcPr>
            <w:tcW w:w="1100" w:type="dxa"/>
            <w:shd w:val="clear" w:color="auto" w:fill="D9D9D9"/>
            <w:tcMar>
              <w:top w:w="60" w:type="dxa"/>
              <w:left w:w="80" w:type="dxa"/>
              <w:bottom w:w="60" w:type="dxa"/>
              <w:right w:w="80" w:type="dxa"/>
            </w:tcMar>
            <w:vAlign w:val="center"/>
          </w:tcPr>
          <w:p w14:paraId="5A82D2BA">
            <w:pPr>
              <w:jc w:val="center"/>
            </w:pPr>
            <w:r>
              <w:rPr>
                <w:rFonts w:ascii="Calibri" w:hAnsi="Calibri" w:eastAsia="Calibri" w:cs="Calibri"/>
                <w:b/>
                <w:bCs/>
                <w:color w:val="000000"/>
                <w:sz w:val="19"/>
                <w:szCs w:val="19"/>
              </w:rPr>
              <w:t>Applicable</w:t>
            </w:r>
          </w:p>
        </w:tc>
        <w:tc>
          <w:tcPr>
            <w:tcW w:w="4500" w:type="dxa"/>
            <w:shd w:val="clear" w:color="auto" w:fill="D9D9D9"/>
            <w:tcMar>
              <w:top w:w="60" w:type="dxa"/>
              <w:left w:w="80" w:type="dxa"/>
              <w:bottom w:w="60" w:type="dxa"/>
              <w:right w:w="80" w:type="dxa"/>
            </w:tcMar>
            <w:vAlign w:val="center"/>
          </w:tcPr>
          <w:p w14:paraId="2D71F044">
            <w:pPr>
              <w:jc w:val="center"/>
            </w:pPr>
            <w:r>
              <w:rPr>
                <w:rFonts w:ascii="Calibri" w:hAnsi="Calibri" w:eastAsia="Calibri" w:cs="Calibri"/>
                <w:b/>
                <w:bCs/>
                <w:color w:val="000000"/>
                <w:sz w:val="19"/>
                <w:szCs w:val="19"/>
              </w:rPr>
              <w:t>Justification for Inclusion</w:t>
            </w:r>
          </w:p>
        </w:tc>
        <w:tc>
          <w:tcPr>
            <w:tcW w:w="1900" w:type="dxa"/>
            <w:shd w:val="clear" w:color="auto" w:fill="D9D9D9"/>
            <w:tcMar>
              <w:top w:w="60" w:type="dxa"/>
              <w:left w:w="80" w:type="dxa"/>
              <w:bottom w:w="60" w:type="dxa"/>
              <w:right w:w="80" w:type="dxa"/>
            </w:tcMar>
            <w:vAlign w:val="center"/>
          </w:tcPr>
          <w:p w14:paraId="130CE9A6">
            <w:pPr>
              <w:jc w:val="center"/>
            </w:pPr>
            <w:r>
              <w:rPr>
                <w:rFonts w:ascii="Calibri" w:hAnsi="Calibri" w:eastAsia="Calibri" w:cs="Calibri"/>
                <w:b/>
                <w:bCs/>
                <w:color w:val="000000"/>
                <w:sz w:val="19"/>
                <w:szCs w:val="19"/>
              </w:rPr>
              <w:t>Implementation Status</w:t>
            </w:r>
          </w:p>
        </w:tc>
        <w:tc>
          <w:tcPr>
            <w:tcW w:w="3050" w:type="dxa"/>
            <w:shd w:val="clear" w:color="auto" w:fill="D9D9D9"/>
            <w:tcMar>
              <w:top w:w="60" w:type="dxa"/>
              <w:left w:w="80" w:type="dxa"/>
              <w:bottom w:w="60" w:type="dxa"/>
              <w:right w:w="80" w:type="dxa"/>
            </w:tcMar>
            <w:vAlign w:val="center"/>
          </w:tcPr>
          <w:p w14:paraId="1F497047">
            <w:pPr>
              <w:jc w:val="center"/>
            </w:pPr>
            <w:r>
              <w:rPr>
                <w:rFonts w:ascii="Calibri" w:hAnsi="Calibri" w:eastAsia="Calibri" w:cs="Calibri"/>
                <w:b/>
                <w:bCs/>
                <w:color w:val="000000"/>
                <w:sz w:val="19"/>
                <w:szCs w:val="19"/>
              </w:rPr>
              <w:t>Reference</w:t>
            </w:r>
          </w:p>
        </w:tc>
      </w:tr>
      <w:tr w14:paraId="7E50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3340FA2">
            <w:pPr>
              <w:jc w:val="center"/>
            </w:pPr>
            <w:r>
              <w:rPr>
                <w:rFonts w:ascii="Calibri" w:hAnsi="Calibri" w:eastAsia="Calibri" w:cs="Calibri"/>
                <w:color w:val="000000"/>
                <w:sz w:val="19"/>
                <w:szCs w:val="19"/>
              </w:rPr>
              <w:t>5.1</w:t>
            </w:r>
          </w:p>
        </w:tc>
        <w:tc>
          <w:tcPr>
            <w:tcW w:w="2900" w:type="dxa"/>
            <w:tcMar>
              <w:top w:w="60" w:type="dxa"/>
              <w:left w:w="80" w:type="dxa"/>
              <w:bottom w:w="60" w:type="dxa"/>
              <w:right w:w="80" w:type="dxa"/>
            </w:tcMar>
            <w:vAlign w:val="center"/>
          </w:tcPr>
          <w:p w14:paraId="5AE19301">
            <w:pPr>
              <w:jc w:val="center"/>
            </w:pPr>
            <w:r>
              <w:rPr>
                <w:rFonts w:ascii="Calibri" w:hAnsi="Calibri" w:eastAsia="Calibri" w:cs="Calibri"/>
                <w:color w:val="000000"/>
                <w:sz w:val="19"/>
                <w:szCs w:val="19"/>
              </w:rPr>
              <w:t>Policies for information security</w:t>
            </w:r>
          </w:p>
        </w:tc>
        <w:tc>
          <w:tcPr>
            <w:tcW w:w="1100" w:type="dxa"/>
            <w:tcMar>
              <w:top w:w="60" w:type="dxa"/>
              <w:left w:w="80" w:type="dxa"/>
              <w:bottom w:w="60" w:type="dxa"/>
              <w:right w:w="80" w:type="dxa"/>
            </w:tcMar>
            <w:vAlign w:val="center"/>
          </w:tcPr>
          <w:p w14:paraId="5F0B3763">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AD763BB">
            <w:pPr>
              <w:jc w:val="center"/>
            </w:pPr>
            <w:r>
              <w:rPr>
                <w:rFonts w:ascii="Calibri" w:hAnsi="Calibri" w:eastAsia="Calibri" w:cs="Calibri"/>
                <w:color w:val="000000"/>
                <w:sz w:val="19"/>
                <w:szCs w:val="19"/>
              </w:rPr>
              <w:t>Applicable — addresses an organizational/governance gap identified during risk assessment: no formal annual policy review cycle in place.</w:t>
            </w:r>
          </w:p>
        </w:tc>
        <w:tc>
          <w:tcPr>
            <w:tcW w:w="1900" w:type="dxa"/>
            <w:tcMar>
              <w:top w:w="60" w:type="dxa"/>
              <w:left w:w="80" w:type="dxa"/>
              <w:bottom w:w="60" w:type="dxa"/>
              <w:right w:w="80" w:type="dxa"/>
            </w:tcMar>
            <w:vAlign w:val="center"/>
          </w:tcPr>
          <w:p w14:paraId="38C46EE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D8E1A33">
            <w:pPr>
              <w:jc w:val="center"/>
            </w:pPr>
            <w:r>
              <w:rPr>
                <w:rFonts w:ascii="Calibri" w:hAnsi="Calibri" w:eastAsia="Calibri" w:cs="Calibri"/>
                <w:color w:val="000000"/>
                <w:sz w:val="19"/>
                <w:szCs w:val="19"/>
              </w:rPr>
              <w:t>Information Security Policy / ISMS Governance</w:t>
            </w:r>
          </w:p>
        </w:tc>
      </w:tr>
      <w:tr w14:paraId="1152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CB0820F">
            <w:pPr>
              <w:jc w:val="center"/>
            </w:pPr>
            <w:r>
              <w:rPr>
                <w:rFonts w:ascii="Calibri" w:hAnsi="Calibri" w:eastAsia="Calibri" w:cs="Calibri"/>
                <w:color w:val="000000"/>
                <w:sz w:val="19"/>
                <w:szCs w:val="19"/>
              </w:rPr>
              <w:t>5.2</w:t>
            </w:r>
          </w:p>
        </w:tc>
        <w:tc>
          <w:tcPr>
            <w:tcW w:w="2900" w:type="dxa"/>
            <w:tcMar>
              <w:top w:w="60" w:type="dxa"/>
              <w:left w:w="80" w:type="dxa"/>
              <w:bottom w:w="60" w:type="dxa"/>
              <w:right w:w="80" w:type="dxa"/>
            </w:tcMar>
            <w:vAlign w:val="center"/>
          </w:tcPr>
          <w:p w14:paraId="685920AE">
            <w:pPr>
              <w:jc w:val="center"/>
            </w:pPr>
            <w:r>
              <w:rPr>
                <w:rFonts w:ascii="Calibri" w:hAnsi="Calibri" w:eastAsia="Calibri" w:cs="Calibri"/>
                <w:color w:val="000000"/>
                <w:sz w:val="19"/>
                <w:szCs w:val="19"/>
              </w:rPr>
              <w:t>Information security roles and responsibilities</w:t>
            </w:r>
          </w:p>
        </w:tc>
        <w:tc>
          <w:tcPr>
            <w:tcW w:w="1100" w:type="dxa"/>
            <w:tcMar>
              <w:top w:w="60" w:type="dxa"/>
              <w:left w:w="80" w:type="dxa"/>
              <w:bottom w:w="60" w:type="dxa"/>
              <w:right w:w="80" w:type="dxa"/>
            </w:tcMar>
            <w:vAlign w:val="center"/>
          </w:tcPr>
          <w:p w14:paraId="67C5035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7AF3813">
            <w:pPr>
              <w:jc w:val="center"/>
            </w:pPr>
            <w:r>
              <w:rPr>
                <w:rFonts w:ascii="Calibri" w:hAnsi="Calibri" w:eastAsia="Calibri" w:cs="Calibri"/>
                <w:color w:val="000000"/>
                <w:sz w:val="19"/>
                <w:szCs w:val="19"/>
              </w:rPr>
              <w:t>Applicable — addresses an organizational/governance gap identified during risk assessment: no documented RACI matrix for security roles.</w:t>
            </w:r>
          </w:p>
        </w:tc>
        <w:tc>
          <w:tcPr>
            <w:tcW w:w="1900" w:type="dxa"/>
            <w:tcMar>
              <w:top w:w="60" w:type="dxa"/>
              <w:left w:w="80" w:type="dxa"/>
              <w:bottom w:w="60" w:type="dxa"/>
              <w:right w:w="80" w:type="dxa"/>
            </w:tcMar>
            <w:vAlign w:val="center"/>
          </w:tcPr>
          <w:p w14:paraId="5396E3AE">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5CC6B28">
            <w:pPr>
              <w:jc w:val="center"/>
            </w:pPr>
            <w:r>
              <w:rPr>
                <w:rFonts w:ascii="Calibri" w:hAnsi="Calibri" w:eastAsia="Calibri" w:cs="Calibri"/>
                <w:color w:val="000000"/>
                <w:sz w:val="19"/>
                <w:szCs w:val="19"/>
              </w:rPr>
              <w:t>Information Security Policy / ISMS Governance</w:t>
            </w:r>
          </w:p>
        </w:tc>
      </w:tr>
      <w:tr w14:paraId="0B367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2C8B374">
            <w:pPr>
              <w:jc w:val="center"/>
            </w:pPr>
            <w:r>
              <w:rPr>
                <w:rFonts w:ascii="Calibri" w:hAnsi="Calibri" w:eastAsia="Calibri" w:cs="Calibri"/>
                <w:color w:val="000000"/>
                <w:sz w:val="19"/>
                <w:szCs w:val="19"/>
              </w:rPr>
              <w:t>5.3</w:t>
            </w:r>
          </w:p>
        </w:tc>
        <w:tc>
          <w:tcPr>
            <w:tcW w:w="2900" w:type="dxa"/>
            <w:tcMar>
              <w:top w:w="60" w:type="dxa"/>
              <w:left w:w="80" w:type="dxa"/>
              <w:bottom w:w="60" w:type="dxa"/>
              <w:right w:w="80" w:type="dxa"/>
            </w:tcMar>
            <w:vAlign w:val="center"/>
          </w:tcPr>
          <w:p w14:paraId="0660DC30">
            <w:pPr>
              <w:jc w:val="center"/>
            </w:pPr>
            <w:r>
              <w:rPr>
                <w:rFonts w:ascii="Calibri" w:hAnsi="Calibri" w:eastAsia="Calibri" w:cs="Calibri"/>
                <w:color w:val="000000"/>
                <w:sz w:val="19"/>
                <w:szCs w:val="19"/>
              </w:rPr>
              <w:t>Segregation of duties</w:t>
            </w:r>
          </w:p>
        </w:tc>
        <w:tc>
          <w:tcPr>
            <w:tcW w:w="1100" w:type="dxa"/>
            <w:tcMar>
              <w:top w:w="60" w:type="dxa"/>
              <w:left w:w="80" w:type="dxa"/>
              <w:bottom w:w="60" w:type="dxa"/>
              <w:right w:w="80" w:type="dxa"/>
            </w:tcMar>
            <w:vAlign w:val="center"/>
          </w:tcPr>
          <w:p w14:paraId="1C20828C">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CBF80F4">
            <w:pPr>
              <w:jc w:val="center"/>
            </w:pPr>
            <w:r>
              <w:rPr>
                <w:rFonts w:ascii="Calibri" w:hAnsi="Calibri" w:eastAsia="Calibri" w:cs="Calibri"/>
                <w:color w:val="000000"/>
                <w:sz w:val="19"/>
                <w:szCs w:val="19"/>
              </w:rPr>
              <w:t>Applicable — addresses an organizational/governance gap identified during risk assessment: not extended to system change management.</w:t>
            </w:r>
          </w:p>
        </w:tc>
        <w:tc>
          <w:tcPr>
            <w:tcW w:w="1900" w:type="dxa"/>
            <w:tcMar>
              <w:top w:w="60" w:type="dxa"/>
              <w:left w:w="80" w:type="dxa"/>
              <w:bottom w:w="60" w:type="dxa"/>
              <w:right w:w="80" w:type="dxa"/>
            </w:tcMar>
            <w:vAlign w:val="center"/>
          </w:tcPr>
          <w:p w14:paraId="609DB9C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97D5BBC">
            <w:pPr>
              <w:jc w:val="center"/>
            </w:pPr>
            <w:r>
              <w:rPr>
                <w:rFonts w:ascii="Calibri" w:hAnsi="Calibri" w:eastAsia="Calibri" w:cs="Calibri"/>
                <w:color w:val="000000"/>
                <w:sz w:val="19"/>
                <w:szCs w:val="19"/>
              </w:rPr>
              <w:t>Information Security Policy / ISMS Governance</w:t>
            </w:r>
          </w:p>
        </w:tc>
      </w:tr>
      <w:tr w14:paraId="5D16E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AD21412">
            <w:pPr>
              <w:jc w:val="center"/>
            </w:pPr>
            <w:r>
              <w:rPr>
                <w:rFonts w:ascii="Calibri" w:hAnsi="Calibri" w:eastAsia="Calibri" w:cs="Calibri"/>
                <w:color w:val="000000"/>
                <w:sz w:val="19"/>
                <w:szCs w:val="19"/>
              </w:rPr>
              <w:t>5.4</w:t>
            </w:r>
          </w:p>
        </w:tc>
        <w:tc>
          <w:tcPr>
            <w:tcW w:w="2900" w:type="dxa"/>
            <w:tcMar>
              <w:top w:w="60" w:type="dxa"/>
              <w:left w:w="80" w:type="dxa"/>
              <w:bottom w:w="60" w:type="dxa"/>
              <w:right w:w="80" w:type="dxa"/>
            </w:tcMar>
            <w:vAlign w:val="center"/>
          </w:tcPr>
          <w:p w14:paraId="4B47D357">
            <w:pPr>
              <w:jc w:val="center"/>
            </w:pPr>
            <w:r>
              <w:rPr>
                <w:rFonts w:ascii="Calibri" w:hAnsi="Calibri" w:eastAsia="Calibri" w:cs="Calibri"/>
                <w:color w:val="000000"/>
                <w:sz w:val="19"/>
                <w:szCs w:val="19"/>
              </w:rPr>
              <w:t>Management responsibilities</w:t>
            </w:r>
          </w:p>
        </w:tc>
        <w:tc>
          <w:tcPr>
            <w:tcW w:w="1100" w:type="dxa"/>
            <w:tcMar>
              <w:top w:w="60" w:type="dxa"/>
              <w:left w:w="80" w:type="dxa"/>
              <w:bottom w:w="60" w:type="dxa"/>
              <w:right w:w="80" w:type="dxa"/>
            </w:tcMar>
            <w:vAlign w:val="center"/>
          </w:tcPr>
          <w:p w14:paraId="0B9C3D93">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EC10BD3">
            <w:pPr>
              <w:jc w:val="center"/>
            </w:pPr>
            <w:r>
              <w:rPr>
                <w:rFonts w:ascii="Calibri" w:hAnsi="Calibri" w:eastAsia="Calibri" w:cs="Calibri"/>
                <w:color w:val="000000"/>
                <w:sz w:val="19"/>
                <w:szCs w:val="19"/>
              </w:rPr>
              <w:t>Applicable — addresses an organizational/governance gap identified during risk assessment: not documented in job descriptions or contracts.</w:t>
            </w:r>
          </w:p>
        </w:tc>
        <w:tc>
          <w:tcPr>
            <w:tcW w:w="1900" w:type="dxa"/>
            <w:tcMar>
              <w:top w:w="60" w:type="dxa"/>
              <w:left w:w="80" w:type="dxa"/>
              <w:bottom w:w="60" w:type="dxa"/>
              <w:right w:w="80" w:type="dxa"/>
            </w:tcMar>
            <w:vAlign w:val="center"/>
          </w:tcPr>
          <w:p w14:paraId="7CCFF247">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A4A5226">
            <w:pPr>
              <w:jc w:val="center"/>
            </w:pPr>
            <w:r>
              <w:rPr>
                <w:rFonts w:ascii="Calibri" w:hAnsi="Calibri" w:eastAsia="Calibri" w:cs="Calibri"/>
                <w:color w:val="000000"/>
                <w:sz w:val="19"/>
                <w:szCs w:val="19"/>
              </w:rPr>
              <w:t>Information Security Policy / ISMS Governance</w:t>
            </w:r>
          </w:p>
        </w:tc>
      </w:tr>
      <w:tr w14:paraId="39BF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460E984">
            <w:pPr>
              <w:jc w:val="center"/>
            </w:pPr>
            <w:r>
              <w:rPr>
                <w:rFonts w:ascii="Calibri" w:hAnsi="Calibri" w:eastAsia="Calibri" w:cs="Calibri"/>
                <w:color w:val="000000"/>
                <w:sz w:val="19"/>
                <w:szCs w:val="19"/>
              </w:rPr>
              <w:t>5.5</w:t>
            </w:r>
          </w:p>
        </w:tc>
        <w:tc>
          <w:tcPr>
            <w:tcW w:w="2900" w:type="dxa"/>
            <w:tcMar>
              <w:top w:w="60" w:type="dxa"/>
              <w:left w:w="80" w:type="dxa"/>
              <w:bottom w:w="60" w:type="dxa"/>
              <w:right w:w="80" w:type="dxa"/>
            </w:tcMar>
            <w:vAlign w:val="center"/>
          </w:tcPr>
          <w:p w14:paraId="63055E05">
            <w:pPr>
              <w:jc w:val="center"/>
            </w:pPr>
            <w:r>
              <w:rPr>
                <w:rFonts w:ascii="Calibri" w:hAnsi="Calibri" w:eastAsia="Calibri" w:cs="Calibri"/>
                <w:color w:val="000000"/>
                <w:sz w:val="19"/>
                <w:szCs w:val="19"/>
              </w:rPr>
              <w:t>Contact with authorities</w:t>
            </w:r>
          </w:p>
        </w:tc>
        <w:tc>
          <w:tcPr>
            <w:tcW w:w="1100" w:type="dxa"/>
            <w:tcMar>
              <w:top w:w="60" w:type="dxa"/>
              <w:left w:w="80" w:type="dxa"/>
              <w:bottom w:w="60" w:type="dxa"/>
              <w:right w:w="80" w:type="dxa"/>
            </w:tcMar>
            <w:vAlign w:val="center"/>
          </w:tcPr>
          <w:p w14:paraId="6FBE32B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91CA3AA">
            <w:pPr>
              <w:jc w:val="center"/>
            </w:pPr>
            <w:r>
              <w:rPr>
                <w:rFonts w:ascii="Calibri" w:hAnsi="Calibri" w:eastAsia="Calibri" w:cs="Calibri"/>
                <w:color w:val="000000"/>
                <w:sz w:val="19"/>
                <w:szCs w:val="19"/>
              </w:rPr>
              <w:t>Applicable — addresses an organizational/governance gap identified during risk assessment: no formal escalation contact list maintained.</w:t>
            </w:r>
          </w:p>
        </w:tc>
        <w:tc>
          <w:tcPr>
            <w:tcW w:w="1900" w:type="dxa"/>
            <w:tcMar>
              <w:top w:w="60" w:type="dxa"/>
              <w:left w:w="80" w:type="dxa"/>
              <w:bottom w:w="60" w:type="dxa"/>
              <w:right w:w="80" w:type="dxa"/>
            </w:tcMar>
            <w:vAlign w:val="center"/>
          </w:tcPr>
          <w:p w14:paraId="544805F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373DE58">
            <w:pPr>
              <w:jc w:val="center"/>
            </w:pPr>
            <w:r>
              <w:rPr>
                <w:rFonts w:ascii="Calibri" w:hAnsi="Calibri" w:eastAsia="Calibri" w:cs="Calibri"/>
                <w:color w:val="000000"/>
                <w:sz w:val="19"/>
                <w:szCs w:val="19"/>
              </w:rPr>
              <w:t>Information Security Policy / ISMS Governance</w:t>
            </w:r>
          </w:p>
        </w:tc>
      </w:tr>
      <w:tr w14:paraId="73B5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3EE7BC8">
            <w:pPr>
              <w:jc w:val="center"/>
            </w:pPr>
            <w:r>
              <w:rPr>
                <w:rFonts w:ascii="Calibri" w:hAnsi="Calibri" w:eastAsia="Calibri" w:cs="Calibri"/>
                <w:color w:val="000000"/>
                <w:sz w:val="19"/>
                <w:szCs w:val="19"/>
              </w:rPr>
              <w:t>5.6</w:t>
            </w:r>
          </w:p>
        </w:tc>
        <w:tc>
          <w:tcPr>
            <w:tcW w:w="2900" w:type="dxa"/>
            <w:tcMar>
              <w:top w:w="60" w:type="dxa"/>
              <w:left w:w="80" w:type="dxa"/>
              <w:bottom w:w="60" w:type="dxa"/>
              <w:right w:w="80" w:type="dxa"/>
            </w:tcMar>
            <w:vAlign w:val="center"/>
          </w:tcPr>
          <w:p w14:paraId="23B5796B">
            <w:pPr>
              <w:jc w:val="center"/>
            </w:pPr>
            <w:r>
              <w:rPr>
                <w:rFonts w:ascii="Calibri" w:hAnsi="Calibri" w:eastAsia="Calibri" w:cs="Calibri"/>
                <w:color w:val="000000"/>
                <w:sz w:val="19"/>
                <w:szCs w:val="19"/>
              </w:rPr>
              <w:t>Contact with special interest groups</w:t>
            </w:r>
          </w:p>
        </w:tc>
        <w:tc>
          <w:tcPr>
            <w:tcW w:w="1100" w:type="dxa"/>
            <w:tcMar>
              <w:top w:w="60" w:type="dxa"/>
              <w:left w:w="80" w:type="dxa"/>
              <w:bottom w:w="60" w:type="dxa"/>
              <w:right w:w="80" w:type="dxa"/>
            </w:tcMar>
            <w:vAlign w:val="center"/>
          </w:tcPr>
          <w:p w14:paraId="13BE808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34EF8AA">
            <w:pPr>
              <w:jc w:val="center"/>
            </w:pPr>
            <w:r>
              <w:rPr>
                <w:rFonts w:ascii="Calibri" w:hAnsi="Calibri" w:eastAsia="Calibri" w:cs="Calibri"/>
                <w:color w:val="000000"/>
                <w:sz w:val="19"/>
                <w:szCs w:val="19"/>
              </w:rPr>
              <w:t>Applicable — addresses an organizational/governance gap identified during risk assessment: not part of any banking sector ISAC or forum.</w:t>
            </w:r>
          </w:p>
        </w:tc>
        <w:tc>
          <w:tcPr>
            <w:tcW w:w="1900" w:type="dxa"/>
            <w:tcMar>
              <w:top w:w="60" w:type="dxa"/>
              <w:left w:w="80" w:type="dxa"/>
              <w:bottom w:w="60" w:type="dxa"/>
              <w:right w:w="80" w:type="dxa"/>
            </w:tcMar>
            <w:vAlign w:val="center"/>
          </w:tcPr>
          <w:p w14:paraId="5DF8DA1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C3BF45B">
            <w:pPr>
              <w:jc w:val="center"/>
            </w:pPr>
            <w:r>
              <w:rPr>
                <w:rFonts w:ascii="Calibri" w:hAnsi="Calibri" w:eastAsia="Calibri" w:cs="Calibri"/>
                <w:color w:val="000000"/>
                <w:sz w:val="19"/>
                <w:szCs w:val="19"/>
              </w:rPr>
              <w:t>Information Security Policy / ISMS Governance</w:t>
            </w:r>
          </w:p>
        </w:tc>
      </w:tr>
      <w:tr w14:paraId="130C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DFEF66D">
            <w:pPr>
              <w:jc w:val="center"/>
            </w:pPr>
            <w:r>
              <w:rPr>
                <w:rFonts w:ascii="Calibri" w:hAnsi="Calibri" w:eastAsia="Calibri" w:cs="Calibri"/>
                <w:color w:val="000000"/>
                <w:sz w:val="19"/>
                <w:szCs w:val="19"/>
              </w:rPr>
              <w:t>5.7</w:t>
            </w:r>
          </w:p>
        </w:tc>
        <w:tc>
          <w:tcPr>
            <w:tcW w:w="2900" w:type="dxa"/>
            <w:tcMar>
              <w:top w:w="60" w:type="dxa"/>
              <w:left w:w="80" w:type="dxa"/>
              <w:bottom w:w="60" w:type="dxa"/>
              <w:right w:w="80" w:type="dxa"/>
            </w:tcMar>
            <w:vAlign w:val="center"/>
          </w:tcPr>
          <w:p w14:paraId="5A9874F0">
            <w:pPr>
              <w:jc w:val="center"/>
            </w:pPr>
            <w:r>
              <w:rPr>
                <w:rFonts w:ascii="Calibri" w:hAnsi="Calibri" w:eastAsia="Calibri" w:cs="Calibri"/>
                <w:color w:val="000000"/>
                <w:sz w:val="19"/>
                <w:szCs w:val="19"/>
              </w:rPr>
              <w:t>Threat intelligence</w:t>
            </w:r>
          </w:p>
        </w:tc>
        <w:tc>
          <w:tcPr>
            <w:tcW w:w="1100" w:type="dxa"/>
            <w:tcMar>
              <w:top w:w="60" w:type="dxa"/>
              <w:left w:w="80" w:type="dxa"/>
              <w:bottom w:w="60" w:type="dxa"/>
              <w:right w:w="80" w:type="dxa"/>
            </w:tcMar>
            <w:vAlign w:val="center"/>
          </w:tcPr>
          <w:p w14:paraId="4C24CBD7">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89E9724">
            <w:pPr>
              <w:jc w:val="center"/>
            </w:pPr>
            <w:r>
              <w:rPr>
                <w:rFonts w:ascii="Calibri" w:hAnsi="Calibri" w:eastAsia="Calibri" w:cs="Calibri"/>
                <w:color w:val="000000"/>
                <w:sz w:val="19"/>
                <w:szCs w:val="19"/>
              </w:rPr>
              <w:t>Applicable — addresses an organizational/governance gap identified during risk assessment: no formal threat intelligence process defined.</w:t>
            </w:r>
          </w:p>
        </w:tc>
        <w:tc>
          <w:tcPr>
            <w:tcW w:w="1900" w:type="dxa"/>
            <w:tcMar>
              <w:top w:w="60" w:type="dxa"/>
              <w:left w:w="80" w:type="dxa"/>
              <w:bottom w:w="60" w:type="dxa"/>
              <w:right w:w="80" w:type="dxa"/>
            </w:tcMar>
            <w:vAlign w:val="center"/>
          </w:tcPr>
          <w:p w14:paraId="25B947F9">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A66CB6B">
            <w:pPr>
              <w:jc w:val="center"/>
            </w:pPr>
            <w:r>
              <w:rPr>
                <w:rFonts w:ascii="Calibri" w:hAnsi="Calibri" w:eastAsia="Calibri" w:cs="Calibri"/>
                <w:color w:val="000000"/>
                <w:sz w:val="19"/>
                <w:szCs w:val="19"/>
              </w:rPr>
              <w:t>Information Security Policy / ISMS Governance</w:t>
            </w:r>
          </w:p>
        </w:tc>
      </w:tr>
      <w:tr w14:paraId="756B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39115C4F">
            <w:pPr>
              <w:jc w:val="center"/>
            </w:pPr>
            <w:r>
              <w:rPr>
                <w:rFonts w:ascii="Calibri" w:hAnsi="Calibri" w:eastAsia="Calibri" w:cs="Calibri"/>
                <w:color w:val="000000"/>
                <w:sz w:val="19"/>
                <w:szCs w:val="19"/>
              </w:rPr>
              <w:t>5.8</w:t>
            </w:r>
          </w:p>
        </w:tc>
        <w:tc>
          <w:tcPr>
            <w:tcW w:w="2900" w:type="dxa"/>
            <w:tcMar>
              <w:top w:w="60" w:type="dxa"/>
              <w:left w:w="80" w:type="dxa"/>
              <w:bottom w:w="60" w:type="dxa"/>
              <w:right w:w="80" w:type="dxa"/>
            </w:tcMar>
            <w:vAlign w:val="center"/>
          </w:tcPr>
          <w:p w14:paraId="08A8CD5E">
            <w:pPr>
              <w:jc w:val="center"/>
            </w:pPr>
            <w:r>
              <w:rPr>
                <w:rFonts w:ascii="Calibri" w:hAnsi="Calibri" w:eastAsia="Calibri" w:cs="Calibri"/>
                <w:color w:val="000000"/>
                <w:sz w:val="19"/>
                <w:szCs w:val="19"/>
              </w:rPr>
              <w:t>Information security in project management</w:t>
            </w:r>
          </w:p>
        </w:tc>
        <w:tc>
          <w:tcPr>
            <w:tcW w:w="1100" w:type="dxa"/>
            <w:tcMar>
              <w:top w:w="60" w:type="dxa"/>
              <w:left w:w="80" w:type="dxa"/>
              <w:bottom w:w="60" w:type="dxa"/>
              <w:right w:w="80" w:type="dxa"/>
            </w:tcMar>
            <w:vAlign w:val="center"/>
          </w:tcPr>
          <w:p w14:paraId="580105F7">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3076833">
            <w:pPr>
              <w:jc w:val="center"/>
            </w:pPr>
            <w:r>
              <w:rPr>
                <w:rFonts w:ascii="Calibri" w:hAnsi="Calibri" w:eastAsia="Calibri" w:cs="Calibri"/>
                <w:color w:val="000000"/>
                <w:sz w:val="19"/>
                <w:szCs w:val="19"/>
              </w:rPr>
              <w:t>Applicable — addresses an organizational/governance gap identified during risk assessment: no mandatory security gate at design phase.</w:t>
            </w:r>
          </w:p>
        </w:tc>
        <w:tc>
          <w:tcPr>
            <w:tcW w:w="1900" w:type="dxa"/>
            <w:tcMar>
              <w:top w:w="60" w:type="dxa"/>
              <w:left w:w="80" w:type="dxa"/>
              <w:bottom w:w="60" w:type="dxa"/>
              <w:right w:w="80" w:type="dxa"/>
            </w:tcMar>
            <w:vAlign w:val="center"/>
          </w:tcPr>
          <w:p w14:paraId="3074015C">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64FB428">
            <w:pPr>
              <w:jc w:val="center"/>
            </w:pPr>
            <w:r>
              <w:rPr>
                <w:rFonts w:ascii="Calibri" w:hAnsi="Calibri" w:eastAsia="Calibri" w:cs="Calibri"/>
                <w:color w:val="000000"/>
                <w:sz w:val="19"/>
                <w:szCs w:val="19"/>
              </w:rPr>
              <w:t>Information Security Policy / ISMS Governance</w:t>
            </w:r>
          </w:p>
        </w:tc>
      </w:tr>
      <w:tr w14:paraId="39D81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DA00B18">
            <w:pPr>
              <w:jc w:val="center"/>
            </w:pPr>
            <w:r>
              <w:rPr>
                <w:rFonts w:ascii="Calibri" w:hAnsi="Calibri" w:eastAsia="Calibri" w:cs="Calibri"/>
                <w:color w:val="000000"/>
                <w:sz w:val="19"/>
                <w:szCs w:val="19"/>
              </w:rPr>
              <w:t>5.9</w:t>
            </w:r>
          </w:p>
        </w:tc>
        <w:tc>
          <w:tcPr>
            <w:tcW w:w="2900" w:type="dxa"/>
            <w:tcMar>
              <w:top w:w="60" w:type="dxa"/>
              <w:left w:w="80" w:type="dxa"/>
              <w:bottom w:w="60" w:type="dxa"/>
              <w:right w:w="80" w:type="dxa"/>
            </w:tcMar>
            <w:vAlign w:val="center"/>
          </w:tcPr>
          <w:p w14:paraId="781B3A7A">
            <w:pPr>
              <w:jc w:val="center"/>
            </w:pPr>
            <w:r>
              <w:rPr>
                <w:rFonts w:ascii="Calibri" w:hAnsi="Calibri" w:eastAsia="Calibri" w:cs="Calibri"/>
                <w:color w:val="000000"/>
                <w:sz w:val="19"/>
                <w:szCs w:val="19"/>
              </w:rPr>
              <w:t>Inventory of information and other associated assets</w:t>
            </w:r>
          </w:p>
        </w:tc>
        <w:tc>
          <w:tcPr>
            <w:tcW w:w="1100" w:type="dxa"/>
            <w:tcMar>
              <w:top w:w="60" w:type="dxa"/>
              <w:left w:w="80" w:type="dxa"/>
              <w:bottom w:w="60" w:type="dxa"/>
              <w:right w:w="80" w:type="dxa"/>
            </w:tcMar>
            <w:vAlign w:val="center"/>
          </w:tcPr>
          <w:p w14:paraId="2C5E8540">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644D09B">
            <w:pPr>
              <w:jc w:val="center"/>
            </w:pPr>
            <w:r>
              <w:rPr>
                <w:rFonts w:ascii="Calibri" w:hAnsi="Calibri" w:eastAsia="Calibri" w:cs="Calibri"/>
                <w:color w:val="000000"/>
                <w:sz w:val="19"/>
                <w:szCs w:val="19"/>
              </w:rPr>
              <w:t>Applicable — addresses an organizational/governance gap identified during risk assessment: no centralized, automated asset register (CMDB).</w:t>
            </w:r>
          </w:p>
        </w:tc>
        <w:tc>
          <w:tcPr>
            <w:tcW w:w="1900" w:type="dxa"/>
            <w:tcMar>
              <w:top w:w="60" w:type="dxa"/>
              <w:left w:w="80" w:type="dxa"/>
              <w:bottom w:w="60" w:type="dxa"/>
              <w:right w:w="80" w:type="dxa"/>
            </w:tcMar>
            <w:vAlign w:val="center"/>
          </w:tcPr>
          <w:p w14:paraId="60DACAE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B0D367A">
            <w:pPr>
              <w:jc w:val="center"/>
            </w:pPr>
            <w:r>
              <w:rPr>
                <w:rFonts w:ascii="Calibri" w:hAnsi="Calibri" w:eastAsia="Calibri" w:cs="Calibri"/>
                <w:color w:val="000000"/>
                <w:sz w:val="19"/>
                <w:szCs w:val="19"/>
              </w:rPr>
              <w:t>Information Security Policy / ISMS Governance</w:t>
            </w:r>
          </w:p>
        </w:tc>
      </w:tr>
      <w:tr w14:paraId="37ED5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4AC7403">
            <w:pPr>
              <w:jc w:val="center"/>
            </w:pPr>
            <w:r>
              <w:rPr>
                <w:rFonts w:ascii="Calibri" w:hAnsi="Calibri" w:eastAsia="Calibri" w:cs="Calibri"/>
                <w:color w:val="000000"/>
                <w:sz w:val="19"/>
                <w:szCs w:val="19"/>
              </w:rPr>
              <w:t>5.10</w:t>
            </w:r>
          </w:p>
        </w:tc>
        <w:tc>
          <w:tcPr>
            <w:tcW w:w="2900" w:type="dxa"/>
            <w:tcMar>
              <w:top w:w="60" w:type="dxa"/>
              <w:left w:w="80" w:type="dxa"/>
              <w:bottom w:w="60" w:type="dxa"/>
              <w:right w:w="80" w:type="dxa"/>
            </w:tcMar>
            <w:vAlign w:val="center"/>
          </w:tcPr>
          <w:p w14:paraId="170107EF">
            <w:pPr>
              <w:jc w:val="center"/>
            </w:pPr>
            <w:r>
              <w:rPr>
                <w:rFonts w:ascii="Calibri" w:hAnsi="Calibri" w:eastAsia="Calibri" w:cs="Calibri"/>
                <w:color w:val="000000"/>
                <w:sz w:val="19"/>
                <w:szCs w:val="19"/>
              </w:rPr>
              <w:t>Acceptable use of information and other associated assets</w:t>
            </w:r>
          </w:p>
        </w:tc>
        <w:tc>
          <w:tcPr>
            <w:tcW w:w="1100" w:type="dxa"/>
            <w:tcMar>
              <w:top w:w="60" w:type="dxa"/>
              <w:left w:w="80" w:type="dxa"/>
              <w:bottom w:w="60" w:type="dxa"/>
              <w:right w:w="80" w:type="dxa"/>
            </w:tcMar>
            <w:vAlign w:val="center"/>
          </w:tcPr>
          <w:p w14:paraId="4EE00C7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02C3D81">
            <w:pPr>
              <w:jc w:val="center"/>
            </w:pPr>
            <w:r>
              <w:rPr>
                <w:rFonts w:ascii="Calibri" w:hAnsi="Calibri" w:eastAsia="Calibri" w:cs="Calibri"/>
                <w:color w:val="000000"/>
                <w:sz w:val="19"/>
                <w:szCs w:val="19"/>
              </w:rPr>
              <w:t>Applicable — addresses an organizational/governance gap identified during risk assessment: not refreshed or re-acknowledged annually.</w:t>
            </w:r>
          </w:p>
        </w:tc>
        <w:tc>
          <w:tcPr>
            <w:tcW w:w="1900" w:type="dxa"/>
            <w:tcMar>
              <w:top w:w="60" w:type="dxa"/>
              <w:left w:w="80" w:type="dxa"/>
              <w:bottom w:w="60" w:type="dxa"/>
              <w:right w:w="80" w:type="dxa"/>
            </w:tcMar>
            <w:vAlign w:val="center"/>
          </w:tcPr>
          <w:p w14:paraId="37574AE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18CED7E">
            <w:pPr>
              <w:jc w:val="center"/>
            </w:pPr>
            <w:r>
              <w:rPr>
                <w:rFonts w:ascii="Calibri" w:hAnsi="Calibri" w:eastAsia="Calibri" w:cs="Calibri"/>
                <w:color w:val="000000"/>
                <w:sz w:val="19"/>
                <w:szCs w:val="19"/>
              </w:rPr>
              <w:t>Information Security Policy / ISMS Governance</w:t>
            </w:r>
          </w:p>
        </w:tc>
      </w:tr>
      <w:tr w14:paraId="0F85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C192BFB">
            <w:pPr>
              <w:jc w:val="center"/>
            </w:pPr>
            <w:r>
              <w:rPr>
                <w:rFonts w:ascii="Calibri" w:hAnsi="Calibri" w:eastAsia="Calibri" w:cs="Calibri"/>
                <w:color w:val="000000"/>
                <w:sz w:val="19"/>
                <w:szCs w:val="19"/>
              </w:rPr>
              <w:t>5.11</w:t>
            </w:r>
          </w:p>
        </w:tc>
        <w:tc>
          <w:tcPr>
            <w:tcW w:w="2900" w:type="dxa"/>
            <w:tcMar>
              <w:top w:w="60" w:type="dxa"/>
              <w:left w:w="80" w:type="dxa"/>
              <w:bottom w:w="60" w:type="dxa"/>
              <w:right w:w="80" w:type="dxa"/>
            </w:tcMar>
            <w:vAlign w:val="center"/>
          </w:tcPr>
          <w:p w14:paraId="12944061">
            <w:pPr>
              <w:jc w:val="center"/>
            </w:pPr>
            <w:r>
              <w:rPr>
                <w:rFonts w:ascii="Calibri" w:hAnsi="Calibri" w:eastAsia="Calibri" w:cs="Calibri"/>
                <w:color w:val="000000"/>
                <w:sz w:val="19"/>
                <w:szCs w:val="19"/>
              </w:rPr>
              <w:t>Return of assets</w:t>
            </w:r>
          </w:p>
        </w:tc>
        <w:tc>
          <w:tcPr>
            <w:tcW w:w="1100" w:type="dxa"/>
            <w:tcMar>
              <w:top w:w="60" w:type="dxa"/>
              <w:left w:w="80" w:type="dxa"/>
              <w:bottom w:w="60" w:type="dxa"/>
              <w:right w:w="80" w:type="dxa"/>
            </w:tcMar>
            <w:vAlign w:val="center"/>
          </w:tcPr>
          <w:p w14:paraId="78D1174F">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DA56A76">
            <w:pPr>
              <w:jc w:val="center"/>
            </w:pPr>
            <w:r>
              <w:rPr>
                <w:rFonts w:ascii="Calibri" w:hAnsi="Calibri" w:eastAsia="Calibri" w:cs="Calibri"/>
                <w:color w:val="000000"/>
                <w:sz w:val="19"/>
                <w:szCs w:val="19"/>
              </w:rPr>
              <w:t>Applicable — addresses an organizational/governance gap identified during risk assessment: not consistently enforced across departments.</w:t>
            </w:r>
          </w:p>
        </w:tc>
        <w:tc>
          <w:tcPr>
            <w:tcW w:w="1900" w:type="dxa"/>
            <w:tcMar>
              <w:top w:w="60" w:type="dxa"/>
              <w:left w:w="80" w:type="dxa"/>
              <w:bottom w:w="60" w:type="dxa"/>
              <w:right w:w="80" w:type="dxa"/>
            </w:tcMar>
            <w:vAlign w:val="center"/>
          </w:tcPr>
          <w:p w14:paraId="01252369">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93AAC54">
            <w:pPr>
              <w:jc w:val="center"/>
            </w:pPr>
            <w:r>
              <w:rPr>
                <w:rFonts w:ascii="Calibri" w:hAnsi="Calibri" w:eastAsia="Calibri" w:cs="Calibri"/>
                <w:color w:val="000000"/>
                <w:sz w:val="19"/>
                <w:szCs w:val="19"/>
              </w:rPr>
              <w:t>Information Security Policy / ISMS Governance</w:t>
            </w:r>
          </w:p>
        </w:tc>
      </w:tr>
      <w:tr w14:paraId="1BFC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B569F2D">
            <w:pPr>
              <w:jc w:val="center"/>
            </w:pPr>
            <w:r>
              <w:rPr>
                <w:rFonts w:ascii="Calibri" w:hAnsi="Calibri" w:eastAsia="Calibri" w:cs="Calibri"/>
                <w:color w:val="000000"/>
                <w:sz w:val="19"/>
                <w:szCs w:val="19"/>
              </w:rPr>
              <w:t>5.12</w:t>
            </w:r>
          </w:p>
        </w:tc>
        <w:tc>
          <w:tcPr>
            <w:tcW w:w="2900" w:type="dxa"/>
            <w:tcMar>
              <w:top w:w="60" w:type="dxa"/>
              <w:left w:w="80" w:type="dxa"/>
              <w:bottom w:w="60" w:type="dxa"/>
              <w:right w:w="80" w:type="dxa"/>
            </w:tcMar>
            <w:vAlign w:val="center"/>
          </w:tcPr>
          <w:p w14:paraId="25BE788B">
            <w:pPr>
              <w:jc w:val="center"/>
            </w:pPr>
            <w:r>
              <w:rPr>
                <w:rFonts w:ascii="Calibri" w:hAnsi="Calibri" w:eastAsia="Calibri" w:cs="Calibri"/>
                <w:color w:val="000000"/>
                <w:sz w:val="19"/>
                <w:szCs w:val="19"/>
              </w:rPr>
              <w:t>Classification of information</w:t>
            </w:r>
          </w:p>
        </w:tc>
        <w:tc>
          <w:tcPr>
            <w:tcW w:w="1100" w:type="dxa"/>
            <w:tcMar>
              <w:top w:w="60" w:type="dxa"/>
              <w:left w:w="80" w:type="dxa"/>
              <w:bottom w:w="60" w:type="dxa"/>
              <w:right w:w="80" w:type="dxa"/>
            </w:tcMar>
            <w:vAlign w:val="center"/>
          </w:tcPr>
          <w:p w14:paraId="6C1FD6D8">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36407D2">
            <w:pPr>
              <w:jc w:val="center"/>
            </w:pPr>
            <w:r>
              <w:rPr>
                <w:rFonts w:ascii="Calibri" w:hAnsi="Calibri" w:eastAsia="Calibri" w:cs="Calibri"/>
                <w:color w:val="000000"/>
                <w:sz w:val="19"/>
                <w:szCs w:val="19"/>
              </w:rPr>
              <w:t>Applicable — addresses an organizational/governance gap identified during risk assessment: sensitive data is not consistently labeled by sensitivity.</w:t>
            </w:r>
          </w:p>
        </w:tc>
        <w:tc>
          <w:tcPr>
            <w:tcW w:w="1900" w:type="dxa"/>
            <w:tcMar>
              <w:top w:w="60" w:type="dxa"/>
              <w:left w:w="80" w:type="dxa"/>
              <w:bottom w:w="60" w:type="dxa"/>
              <w:right w:w="80" w:type="dxa"/>
            </w:tcMar>
            <w:vAlign w:val="center"/>
          </w:tcPr>
          <w:p w14:paraId="5CB5B06A">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3CCDD0D">
            <w:pPr>
              <w:jc w:val="center"/>
            </w:pPr>
            <w:r>
              <w:rPr>
                <w:rFonts w:ascii="Calibri" w:hAnsi="Calibri" w:eastAsia="Calibri" w:cs="Calibri"/>
                <w:color w:val="000000"/>
                <w:sz w:val="19"/>
                <w:szCs w:val="19"/>
              </w:rPr>
              <w:t>Information Security Policy / ISMS Governance</w:t>
            </w:r>
          </w:p>
        </w:tc>
      </w:tr>
      <w:tr w14:paraId="44A2D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D2B617F">
            <w:pPr>
              <w:jc w:val="center"/>
            </w:pPr>
            <w:r>
              <w:rPr>
                <w:rFonts w:ascii="Calibri" w:hAnsi="Calibri" w:eastAsia="Calibri" w:cs="Calibri"/>
                <w:color w:val="000000"/>
                <w:sz w:val="19"/>
                <w:szCs w:val="19"/>
              </w:rPr>
              <w:t>5.13</w:t>
            </w:r>
          </w:p>
        </w:tc>
        <w:tc>
          <w:tcPr>
            <w:tcW w:w="2900" w:type="dxa"/>
            <w:tcMar>
              <w:top w:w="60" w:type="dxa"/>
              <w:left w:w="80" w:type="dxa"/>
              <w:bottom w:w="60" w:type="dxa"/>
              <w:right w:w="80" w:type="dxa"/>
            </w:tcMar>
            <w:vAlign w:val="center"/>
          </w:tcPr>
          <w:p w14:paraId="41FE416F">
            <w:pPr>
              <w:jc w:val="center"/>
            </w:pPr>
            <w:r>
              <w:rPr>
                <w:rFonts w:ascii="Calibri" w:hAnsi="Calibri" w:eastAsia="Calibri" w:cs="Calibri"/>
                <w:color w:val="000000"/>
                <w:sz w:val="19"/>
                <w:szCs w:val="19"/>
              </w:rPr>
              <w:t>Labelling of information</w:t>
            </w:r>
          </w:p>
        </w:tc>
        <w:tc>
          <w:tcPr>
            <w:tcW w:w="1100" w:type="dxa"/>
            <w:tcMar>
              <w:top w:w="60" w:type="dxa"/>
              <w:left w:w="80" w:type="dxa"/>
              <w:bottom w:w="60" w:type="dxa"/>
              <w:right w:w="80" w:type="dxa"/>
            </w:tcMar>
            <w:vAlign w:val="center"/>
          </w:tcPr>
          <w:p w14:paraId="1312102F">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52F6334">
            <w:pPr>
              <w:jc w:val="center"/>
            </w:pPr>
            <w:r>
              <w:rPr>
                <w:rFonts w:ascii="Calibri" w:hAnsi="Calibri" w:eastAsia="Calibri" w:cs="Calibri"/>
                <w:color w:val="000000"/>
                <w:sz w:val="19"/>
                <w:szCs w:val="19"/>
              </w:rPr>
              <w:t>Applicable — addresses an organizational/governance gap identified during risk assessment: no labelling standard linked to classification.</w:t>
            </w:r>
          </w:p>
        </w:tc>
        <w:tc>
          <w:tcPr>
            <w:tcW w:w="1900" w:type="dxa"/>
            <w:tcMar>
              <w:top w:w="60" w:type="dxa"/>
              <w:left w:w="80" w:type="dxa"/>
              <w:bottom w:w="60" w:type="dxa"/>
              <w:right w:w="80" w:type="dxa"/>
            </w:tcMar>
            <w:vAlign w:val="center"/>
          </w:tcPr>
          <w:p w14:paraId="06B586F7">
            <w:pPr>
              <w:jc w:val="center"/>
            </w:pPr>
            <w:r>
              <w:rPr>
                <w:rFonts w:ascii="Calibri" w:hAnsi="Calibri" w:eastAsia="Calibri" w:cs="Calibri"/>
                <w:b/>
                <w:bCs/>
                <w:color w:val="C00000"/>
                <w:sz w:val="19"/>
                <w:szCs w:val="19"/>
              </w:rPr>
              <w:t>Not Implemented</w:t>
            </w:r>
          </w:p>
        </w:tc>
        <w:tc>
          <w:tcPr>
            <w:tcW w:w="3050" w:type="dxa"/>
            <w:tcMar>
              <w:top w:w="60" w:type="dxa"/>
              <w:left w:w="80" w:type="dxa"/>
              <w:bottom w:w="60" w:type="dxa"/>
              <w:right w:w="80" w:type="dxa"/>
            </w:tcMar>
            <w:vAlign w:val="center"/>
          </w:tcPr>
          <w:p w14:paraId="5E2EDB17">
            <w:pPr>
              <w:jc w:val="center"/>
            </w:pPr>
            <w:r>
              <w:rPr>
                <w:rFonts w:ascii="Calibri" w:hAnsi="Calibri" w:eastAsia="Calibri" w:cs="Calibri"/>
                <w:color w:val="000000"/>
                <w:sz w:val="19"/>
                <w:szCs w:val="19"/>
              </w:rPr>
              <w:t>Information Security Policy / ISMS Governance</w:t>
            </w:r>
          </w:p>
        </w:tc>
      </w:tr>
      <w:tr w14:paraId="2C26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9DC964B">
            <w:pPr>
              <w:jc w:val="center"/>
            </w:pPr>
            <w:r>
              <w:rPr>
                <w:rFonts w:ascii="Calibri" w:hAnsi="Calibri" w:eastAsia="Calibri" w:cs="Calibri"/>
                <w:color w:val="000000"/>
                <w:sz w:val="19"/>
                <w:szCs w:val="19"/>
              </w:rPr>
              <w:t>5.14</w:t>
            </w:r>
          </w:p>
        </w:tc>
        <w:tc>
          <w:tcPr>
            <w:tcW w:w="2900" w:type="dxa"/>
            <w:tcMar>
              <w:top w:w="60" w:type="dxa"/>
              <w:left w:w="80" w:type="dxa"/>
              <w:bottom w:w="60" w:type="dxa"/>
              <w:right w:w="80" w:type="dxa"/>
            </w:tcMar>
            <w:vAlign w:val="center"/>
          </w:tcPr>
          <w:p w14:paraId="01FEDBE8">
            <w:pPr>
              <w:jc w:val="center"/>
            </w:pPr>
            <w:r>
              <w:rPr>
                <w:rFonts w:ascii="Calibri" w:hAnsi="Calibri" w:eastAsia="Calibri" w:cs="Calibri"/>
                <w:color w:val="000000"/>
                <w:sz w:val="19"/>
                <w:szCs w:val="19"/>
              </w:rPr>
              <w:t>Information transfer</w:t>
            </w:r>
          </w:p>
        </w:tc>
        <w:tc>
          <w:tcPr>
            <w:tcW w:w="1100" w:type="dxa"/>
            <w:tcMar>
              <w:top w:w="60" w:type="dxa"/>
              <w:left w:w="80" w:type="dxa"/>
              <w:bottom w:w="60" w:type="dxa"/>
              <w:right w:w="80" w:type="dxa"/>
            </w:tcMar>
            <w:vAlign w:val="center"/>
          </w:tcPr>
          <w:p w14:paraId="788138E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A55BF3D">
            <w:pPr>
              <w:jc w:val="center"/>
            </w:pPr>
            <w:r>
              <w:rPr>
                <w:rFonts w:ascii="Calibri" w:hAnsi="Calibri" w:eastAsia="Calibri" w:cs="Calibri"/>
                <w:color w:val="000000"/>
                <w:sz w:val="19"/>
                <w:szCs w:val="19"/>
              </w:rPr>
              <w:t>Applicable — addresses an organizational/governance gap identified during risk assessment: no policy governing email or file transfer.</w:t>
            </w:r>
          </w:p>
        </w:tc>
        <w:tc>
          <w:tcPr>
            <w:tcW w:w="1900" w:type="dxa"/>
            <w:tcMar>
              <w:top w:w="60" w:type="dxa"/>
              <w:left w:w="80" w:type="dxa"/>
              <w:bottom w:w="60" w:type="dxa"/>
              <w:right w:w="80" w:type="dxa"/>
            </w:tcMar>
            <w:vAlign w:val="center"/>
          </w:tcPr>
          <w:p w14:paraId="44BFBC8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AD277B4">
            <w:pPr>
              <w:jc w:val="center"/>
            </w:pPr>
            <w:r>
              <w:rPr>
                <w:rFonts w:ascii="Calibri" w:hAnsi="Calibri" w:eastAsia="Calibri" w:cs="Calibri"/>
                <w:color w:val="000000"/>
                <w:sz w:val="19"/>
                <w:szCs w:val="19"/>
              </w:rPr>
              <w:t>Information Security Policy / ISMS Governance</w:t>
            </w:r>
          </w:p>
        </w:tc>
      </w:tr>
      <w:tr w14:paraId="32EF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A7024B1">
            <w:pPr>
              <w:jc w:val="center"/>
            </w:pPr>
            <w:r>
              <w:rPr>
                <w:rFonts w:ascii="Calibri" w:hAnsi="Calibri" w:eastAsia="Calibri" w:cs="Calibri"/>
                <w:color w:val="000000"/>
                <w:sz w:val="19"/>
                <w:szCs w:val="19"/>
              </w:rPr>
              <w:t>5.15</w:t>
            </w:r>
          </w:p>
        </w:tc>
        <w:tc>
          <w:tcPr>
            <w:tcW w:w="2900" w:type="dxa"/>
            <w:tcMar>
              <w:top w:w="60" w:type="dxa"/>
              <w:left w:w="80" w:type="dxa"/>
              <w:bottom w:w="60" w:type="dxa"/>
              <w:right w:w="80" w:type="dxa"/>
            </w:tcMar>
            <w:vAlign w:val="center"/>
          </w:tcPr>
          <w:p w14:paraId="294B9F6B">
            <w:pPr>
              <w:jc w:val="center"/>
            </w:pPr>
            <w:r>
              <w:rPr>
                <w:rFonts w:ascii="Calibri" w:hAnsi="Calibri" w:eastAsia="Calibri" w:cs="Calibri"/>
                <w:color w:val="000000"/>
                <w:sz w:val="19"/>
                <w:szCs w:val="19"/>
              </w:rPr>
              <w:t>Access control</w:t>
            </w:r>
          </w:p>
        </w:tc>
        <w:tc>
          <w:tcPr>
            <w:tcW w:w="1100" w:type="dxa"/>
            <w:tcMar>
              <w:top w:w="60" w:type="dxa"/>
              <w:left w:w="80" w:type="dxa"/>
              <w:bottom w:w="60" w:type="dxa"/>
              <w:right w:w="80" w:type="dxa"/>
            </w:tcMar>
            <w:vAlign w:val="center"/>
          </w:tcPr>
          <w:p w14:paraId="310CE38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65C4575">
            <w:pPr>
              <w:jc w:val="center"/>
            </w:pPr>
            <w:r>
              <w:rPr>
                <w:rFonts w:ascii="Calibri" w:hAnsi="Calibri" w:eastAsia="Calibri" w:cs="Calibri"/>
                <w:color w:val="000000"/>
                <w:sz w:val="19"/>
                <w:szCs w:val="19"/>
              </w:rPr>
              <w:t>Applicable — addresses an organizational/governance gap identified during risk assessment: access control policy not formally documented.</w:t>
            </w:r>
          </w:p>
        </w:tc>
        <w:tc>
          <w:tcPr>
            <w:tcW w:w="1900" w:type="dxa"/>
            <w:tcMar>
              <w:top w:w="60" w:type="dxa"/>
              <w:left w:w="80" w:type="dxa"/>
              <w:bottom w:w="60" w:type="dxa"/>
              <w:right w:w="80" w:type="dxa"/>
            </w:tcMar>
            <w:vAlign w:val="center"/>
          </w:tcPr>
          <w:p w14:paraId="020B58A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B6A0BCB">
            <w:pPr>
              <w:jc w:val="center"/>
            </w:pPr>
            <w:r>
              <w:rPr>
                <w:rFonts w:ascii="Calibri" w:hAnsi="Calibri" w:eastAsia="Calibri" w:cs="Calibri"/>
                <w:color w:val="000000"/>
                <w:sz w:val="19"/>
                <w:szCs w:val="19"/>
              </w:rPr>
              <w:t>Information Security Policy / ISMS Governance</w:t>
            </w:r>
          </w:p>
        </w:tc>
      </w:tr>
      <w:tr w14:paraId="2C81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373F5E0">
            <w:pPr>
              <w:jc w:val="center"/>
            </w:pPr>
            <w:r>
              <w:rPr>
                <w:rFonts w:ascii="Calibri" w:hAnsi="Calibri" w:eastAsia="Calibri" w:cs="Calibri"/>
                <w:color w:val="000000"/>
                <w:sz w:val="19"/>
                <w:szCs w:val="19"/>
              </w:rPr>
              <w:t>5.16</w:t>
            </w:r>
          </w:p>
        </w:tc>
        <w:tc>
          <w:tcPr>
            <w:tcW w:w="2900" w:type="dxa"/>
            <w:tcMar>
              <w:top w:w="60" w:type="dxa"/>
              <w:left w:w="80" w:type="dxa"/>
              <w:bottom w:w="60" w:type="dxa"/>
              <w:right w:w="80" w:type="dxa"/>
            </w:tcMar>
            <w:vAlign w:val="center"/>
          </w:tcPr>
          <w:p w14:paraId="26C56BE2">
            <w:pPr>
              <w:jc w:val="center"/>
            </w:pPr>
            <w:r>
              <w:rPr>
                <w:rFonts w:ascii="Calibri" w:hAnsi="Calibri" w:eastAsia="Calibri" w:cs="Calibri"/>
                <w:color w:val="000000"/>
                <w:sz w:val="19"/>
                <w:szCs w:val="19"/>
              </w:rPr>
              <w:t>Identity management</w:t>
            </w:r>
          </w:p>
        </w:tc>
        <w:tc>
          <w:tcPr>
            <w:tcW w:w="1100" w:type="dxa"/>
            <w:tcMar>
              <w:top w:w="60" w:type="dxa"/>
              <w:left w:w="80" w:type="dxa"/>
              <w:bottom w:w="60" w:type="dxa"/>
              <w:right w:w="80" w:type="dxa"/>
            </w:tcMar>
            <w:vAlign w:val="center"/>
          </w:tcPr>
          <w:p w14:paraId="12E3717F">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025A68B">
            <w:pPr>
              <w:jc w:val="center"/>
            </w:pPr>
            <w:r>
              <w:rPr>
                <w:rFonts w:ascii="Calibri" w:hAnsi="Calibri" w:eastAsia="Calibri" w:cs="Calibri"/>
                <w:color w:val="000000"/>
                <w:sz w:val="19"/>
                <w:szCs w:val="19"/>
              </w:rPr>
              <w:t>Applicable — addresses an organizational/governance gap identified during risk assessment: not extended to all SaaS and third-party tools.</w:t>
            </w:r>
          </w:p>
        </w:tc>
        <w:tc>
          <w:tcPr>
            <w:tcW w:w="1900" w:type="dxa"/>
            <w:tcMar>
              <w:top w:w="60" w:type="dxa"/>
              <w:left w:w="80" w:type="dxa"/>
              <w:bottom w:w="60" w:type="dxa"/>
              <w:right w:w="80" w:type="dxa"/>
            </w:tcMar>
            <w:vAlign w:val="center"/>
          </w:tcPr>
          <w:p w14:paraId="2B21594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4C245D2D">
            <w:pPr>
              <w:jc w:val="center"/>
            </w:pPr>
            <w:r>
              <w:rPr>
                <w:rFonts w:ascii="Calibri" w:hAnsi="Calibri" w:eastAsia="Calibri" w:cs="Calibri"/>
                <w:color w:val="000000"/>
                <w:sz w:val="19"/>
                <w:szCs w:val="19"/>
              </w:rPr>
              <w:t>Information Security Policy / ISMS Governance</w:t>
            </w:r>
          </w:p>
        </w:tc>
      </w:tr>
      <w:tr w14:paraId="7E21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09C010F">
            <w:pPr>
              <w:jc w:val="center"/>
            </w:pPr>
            <w:r>
              <w:rPr>
                <w:rFonts w:ascii="Calibri" w:hAnsi="Calibri" w:eastAsia="Calibri" w:cs="Calibri"/>
                <w:color w:val="000000"/>
                <w:sz w:val="19"/>
                <w:szCs w:val="19"/>
              </w:rPr>
              <w:t>5.17</w:t>
            </w:r>
          </w:p>
        </w:tc>
        <w:tc>
          <w:tcPr>
            <w:tcW w:w="2900" w:type="dxa"/>
            <w:tcMar>
              <w:top w:w="60" w:type="dxa"/>
              <w:left w:w="80" w:type="dxa"/>
              <w:bottom w:w="60" w:type="dxa"/>
              <w:right w:w="80" w:type="dxa"/>
            </w:tcMar>
            <w:vAlign w:val="center"/>
          </w:tcPr>
          <w:p w14:paraId="3FB786A0">
            <w:pPr>
              <w:jc w:val="center"/>
            </w:pPr>
            <w:r>
              <w:rPr>
                <w:rFonts w:ascii="Calibri" w:hAnsi="Calibri" w:eastAsia="Calibri" w:cs="Calibri"/>
                <w:color w:val="000000"/>
                <w:sz w:val="19"/>
                <w:szCs w:val="19"/>
              </w:rPr>
              <w:t>Authentication information</w:t>
            </w:r>
          </w:p>
        </w:tc>
        <w:tc>
          <w:tcPr>
            <w:tcW w:w="1100" w:type="dxa"/>
            <w:tcMar>
              <w:top w:w="60" w:type="dxa"/>
              <w:left w:w="80" w:type="dxa"/>
              <w:bottom w:w="60" w:type="dxa"/>
              <w:right w:w="80" w:type="dxa"/>
            </w:tcMar>
            <w:vAlign w:val="center"/>
          </w:tcPr>
          <w:p w14:paraId="687B6295">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F28642D">
            <w:pPr>
              <w:jc w:val="center"/>
            </w:pPr>
            <w:r>
              <w:rPr>
                <w:rFonts w:ascii="Calibri" w:hAnsi="Calibri" w:eastAsia="Calibri" w:cs="Calibri"/>
                <w:color w:val="000000"/>
                <w:sz w:val="19"/>
                <w:szCs w:val="19"/>
              </w:rPr>
              <w:t>Applicable — addresses an organizational/governance gap identified during risk assessment: no formal secrets/credential management policy.</w:t>
            </w:r>
          </w:p>
        </w:tc>
        <w:tc>
          <w:tcPr>
            <w:tcW w:w="1900" w:type="dxa"/>
            <w:tcMar>
              <w:top w:w="60" w:type="dxa"/>
              <w:left w:w="80" w:type="dxa"/>
              <w:bottom w:w="60" w:type="dxa"/>
              <w:right w:w="80" w:type="dxa"/>
            </w:tcMar>
            <w:vAlign w:val="center"/>
          </w:tcPr>
          <w:p w14:paraId="00D34FFD">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29AAD1D">
            <w:pPr>
              <w:jc w:val="center"/>
            </w:pPr>
            <w:r>
              <w:rPr>
                <w:rFonts w:ascii="Calibri" w:hAnsi="Calibri" w:eastAsia="Calibri" w:cs="Calibri"/>
                <w:color w:val="000000"/>
                <w:sz w:val="19"/>
                <w:szCs w:val="19"/>
              </w:rPr>
              <w:t>Information Security Policy / ISMS Governance</w:t>
            </w:r>
          </w:p>
        </w:tc>
      </w:tr>
      <w:tr w14:paraId="5FE2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85B6FDC">
            <w:pPr>
              <w:jc w:val="center"/>
            </w:pPr>
            <w:r>
              <w:rPr>
                <w:rFonts w:ascii="Calibri" w:hAnsi="Calibri" w:eastAsia="Calibri" w:cs="Calibri"/>
                <w:color w:val="000000"/>
                <w:sz w:val="19"/>
                <w:szCs w:val="19"/>
              </w:rPr>
              <w:t>5.18</w:t>
            </w:r>
          </w:p>
        </w:tc>
        <w:tc>
          <w:tcPr>
            <w:tcW w:w="2900" w:type="dxa"/>
            <w:tcMar>
              <w:top w:w="60" w:type="dxa"/>
              <w:left w:w="80" w:type="dxa"/>
              <w:bottom w:w="60" w:type="dxa"/>
              <w:right w:w="80" w:type="dxa"/>
            </w:tcMar>
            <w:vAlign w:val="center"/>
          </w:tcPr>
          <w:p w14:paraId="20E493DA">
            <w:pPr>
              <w:jc w:val="center"/>
            </w:pPr>
            <w:r>
              <w:rPr>
                <w:rFonts w:ascii="Calibri" w:hAnsi="Calibri" w:eastAsia="Calibri" w:cs="Calibri"/>
                <w:color w:val="000000"/>
                <w:sz w:val="19"/>
                <w:szCs w:val="19"/>
              </w:rPr>
              <w:t>Access rights</w:t>
            </w:r>
          </w:p>
        </w:tc>
        <w:tc>
          <w:tcPr>
            <w:tcW w:w="1100" w:type="dxa"/>
            <w:tcMar>
              <w:top w:w="60" w:type="dxa"/>
              <w:left w:w="80" w:type="dxa"/>
              <w:bottom w:w="60" w:type="dxa"/>
              <w:right w:w="80" w:type="dxa"/>
            </w:tcMar>
            <w:vAlign w:val="center"/>
          </w:tcPr>
          <w:p w14:paraId="4A5D264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81A3613">
            <w:pPr>
              <w:jc w:val="center"/>
            </w:pPr>
            <w:r>
              <w:rPr>
                <w:rFonts w:ascii="Calibri" w:hAnsi="Calibri" w:eastAsia="Calibri" w:cs="Calibri"/>
                <w:color w:val="000000"/>
                <w:sz w:val="19"/>
                <w:szCs w:val="19"/>
              </w:rPr>
              <w:t>Applicable — addresses an organizational/governance gap identified during risk assessment: no periodic access recertification process.</w:t>
            </w:r>
          </w:p>
        </w:tc>
        <w:tc>
          <w:tcPr>
            <w:tcW w:w="1900" w:type="dxa"/>
            <w:tcMar>
              <w:top w:w="60" w:type="dxa"/>
              <w:left w:w="80" w:type="dxa"/>
              <w:bottom w:w="60" w:type="dxa"/>
              <w:right w:w="80" w:type="dxa"/>
            </w:tcMar>
            <w:vAlign w:val="center"/>
          </w:tcPr>
          <w:p w14:paraId="67282C81">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42F81136">
            <w:pPr>
              <w:jc w:val="center"/>
            </w:pPr>
            <w:r>
              <w:rPr>
                <w:rFonts w:ascii="Calibri" w:hAnsi="Calibri" w:eastAsia="Calibri" w:cs="Calibri"/>
                <w:color w:val="000000"/>
                <w:sz w:val="19"/>
                <w:szCs w:val="19"/>
              </w:rPr>
              <w:t>Information Security Policy / ISMS Governance</w:t>
            </w:r>
          </w:p>
        </w:tc>
      </w:tr>
      <w:tr w14:paraId="39AC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6BAD68F">
            <w:pPr>
              <w:jc w:val="center"/>
            </w:pPr>
            <w:r>
              <w:rPr>
                <w:rFonts w:ascii="Calibri" w:hAnsi="Calibri" w:eastAsia="Calibri" w:cs="Calibri"/>
                <w:color w:val="000000"/>
                <w:sz w:val="19"/>
                <w:szCs w:val="19"/>
              </w:rPr>
              <w:t>5.19</w:t>
            </w:r>
          </w:p>
        </w:tc>
        <w:tc>
          <w:tcPr>
            <w:tcW w:w="2900" w:type="dxa"/>
            <w:tcMar>
              <w:top w:w="60" w:type="dxa"/>
              <w:left w:w="80" w:type="dxa"/>
              <w:bottom w:w="60" w:type="dxa"/>
              <w:right w:w="80" w:type="dxa"/>
            </w:tcMar>
            <w:vAlign w:val="center"/>
          </w:tcPr>
          <w:p w14:paraId="7A756B98">
            <w:pPr>
              <w:jc w:val="center"/>
            </w:pPr>
            <w:r>
              <w:rPr>
                <w:rFonts w:ascii="Calibri" w:hAnsi="Calibri" w:eastAsia="Calibri" w:cs="Calibri"/>
                <w:color w:val="000000"/>
                <w:sz w:val="19"/>
                <w:szCs w:val="19"/>
              </w:rPr>
              <w:t>Information security in supplier relationships</w:t>
            </w:r>
          </w:p>
        </w:tc>
        <w:tc>
          <w:tcPr>
            <w:tcW w:w="1100" w:type="dxa"/>
            <w:tcMar>
              <w:top w:w="60" w:type="dxa"/>
              <w:left w:w="80" w:type="dxa"/>
              <w:bottom w:w="60" w:type="dxa"/>
              <w:right w:w="80" w:type="dxa"/>
            </w:tcMar>
            <w:vAlign w:val="center"/>
          </w:tcPr>
          <w:p w14:paraId="25D42E6D">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A22C23E">
            <w:pPr>
              <w:jc w:val="center"/>
            </w:pPr>
            <w:r>
              <w:rPr>
                <w:rFonts w:ascii="Calibri" w:hAnsi="Calibri" w:eastAsia="Calibri" w:cs="Calibri"/>
                <w:color w:val="000000"/>
                <w:sz w:val="19"/>
                <w:szCs w:val="19"/>
              </w:rPr>
              <w:t>Applicable — addresses an organizational/governance gap identified during risk assessment: no formal supplier security risk assessment.</w:t>
            </w:r>
          </w:p>
        </w:tc>
        <w:tc>
          <w:tcPr>
            <w:tcW w:w="1900" w:type="dxa"/>
            <w:tcMar>
              <w:top w:w="60" w:type="dxa"/>
              <w:left w:w="80" w:type="dxa"/>
              <w:bottom w:w="60" w:type="dxa"/>
              <w:right w:w="80" w:type="dxa"/>
            </w:tcMar>
            <w:vAlign w:val="center"/>
          </w:tcPr>
          <w:p w14:paraId="0B24072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7531E75">
            <w:pPr>
              <w:jc w:val="center"/>
            </w:pPr>
            <w:r>
              <w:rPr>
                <w:rFonts w:ascii="Calibri" w:hAnsi="Calibri" w:eastAsia="Calibri" w:cs="Calibri"/>
                <w:color w:val="000000"/>
                <w:sz w:val="19"/>
                <w:szCs w:val="19"/>
              </w:rPr>
              <w:t>Information Security Policy / ISMS Governance</w:t>
            </w:r>
          </w:p>
        </w:tc>
      </w:tr>
      <w:tr w14:paraId="2925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CAD87B8">
            <w:pPr>
              <w:jc w:val="center"/>
            </w:pPr>
            <w:r>
              <w:rPr>
                <w:rFonts w:ascii="Calibri" w:hAnsi="Calibri" w:eastAsia="Calibri" w:cs="Calibri"/>
                <w:color w:val="000000"/>
                <w:sz w:val="19"/>
                <w:szCs w:val="19"/>
              </w:rPr>
              <w:t>5.20</w:t>
            </w:r>
          </w:p>
        </w:tc>
        <w:tc>
          <w:tcPr>
            <w:tcW w:w="2900" w:type="dxa"/>
            <w:tcMar>
              <w:top w:w="60" w:type="dxa"/>
              <w:left w:w="80" w:type="dxa"/>
              <w:bottom w:w="60" w:type="dxa"/>
              <w:right w:w="80" w:type="dxa"/>
            </w:tcMar>
            <w:vAlign w:val="center"/>
          </w:tcPr>
          <w:p w14:paraId="3D83092A">
            <w:pPr>
              <w:jc w:val="center"/>
            </w:pPr>
            <w:r>
              <w:rPr>
                <w:rFonts w:ascii="Calibri" w:hAnsi="Calibri" w:eastAsia="Calibri" w:cs="Calibri"/>
                <w:color w:val="000000"/>
                <w:sz w:val="19"/>
                <w:szCs w:val="19"/>
              </w:rPr>
              <w:t>Addressing information security within supplier agreements</w:t>
            </w:r>
          </w:p>
        </w:tc>
        <w:tc>
          <w:tcPr>
            <w:tcW w:w="1100" w:type="dxa"/>
            <w:tcMar>
              <w:top w:w="60" w:type="dxa"/>
              <w:left w:w="80" w:type="dxa"/>
              <w:bottom w:w="60" w:type="dxa"/>
              <w:right w:w="80" w:type="dxa"/>
            </w:tcMar>
            <w:vAlign w:val="center"/>
          </w:tcPr>
          <w:p w14:paraId="4EF9FF98">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3970DD6">
            <w:pPr>
              <w:jc w:val="center"/>
            </w:pPr>
            <w:r>
              <w:rPr>
                <w:rFonts w:ascii="Calibri" w:hAnsi="Calibri" w:eastAsia="Calibri" w:cs="Calibri"/>
                <w:color w:val="000000"/>
                <w:sz w:val="19"/>
                <w:szCs w:val="19"/>
              </w:rPr>
              <w:t>Applicable — addresses an organizational/governance gap identified during risk assessment: no defined security SLAs in agreements.</w:t>
            </w:r>
          </w:p>
        </w:tc>
        <w:tc>
          <w:tcPr>
            <w:tcW w:w="1900" w:type="dxa"/>
            <w:tcMar>
              <w:top w:w="60" w:type="dxa"/>
              <w:left w:w="80" w:type="dxa"/>
              <w:bottom w:w="60" w:type="dxa"/>
              <w:right w:w="80" w:type="dxa"/>
            </w:tcMar>
            <w:vAlign w:val="center"/>
          </w:tcPr>
          <w:p w14:paraId="4F2D3A7A">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F20F112">
            <w:pPr>
              <w:jc w:val="center"/>
            </w:pPr>
            <w:r>
              <w:rPr>
                <w:rFonts w:ascii="Calibri" w:hAnsi="Calibri" w:eastAsia="Calibri" w:cs="Calibri"/>
                <w:color w:val="000000"/>
                <w:sz w:val="19"/>
                <w:szCs w:val="19"/>
              </w:rPr>
              <w:t>Information Security Policy / ISMS Governance</w:t>
            </w:r>
          </w:p>
        </w:tc>
      </w:tr>
      <w:tr w14:paraId="0B57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915C82B">
            <w:pPr>
              <w:jc w:val="center"/>
            </w:pPr>
            <w:r>
              <w:rPr>
                <w:rFonts w:ascii="Calibri" w:hAnsi="Calibri" w:eastAsia="Calibri" w:cs="Calibri"/>
                <w:color w:val="000000"/>
                <w:sz w:val="19"/>
                <w:szCs w:val="19"/>
              </w:rPr>
              <w:t>5.21</w:t>
            </w:r>
          </w:p>
        </w:tc>
        <w:tc>
          <w:tcPr>
            <w:tcW w:w="2900" w:type="dxa"/>
            <w:tcMar>
              <w:top w:w="60" w:type="dxa"/>
              <w:left w:w="80" w:type="dxa"/>
              <w:bottom w:w="60" w:type="dxa"/>
              <w:right w:w="80" w:type="dxa"/>
            </w:tcMar>
            <w:vAlign w:val="center"/>
          </w:tcPr>
          <w:p w14:paraId="1EE27E6B">
            <w:pPr>
              <w:jc w:val="center"/>
            </w:pPr>
            <w:r>
              <w:rPr>
                <w:rFonts w:ascii="Calibri" w:hAnsi="Calibri" w:eastAsia="Calibri" w:cs="Calibri"/>
                <w:color w:val="000000"/>
                <w:sz w:val="19"/>
                <w:szCs w:val="19"/>
              </w:rPr>
              <w:t>Managing information security in the ICT supply chain</w:t>
            </w:r>
          </w:p>
        </w:tc>
        <w:tc>
          <w:tcPr>
            <w:tcW w:w="1100" w:type="dxa"/>
            <w:tcMar>
              <w:top w:w="60" w:type="dxa"/>
              <w:left w:w="80" w:type="dxa"/>
              <w:bottom w:w="60" w:type="dxa"/>
              <w:right w:w="80" w:type="dxa"/>
            </w:tcMar>
            <w:vAlign w:val="center"/>
          </w:tcPr>
          <w:p w14:paraId="5E12055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96ADDEF">
            <w:pPr>
              <w:jc w:val="center"/>
            </w:pPr>
            <w:r>
              <w:rPr>
                <w:rFonts w:ascii="Calibri" w:hAnsi="Calibri" w:eastAsia="Calibri" w:cs="Calibri"/>
                <w:color w:val="000000"/>
                <w:sz w:val="19"/>
                <w:szCs w:val="19"/>
              </w:rPr>
              <w:t>Applicable — addresses an organizational/governance gap identified during risk assessment: no supply chain risk review process.</w:t>
            </w:r>
          </w:p>
        </w:tc>
        <w:tc>
          <w:tcPr>
            <w:tcW w:w="1900" w:type="dxa"/>
            <w:tcMar>
              <w:top w:w="60" w:type="dxa"/>
              <w:left w:w="80" w:type="dxa"/>
              <w:bottom w:w="60" w:type="dxa"/>
              <w:right w:w="80" w:type="dxa"/>
            </w:tcMar>
            <w:vAlign w:val="center"/>
          </w:tcPr>
          <w:p w14:paraId="27F9501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B0DA60D">
            <w:pPr>
              <w:jc w:val="center"/>
            </w:pPr>
            <w:r>
              <w:rPr>
                <w:rFonts w:ascii="Calibri" w:hAnsi="Calibri" w:eastAsia="Calibri" w:cs="Calibri"/>
                <w:color w:val="000000"/>
                <w:sz w:val="19"/>
                <w:szCs w:val="19"/>
              </w:rPr>
              <w:t>Information Security Policy / ISMS Governance</w:t>
            </w:r>
          </w:p>
        </w:tc>
      </w:tr>
      <w:tr w14:paraId="0A5F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BA66621">
            <w:pPr>
              <w:jc w:val="center"/>
            </w:pPr>
            <w:r>
              <w:rPr>
                <w:rFonts w:ascii="Calibri" w:hAnsi="Calibri" w:eastAsia="Calibri" w:cs="Calibri"/>
                <w:color w:val="000000"/>
                <w:sz w:val="19"/>
                <w:szCs w:val="19"/>
              </w:rPr>
              <w:t>5.22</w:t>
            </w:r>
          </w:p>
        </w:tc>
        <w:tc>
          <w:tcPr>
            <w:tcW w:w="2900" w:type="dxa"/>
            <w:tcMar>
              <w:top w:w="60" w:type="dxa"/>
              <w:left w:w="80" w:type="dxa"/>
              <w:bottom w:w="60" w:type="dxa"/>
              <w:right w:w="80" w:type="dxa"/>
            </w:tcMar>
            <w:vAlign w:val="center"/>
          </w:tcPr>
          <w:p w14:paraId="52DCC98C">
            <w:pPr>
              <w:jc w:val="center"/>
            </w:pPr>
            <w:r>
              <w:rPr>
                <w:rFonts w:ascii="Calibri" w:hAnsi="Calibri" w:eastAsia="Calibri" w:cs="Calibri"/>
                <w:color w:val="000000"/>
                <w:sz w:val="19"/>
                <w:szCs w:val="19"/>
              </w:rPr>
              <w:t>Monitoring, review and change management of supplier services</w:t>
            </w:r>
          </w:p>
        </w:tc>
        <w:tc>
          <w:tcPr>
            <w:tcW w:w="1100" w:type="dxa"/>
            <w:tcMar>
              <w:top w:w="60" w:type="dxa"/>
              <w:left w:w="80" w:type="dxa"/>
              <w:bottom w:w="60" w:type="dxa"/>
              <w:right w:w="80" w:type="dxa"/>
            </w:tcMar>
            <w:vAlign w:val="center"/>
          </w:tcPr>
          <w:p w14:paraId="79C4CA94">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4514964">
            <w:pPr>
              <w:jc w:val="center"/>
            </w:pPr>
            <w:r>
              <w:rPr>
                <w:rFonts w:ascii="Calibri" w:hAnsi="Calibri" w:eastAsia="Calibri" w:cs="Calibri"/>
                <w:color w:val="000000"/>
                <w:sz w:val="19"/>
                <w:szCs w:val="19"/>
              </w:rPr>
              <w:t>Applicable — addresses an organizational/governance gap identified during risk assessment: no structured supplier performance/security audits.</w:t>
            </w:r>
          </w:p>
        </w:tc>
        <w:tc>
          <w:tcPr>
            <w:tcW w:w="1900" w:type="dxa"/>
            <w:tcMar>
              <w:top w:w="60" w:type="dxa"/>
              <w:left w:w="80" w:type="dxa"/>
              <w:bottom w:w="60" w:type="dxa"/>
              <w:right w:w="80" w:type="dxa"/>
            </w:tcMar>
            <w:vAlign w:val="center"/>
          </w:tcPr>
          <w:p w14:paraId="3783769A">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D132F53">
            <w:pPr>
              <w:jc w:val="center"/>
            </w:pPr>
            <w:r>
              <w:rPr>
                <w:rFonts w:ascii="Calibri" w:hAnsi="Calibri" w:eastAsia="Calibri" w:cs="Calibri"/>
                <w:color w:val="000000"/>
                <w:sz w:val="19"/>
                <w:szCs w:val="19"/>
              </w:rPr>
              <w:t>Information Security Policy / ISMS Governance</w:t>
            </w:r>
          </w:p>
        </w:tc>
      </w:tr>
      <w:tr w14:paraId="68E7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03A5B99">
            <w:pPr>
              <w:jc w:val="center"/>
            </w:pPr>
            <w:r>
              <w:rPr>
                <w:rFonts w:ascii="Calibri" w:hAnsi="Calibri" w:eastAsia="Calibri" w:cs="Calibri"/>
                <w:color w:val="000000"/>
                <w:sz w:val="19"/>
                <w:szCs w:val="19"/>
              </w:rPr>
              <w:t>5.23</w:t>
            </w:r>
          </w:p>
        </w:tc>
        <w:tc>
          <w:tcPr>
            <w:tcW w:w="2900" w:type="dxa"/>
            <w:tcMar>
              <w:top w:w="60" w:type="dxa"/>
              <w:left w:w="80" w:type="dxa"/>
              <w:bottom w:w="60" w:type="dxa"/>
              <w:right w:w="80" w:type="dxa"/>
            </w:tcMar>
            <w:vAlign w:val="center"/>
          </w:tcPr>
          <w:p w14:paraId="24398A3B">
            <w:pPr>
              <w:jc w:val="center"/>
            </w:pPr>
            <w:r>
              <w:rPr>
                <w:rFonts w:ascii="Calibri" w:hAnsi="Calibri" w:eastAsia="Calibri" w:cs="Calibri"/>
                <w:color w:val="000000"/>
                <w:sz w:val="19"/>
                <w:szCs w:val="19"/>
              </w:rPr>
              <w:t>Information security for use of cloud services</w:t>
            </w:r>
          </w:p>
        </w:tc>
        <w:tc>
          <w:tcPr>
            <w:tcW w:w="1100" w:type="dxa"/>
            <w:tcMar>
              <w:top w:w="60" w:type="dxa"/>
              <w:left w:w="80" w:type="dxa"/>
              <w:bottom w:w="60" w:type="dxa"/>
              <w:right w:w="80" w:type="dxa"/>
            </w:tcMar>
            <w:vAlign w:val="center"/>
          </w:tcPr>
          <w:p w14:paraId="7F8E50DE">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CC4FB37">
            <w:pPr>
              <w:jc w:val="center"/>
            </w:pPr>
            <w:r>
              <w:rPr>
                <w:rFonts w:ascii="Calibri" w:hAnsi="Calibri" w:eastAsia="Calibri" w:cs="Calibri"/>
                <w:color w:val="000000"/>
                <w:sz w:val="19"/>
                <w:szCs w:val="19"/>
              </w:rPr>
              <w:t>Applicable — addresses an organizational/governance gap identified during risk assessment: no formal cloud security policy or checklist.</w:t>
            </w:r>
          </w:p>
        </w:tc>
        <w:tc>
          <w:tcPr>
            <w:tcW w:w="1900" w:type="dxa"/>
            <w:tcMar>
              <w:top w:w="60" w:type="dxa"/>
              <w:left w:w="80" w:type="dxa"/>
              <w:bottom w:w="60" w:type="dxa"/>
              <w:right w:w="80" w:type="dxa"/>
            </w:tcMar>
            <w:vAlign w:val="center"/>
          </w:tcPr>
          <w:p w14:paraId="66245C8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CB08003">
            <w:pPr>
              <w:jc w:val="center"/>
            </w:pPr>
            <w:r>
              <w:rPr>
                <w:rFonts w:ascii="Calibri" w:hAnsi="Calibri" w:eastAsia="Calibri" w:cs="Calibri"/>
                <w:color w:val="000000"/>
                <w:sz w:val="19"/>
                <w:szCs w:val="19"/>
              </w:rPr>
              <w:t>Information Security Policy / ISMS Governance</w:t>
            </w:r>
          </w:p>
        </w:tc>
      </w:tr>
      <w:tr w14:paraId="3616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37E01B6">
            <w:pPr>
              <w:jc w:val="center"/>
            </w:pPr>
            <w:r>
              <w:rPr>
                <w:rFonts w:ascii="Calibri" w:hAnsi="Calibri" w:eastAsia="Calibri" w:cs="Calibri"/>
                <w:color w:val="000000"/>
                <w:sz w:val="19"/>
                <w:szCs w:val="19"/>
              </w:rPr>
              <w:t>5.24</w:t>
            </w:r>
          </w:p>
        </w:tc>
        <w:tc>
          <w:tcPr>
            <w:tcW w:w="2900" w:type="dxa"/>
            <w:tcMar>
              <w:top w:w="60" w:type="dxa"/>
              <w:left w:w="80" w:type="dxa"/>
              <w:bottom w:w="60" w:type="dxa"/>
              <w:right w:w="80" w:type="dxa"/>
            </w:tcMar>
            <w:vAlign w:val="center"/>
          </w:tcPr>
          <w:p w14:paraId="00053C2D">
            <w:pPr>
              <w:jc w:val="center"/>
            </w:pPr>
            <w:r>
              <w:rPr>
                <w:rFonts w:ascii="Calibri" w:hAnsi="Calibri" w:eastAsia="Calibri" w:cs="Calibri"/>
                <w:color w:val="000000"/>
                <w:sz w:val="19"/>
                <w:szCs w:val="19"/>
              </w:rPr>
              <w:t>Information security incident management planning and preparation</w:t>
            </w:r>
          </w:p>
        </w:tc>
        <w:tc>
          <w:tcPr>
            <w:tcW w:w="1100" w:type="dxa"/>
            <w:tcMar>
              <w:top w:w="60" w:type="dxa"/>
              <w:left w:w="80" w:type="dxa"/>
              <w:bottom w:w="60" w:type="dxa"/>
              <w:right w:w="80" w:type="dxa"/>
            </w:tcMar>
            <w:vAlign w:val="center"/>
          </w:tcPr>
          <w:p w14:paraId="67A940B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1D9724C">
            <w:pPr>
              <w:jc w:val="center"/>
            </w:pPr>
            <w:r>
              <w:rPr>
                <w:rFonts w:ascii="Calibri" w:hAnsi="Calibri" w:eastAsia="Calibri" w:cs="Calibri"/>
                <w:color w:val="000000"/>
                <w:sz w:val="19"/>
                <w:szCs w:val="19"/>
              </w:rPr>
              <w:t>Applicable — addresses an organizational/governance gap identified during risk assessment: plan not tested organization-wide.</w:t>
            </w:r>
          </w:p>
        </w:tc>
        <w:tc>
          <w:tcPr>
            <w:tcW w:w="1900" w:type="dxa"/>
            <w:tcMar>
              <w:top w:w="60" w:type="dxa"/>
              <w:left w:w="80" w:type="dxa"/>
              <w:bottom w:w="60" w:type="dxa"/>
              <w:right w:w="80" w:type="dxa"/>
            </w:tcMar>
            <w:vAlign w:val="center"/>
          </w:tcPr>
          <w:p w14:paraId="21FC382C">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7DA8B66">
            <w:pPr>
              <w:jc w:val="center"/>
            </w:pPr>
            <w:r>
              <w:rPr>
                <w:rFonts w:ascii="Calibri" w:hAnsi="Calibri" w:eastAsia="Calibri" w:cs="Calibri"/>
                <w:color w:val="000000"/>
                <w:sz w:val="19"/>
                <w:szCs w:val="19"/>
              </w:rPr>
              <w:t>Information Security Policy / ISMS Governance</w:t>
            </w:r>
          </w:p>
        </w:tc>
      </w:tr>
      <w:tr w14:paraId="13A2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0CC88F4">
            <w:pPr>
              <w:jc w:val="center"/>
            </w:pPr>
            <w:r>
              <w:rPr>
                <w:rFonts w:ascii="Calibri" w:hAnsi="Calibri" w:eastAsia="Calibri" w:cs="Calibri"/>
                <w:color w:val="000000"/>
                <w:sz w:val="19"/>
                <w:szCs w:val="19"/>
              </w:rPr>
              <w:t>5.25</w:t>
            </w:r>
          </w:p>
        </w:tc>
        <w:tc>
          <w:tcPr>
            <w:tcW w:w="2900" w:type="dxa"/>
            <w:tcMar>
              <w:top w:w="60" w:type="dxa"/>
              <w:left w:w="80" w:type="dxa"/>
              <w:bottom w:w="60" w:type="dxa"/>
              <w:right w:w="80" w:type="dxa"/>
            </w:tcMar>
            <w:vAlign w:val="center"/>
          </w:tcPr>
          <w:p w14:paraId="175050AB">
            <w:pPr>
              <w:jc w:val="center"/>
            </w:pPr>
            <w:r>
              <w:rPr>
                <w:rFonts w:ascii="Calibri" w:hAnsi="Calibri" w:eastAsia="Calibri" w:cs="Calibri"/>
                <w:color w:val="000000"/>
                <w:sz w:val="19"/>
                <w:szCs w:val="19"/>
              </w:rPr>
              <w:t>Assessment and decision on information security events</w:t>
            </w:r>
          </w:p>
        </w:tc>
        <w:tc>
          <w:tcPr>
            <w:tcW w:w="1100" w:type="dxa"/>
            <w:tcMar>
              <w:top w:w="60" w:type="dxa"/>
              <w:left w:w="80" w:type="dxa"/>
              <w:bottom w:w="60" w:type="dxa"/>
              <w:right w:w="80" w:type="dxa"/>
            </w:tcMar>
            <w:vAlign w:val="center"/>
          </w:tcPr>
          <w:p w14:paraId="69C697C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3DCDB9C">
            <w:pPr>
              <w:jc w:val="center"/>
            </w:pPr>
            <w:r>
              <w:rPr>
                <w:rFonts w:ascii="Calibri" w:hAnsi="Calibri" w:eastAsia="Calibri" w:cs="Calibri"/>
                <w:color w:val="000000"/>
                <w:sz w:val="19"/>
                <w:szCs w:val="19"/>
              </w:rPr>
              <w:t>Applicable — addresses an organizational/governance gap identified during risk assessment: no formal severity classification matrix.</w:t>
            </w:r>
          </w:p>
        </w:tc>
        <w:tc>
          <w:tcPr>
            <w:tcW w:w="1900" w:type="dxa"/>
            <w:tcMar>
              <w:top w:w="60" w:type="dxa"/>
              <w:left w:w="80" w:type="dxa"/>
              <w:bottom w:w="60" w:type="dxa"/>
              <w:right w:w="80" w:type="dxa"/>
            </w:tcMar>
            <w:vAlign w:val="center"/>
          </w:tcPr>
          <w:p w14:paraId="6C836CD9">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3605202">
            <w:pPr>
              <w:jc w:val="center"/>
            </w:pPr>
            <w:r>
              <w:rPr>
                <w:rFonts w:ascii="Calibri" w:hAnsi="Calibri" w:eastAsia="Calibri" w:cs="Calibri"/>
                <w:color w:val="000000"/>
                <w:sz w:val="19"/>
                <w:szCs w:val="19"/>
              </w:rPr>
              <w:t>Information Security Policy / ISMS Governance</w:t>
            </w:r>
          </w:p>
        </w:tc>
      </w:tr>
      <w:tr w14:paraId="628E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576227A">
            <w:pPr>
              <w:jc w:val="center"/>
            </w:pPr>
            <w:r>
              <w:rPr>
                <w:rFonts w:ascii="Calibri" w:hAnsi="Calibri" w:eastAsia="Calibri" w:cs="Calibri"/>
                <w:color w:val="000000"/>
                <w:sz w:val="19"/>
                <w:szCs w:val="19"/>
              </w:rPr>
              <w:t>5.26</w:t>
            </w:r>
          </w:p>
        </w:tc>
        <w:tc>
          <w:tcPr>
            <w:tcW w:w="2900" w:type="dxa"/>
            <w:tcMar>
              <w:top w:w="60" w:type="dxa"/>
              <w:left w:w="80" w:type="dxa"/>
              <w:bottom w:w="60" w:type="dxa"/>
              <w:right w:w="80" w:type="dxa"/>
            </w:tcMar>
            <w:vAlign w:val="center"/>
          </w:tcPr>
          <w:p w14:paraId="339EC021">
            <w:pPr>
              <w:jc w:val="center"/>
            </w:pPr>
            <w:r>
              <w:rPr>
                <w:rFonts w:ascii="Calibri" w:hAnsi="Calibri" w:eastAsia="Calibri" w:cs="Calibri"/>
                <w:color w:val="000000"/>
                <w:sz w:val="19"/>
                <w:szCs w:val="19"/>
              </w:rPr>
              <w:t>Response to information security incidents</w:t>
            </w:r>
          </w:p>
        </w:tc>
        <w:tc>
          <w:tcPr>
            <w:tcW w:w="1100" w:type="dxa"/>
            <w:tcMar>
              <w:top w:w="60" w:type="dxa"/>
              <w:left w:w="80" w:type="dxa"/>
              <w:bottom w:w="60" w:type="dxa"/>
              <w:right w:w="80" w:type="dxa"/>
            </w:tcMar>
            <w:vAlign w:val="center"/>
          </w:tcPr>
          <w:p w14:paraId="263FE7BA">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BD741FB">
            <w:pPr>
              <w:jc w:val="center"/>
            </w:pPr>
            <w:r>
              <w:rPr>
                <w:rFonts w:ascii="Calibri" w:hAnsi="Calibri" w:eastAsia="Calibri" w:cs="Calibri"/>
                <w:color w:val="000000"/>
                <w:sz w:val="19"/>
                <w:szCs w:val="19"/>
              </w:rPr>
              <w:t>Applicable — addresses an organizational/governance gap identified during risk assessment: no documented playbooks per incident type.</w:t>
            </w:r>
          </w:p>
        </w:tc>
        <w:tc>
          <w:tcPr>
            <w:tcW w:w="1900" w:type="dxa"/>
            <w:tcMar>
              <w:top w:w="60" w:type="dxa"/>
              <w:left w:w="80" w:type="dxa"/>
              <w:bottom w:w="60" w:type="dxa"/>
              <w:right w:w="80" w:type="dxa"/>
            </w:tcMar>
            <w:vAlign w:val="center"/>
          </w:tcPr>
          <w:p w14:paraId="01CA053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40D2917">
            <w:pPr>
              <w:jc w:val="center"/>
            </w:pPr>
            <w:r>
              <w:rPr>
                <w:rFonts w:ascii="Calibri" w:hAnsi="Calibri" w:eastAsia="Calibri" w:cs="Calibri"/>
                <w:color w:val="000000"/>
                <w:sz w:val="19"/>
                <w:szCs w:val="19"/>
              </w:rPr>
              <w:t>Information Security Policy / ISMS Governance</w:t>
            </w:r>
          </w:p>
        </w:tc>
      </w:tr>
      <w:tr w14:paraId="3F08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D5D1C0B">
            <w:pPr>
              <w:jc w:val="center"/>
            </w:pPr>
            <w:r>
              <w:rPr>
                <w:rFonts w:ascii="Calibri" w:hAnsi="Calibri" w:eastAsia="Calibri" w:cs="Calibri"/>
                <w:color w:val="000000"/>
                <w:sz w:val="19"/>
                <w:szCs w:val="19"/>
              </w:rPr>
              <w:t>5.27</w:t>
            </w:r>
          </w:p>
        </w:tc>
        <w:tc>
          <w:tcPr>
            <w:tcW w:w="2900" w:type="dxa"/>
            <w:tcMar>
              <w:top w:w="60" w:type="dxa"/>
              <w:left w:w="80" w:type="dxa"/>
              <w:bottom w:w="60" w:type="dxa"/>
              <w:right w:w="80" w:type="dxa"/>
            </w:tcMar>
            <w:vAlign w:val="center"/>
          </w:tcPr>
          <w:p w14:paraId="1A41B438">
            <w:pPr>
              <w:jc w:val="center"/>
            </w:pPr>
            <w:r>
              <w:rPr>
                <w:rFonts w:ascii="Calibri" w:hAnsi="Calibri" w:eastAsia="Calibri" w:cs="Calibri"/>
                <w:color w:val="000000"/>
                <w:sz w:val="19"/>
                <w:szCs w:val="19"/>
              </w:rPr>
              <w:t>Learning from information security incidents</w:t>
            </w:r>
          </w:p>
        </w:tc>
        <w:tc>
          <w:tcPr>
            <w:tcW w:w="1100" w:type="dxa"/>
            <w:tcMar>
              <w:top w:w="60" w:type="dxa"/>
              <w:left w:w="80" w:type="dxa"/>
              <w:bottom w:w="60" w:type="dxa"/>
              <w:right w:w="80" w:type="dxa"/>
            </w:tcMar>
            <w:vAlign w:val="center"/>
          </w:tcPr>
          <w:p w14:paraId="0C703993">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6488635">
            <w:pPr>
              <w:jc w:val="center"/>
            </w:pPr>
            <w:r>
              <w:rPr>
                <w:rFonts w:ascii="Calibri" w:hAnsi="Calibri" w:eastAsia="Calibri" w:cs="Calibri"/>
                <w:color w:val="000000"/>
                <w:sz w:val="19"/>
                <w:szCs w:val="19"/>
              </w:rPr>
              <w:t>Applicable — addresses an organizational/governance gap identified during risk assessment: no structured post-incident review process.</w:t>
            </w:r>
          </w:p>
        </w:tc>
        <w:tc>
          <w:tcPr>
            <w:tcW w:w="1900" w:type="dxa"/>
            <w:tcMar>
              <w:top w:w="60" w:type="dxa"/>
              <w:left w:w="80" w:type="dxa"/>
              <w:bottom w:w="60" w:type="dxa"/>
              <w:right w:w="80" w:type="dxa"/>
            </w:tcMar>
            <w:vAlign w:val="center"/>
          </w:tcPr>
          <w:p w14:paraId="4AF2AD3B">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136FD37">
            <w:pPr>
              <w:jc w:val="center"/>
            </w:pPr>
            <w:r>
              <w:rPr>
                <w:rFonts w:ascii="Calibri" w:hAnsi="Calibri" w:eastAsia="Calibri" w:cs="Calibri"/>
                <w:color w:val="000000"/>
                <w:sz w:val="19"/>
                <w:szCs w:val="19"/>
              </w:rPr>
              <w:t>Information Security Policy / ISMS Governance</w:t>
            </w:r>
          </w:p>
        </w:tc>
      </w:tr>
      <w:tr w14:paraId="657C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065C82C">
            <w:pPr>
              <w:jc w:val="center"/>
            </w:pPr>
            <w:r>
              <w:rPr>
                <w:rFonts w:ascii="Calibri" w:hAnsi="Calibri" w:eastAsia="Calibri" w:cs="Calibri"/>
                <w:color w:val="000000"/>
                <w:sz w:val="19"/>
                <w:szCs w:val="19"/>
              </w:rPr>
              <w:t>5.28</w:t>
            </w:r>
          </w:p>
        </w:tc>
        <w:tc>
          <w:tcPr>
            <w:tcW w:w="2900" w:type="dxa"/>
            <w:tcMar>
              <w:top w:w="60" w:type="dxa"/>
              <w:left w:w="80" w:type="dxa"/>
              <w:bottom w:w="60" w:type="dxa"/>
              <w:right w:w="80" w:type="dxa"/>
            </w:tcMar>
            <w:vAlign w:val="center"/>
          </w:tcPr>
          <w:p w14:paraId="7810B839">
            <w:pPr>
              <w:jc w:val="center"/>
            </w:pPr>
            <w:r>
              <w:rPr>
                <w:rFonts w:ascii="Calibri" w:hAnsi="Calibri" w:eastAsia="Calibri" w:cs="Calibri"/>
                <w:color w:val="000000"/>
                <w:sz w:val="19"/>
                <w:szCs w:val="19"/>
              </w:rPr>
              <w:t>Collection of evidence</w:t>
            </w:r>
          </w:p>
        </w:tc>
        <w:tc>
          <w:tcPr>
            <w:tcW w:w="1100" w:type="dxa"/>
            <w:tcMar>
              <w:top w:w="60" w:type="dxa"/>
              <w:left w:w="80" w:type="dxa"/>
              <w:bottom w:w="60" w:type="dxa"/>
              <w:right w:w="80" w:type="dxa"/>
            </w:tcMar>
            <w:vAlign w:val="center"/>
          </w:tcPr>
          <w:p w14:paraId="1B32477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88748B0">
            <w:pPr>
              <w:jc w:val="center"/>
            </w:pPr>
            <w:r>
              <w:rPr>
                <w:rFonts w:ascii="Calibri" w:hAnsi="Calibri" w:eastAsia="Calibri" w:cs="Calibri"/>
                <w:color w:val="000000"/>
                <w:sz w:val="19"/>
                <w:szCs w:val="19"/>
              </w:rPr>
              <w:t>Applicable — addresses an organizational/governance gap identified during risk assessment: no formal forensic evidence handling procedure.</w:t>
            </w:r>
          </w:p>
        </w:tc>
        <w:tc>
          <w:tcPr>
            <w:tcW w:w="1900" w:type="dxa"/>
            <w:tcMar>
              <w:top w:w="60" w:type="dxa"/>
              <w:left w:w="80" w:type="dxa"/>
              <w:bottom w:w="60" w:type="dxa"/>
              <w:right w:w="80" w:type="dxa"/>
            </w:tcMar>
            <w:vAlign w:val="center"/>
          </w:tcPr>
          <w:p w14:paraId="33774027">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B2F50CB">
            <w:pPr>
              <w:jc w:val="center"/>
            </w:pPr>
            <w:r>
              <w:rPr>
                <w:rFonts w:ascii="Calibri" w:hAnsi="Calibri" w:eastAsia="Calibri" w:cs="Calibri"/>
                <w:color w:val="000000"/>
                <w:sz w:val="19"/>
                <w:szCs w:val="19"/>
              </w:rPr>
              <w:t>Information Security Policy / ISMS Governance</w:t>
            </w:r>
          </w:p>
        </w:tc>
      </w:tr>
      <w:tr w14:paraId="0A58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148BBDD">
            <w:pPr>
              <w:jc w:val="center"/>
            </w:pPr>
            <w:r>
              <w:rPr>
                <w:rFonts w:ascii="Calibri" w:hAnsi="Calibri" w:eastAsia="Calibri" w:cs="Calibri"/>
                <w:color w:val="000000"/>
                <w:sz w:val="19"/>
                <w:szCs w:val="19"/>
              </w:rPr>
              <w:t>5.29</w:t>
            </w:r>
          </w:p>
        </w:tc>
        <w:tc>
          <w:tcPr>
            <w:tcW w:w="2900" w:type="dxa"/>
            <w:tcMar>
              <w:top w:w="60" w:type="dxa"/>
              <w:left w:w="80" w:type="dxa"/>
              <w:bottom w:w="60" w:type="dxa"/>
              <w:right w:w="80" w:type="dxa"/>
            </w:tcMar>
            <w:vAlign w:val="center"/>
          </w:tcPr>
          <w:p w14:paraId="0B64A445">
            <w:pPr>
              <w:jc w:val="center"/>
            </w:pPr>
            <w:r>
              <w:rPr>
                <w:rFonts w:ascii="Calibri" w:hAnsi="Calibri" w:eastAsia="Calibri" w:cs="Calibri"/>
                <w:color w:val="000000"/>
                <w:sz w:val="19"/>
                <w:szCs w:val="19"/>
              </w:rPr>
              <w:t>Information security during disruption</w:t>
            </w:r>
          </w:p>
        </w:tc>
        <w:tc>
          <w:tcPr>
            <w:tcW w:w="1100" w:type="dxa"/>
            <w:tcMar>
              <w:top w:w="60" w:type="dxa"/>
              <w:left w:w="80" w:type="dxa"/>
              <w:bottom w:w="60" w:type="dxa"/>
              <w:right w:w="80" w:type="dxa"/>
            </w:tcMar>
            <w:vAlign w:val="center"/>
          </w:tcPr>
          <w:p w14:paraId="5895E134">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0071F10">
            <w:pPr>
              <w:jc w:val="center"/>
            </w:pPr>
            <w:r>
              <w:rPr>
                <w:rFonts w:ascii="Calibri" w:hAnsi="Calibri" w:eastAsia="Calibri" w:cs="Calibri"/>
                <w:color w:val="000000"/>
                <w:sz w:val="19"/>
                <w:szCs w:val="19"/>
              </w:rPr>
              <w:t>Applicable — addresses an organizational/governance gap identified during risk assessment: security controls not validated during DR exercises.</w:t>
            </w:r>
          </w:p>
        </w:tc>
        <w:tc>
          <w:tcPr>
            <w:tcW w:w="1900" w:type="dxa"/>
            <w:tcMar>
              <w:top w:w="60" w:type="dxa"/>
              <w:left w:w="80" w:type="dxa"/>
              <w:bottom w:w="60" w:type="dxa"/>
              <w:right w:w="80" w:type="dxa"/>
            </w:tcMar>
            <w:vAlign w:val="center"/>
          </w:tcPr>
          <w:p w14:paraId="49B968E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C79EF8F">
            <w:pPr>
              <w:jc w:val="center"/>
            </w:pPr>
            <w:r>
              <w:rPr>
                <w:rFonts w:ascii="Calibri" w:hAnsi="Calibri" w:eastAsia="Calibri" w:cs="Calibri"/>
                <w:color w:val="000000"/>
                <w:sz w:val="19"/>
                <w:szCs w:val="19"/>
              </w:rPr>
              <w:t>Information Security Policy / ISMS Governance</w:t>
            </w:r>
          </w:p>
        </w:tc>
      </w:tr>
      <w:tr w14:paraId="7E47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5308FB5">
            <w:pPr>
              <w:jc w:val="center"/>
            </w:pPr>
            <w:r>
              <w:rPr>
                <w:rFonts w:ascii="Calibri" w:hAnsi="Calibri" w:eastAsia="Calibri" w:cs="Calibri"/>
                <w:color w:val="000000"/>
                <w:sz w:val="19"/>
                <w:szCs w:val="19"/>
              </w:rPr>
              <w:t>5.30</w:t>
            </w:r>
          </w:p>
        </w:tc>
        <w:tc>
          <w:tcPr>
            <w:tcW w:w="2900" w:type="dxa"/>
            <w:tcMar>
              <w:top w:w="60" w:type="dxa"/>
              <w:left w:w="80" w:type="dxa"/>
              <w:bottom w:w="60" w:type="dxa"/>
              <w:right w:w="80" w:type="dxa"/>
            </w:tcMar>
            <w:vAlign w:val="center"/>
          </w:tcPr>
          <w:p w14:paraId="4C3C0EBE">
            <w:pPr>
              <w:jc w:val="center"/>
            </w:pPr>
            <w:r>
              <w:rPr>
                <w:rFonts w:ascii="Calibri" w:hAnsi="Calibri" w:eastAsia="Calibri" w:cs="Calibri"/>
                <w:color w:val="000000"/>
                <w:sz w:val="19"/>
                <w:szCs w:val="19"/>
              </w:rPr>
              <w:t>ICT readiness for business continuity</w:t>
            </w:r>
          </w:p>
        </w:tc>
        <w:tc>
          <w:tcPr>
            <w:tcW w:w="1100" w:type="dxa"/>
            <w:tcMar>
              <w:top w:w="60" w:type="dxa"/>
              <w:left w:w="80" w:type="dxa"/>
              <w:bottom w:w="60" w:type="dxa"/>
              <w:right w:w="80" w:type="dxa"/>
            </w:tcMar>
            <w:vAlign w:val="center"/>
          </w:tcPr>
          <w:p w14:paraId="506FD5DE">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63E2BE7">
            <w:pPr>
              <w:jc w:val="center"/>
            </w:pPr>
            <w:r>
              <w:rPr>
                <w:rFonts w:ascii="Calibri" w:hAnsi="Calibri" w:eastAsia="Calibri" w:cs="Calibri"/>
                <w:color w:val="000000"/>
                <w:sz w:val="19"/>
                <w:szCs w:val="19"/>
              </w:rPr>
              <w:t>Applicable — addresses an organizational/governance gap identified during risk assessment: no formal, scheduled BCP testing programme.</w:t>
            </w:r>
          </w:p>
        </w:tc>
        <w:tc>
          <w:tcPr>
            <w:tcW w:w="1900" w:type="dxa"/>
            <w:tcMar>
              <w:top w:w="60" w:type="dxa"/>
              <w:left w:w="80" w:type="dxa"/>
              <w:bottom w:w="60" w:type="dxa"/>
              <w:right w:w="80" w:type="dxa"/>
            </w:tcMar>
            <w:vAlign w:val="center"/>
          </w:tcPr>
          <w:p w14:paraId="492C166C">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CC40B31">
            <w:pPr>
              <w:jc w:val="center"/>
            </w:pPr>
            <w:r>
              <w:rPr>
                <w:rFonts w:ascii="Calibri" w:hAnsi="Calibri" w:eastAsia="Calibri" w:cs="Calibri"/>
                <w:color w:val="000000"/>
                <w:sz w:val="19"/>
                <w:szCs w:val="19"/>
              </w:rPr>
              <w:t>Information Security Policy / ISMS Governance</w:t>
            </w:r>
          </w:p>
        </w:tc>
      </w:tr>
      <w:tr w14:paraId="5E78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F91A635">
            <w:pPr>
              <w:jc w:val="center"/>
            </w:pPr>
            <w:r>
              <w:rPr>
                <w:rFonts w:ascii="Calibri" w:hAnsi="Calibri" w:eastAsia="Calibri" w:cs="Calibri"/>
                <w:color w:val="000000"/>
                <w:sz w:val="19"/>
                <w:szCs w:val="19"/>
              </w:rPr>
              <w:t>5.31</w:t>
            </w:r>
          </w:p>
        </w:tc>
        <w:tc>
          <w:tcPr>
            <w:tcW w:w="2900" w:type="dxa"/>
            <w:tcMar>
              <w:top w:w="60" w:type="dxa"/>
              <w:left w:w="80" w:type="dxa"/>
              <w:bottom w:w="60" w:type="dxa"/>
              <w:right w:w="80" w:type="dxa"/>
            </w:tcMar>
            <w:vAlign w:val="center"/>
          </w:tcPr>
          <w:p w14:paraId="2158A229">
            <w:pPr>
              <w:jc w:val="center"/>
            </w:pPr>
            <w:r>
              <w:rPr>
                <w:rFonts w:ascii="Calibri" w:hAnsi="Calibri" w:eastAsia="Calibri" w:cs="Calibri"/>
                <w:color w:val="000000"/>
                <w:sz w:val="19"/>
                <w:szCs w:val="19"/>
              </w:rPr>
              <w:t>Legal, statutory, regulatory and contractual requirements</w:t>
            </w:r>
          </w:p>
        </w:tc>
        <w:tc>
          <w:tcPr>
            <w:tcW w:w="1100" w:type="dxa"/>
            <w:tcMar>
              <w:top w:w="60" w:type="dxa"/>
              <w:left w:w="80" w:type="dxa"/>
              <w:bottom w:w="60" w:type="dxa"/>
              <w:right w:w="80" w:type="dxa"/>
            </w:tcMar>
            <w:vAlign w:val="center"/>
          </w:tcPr>
          <w:p w14:paraId="27967CE8">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150A336">
            <w:pPr>
              <w:jc w:val="center"/>
            </w:pPr>
            <w:r>
              <w:rPr>
                <w:rFonts w:ascii="Calibri" w:hAnsi="Calibri" w:eastAsia="Calibri" w:cs="Calibri"/>
                <w:color w:val="000000"/>
                <w:sz w:val="19"/>
                <w:szCs w:val="19"/>
              </w:rPr>
              <w:t>Applicable — addresses an organizational/governance gap identified during risk assessment: no consolidated legal register for information security.</w:t>
            </w:r>
          </w:p>
        </w:tc>
        <w:tc>
          <w:tcPr>
            <w:tcW w:w="1900" w:type="dxa"/>
            <w:tcMar>
              <w:top w:w="60" w:type="dxa"/>
              <w:left w:w="80" w:type="dxa"/>
              <w:bottom w:w="60" w:type="dxa"/>
              <w:right w:w="80" w:type="dxa"/>
            </w:tcMar>
            <w:vAlign w:val="center"/>
          </w:tcPr>
          <w:p w14:paraId="04F5C355">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4318E4EB">
            <w:pPr>
              <w:jc w:val="center"/>
            </w:pPr>
            <w:r>
              <w:rPr>
                <w:rFonts w:ascii="Calibri" w:hAnsi="Calibri" w:eastAsia="Calibri" w:cs="Calibri"/>
                <w:color w:val="000000"/>
                <w:sz w:val="19"/>
                <w:szCs w:val="19"/>
              </w:rPr>
              <w:t>Information Security Policy / ISMS Governance</w:t>
            </w:r>
          </w:p>
        </w:tc>
      </w:tr>
      <w:tr w14:paraId="5EE89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3BDFAEC">
            <w:pPr>
              <w:jc w:val="center"/>
            </w:pPr>
            <w:r>
              <w:rPr>
                <w:rFonts w:ascii="Calibri" w:hAnsi="Calibri" w:eastAsia="Calibri" w:cs="Calibri"/>
                <w:color w:val="000000"/>
                <w:sz w:val="19"/>
                <w:szCs w:val="19"/>
              </w:rPr>
              <w:t>5.32</w:t>
            </w:r>
          </w:p>
        </w:tc>
        <w:tc>
          <w:tcPr>
            <w:tcW w:w="2900" w:type="dxa"/>
            <w:tcMar>
              <w:top w:w="60" w:type="dxa"/>
              <w:left w:w="80" w:type="dxa"/>
              <w:bottom w:w="60" w:type="dxa"/>
              <w:right w:w="80" w:type="dxa"/>
            </w:tcMar>
            <w:vAlign w:val="center"/>
          </w:tcPr>
          <w:p w14:paraId="0F8997D5">
            <w:pPr>
              <w:jc w:val="center"/>
            </w:pPr>
            <w:r>
              <w:rPr>
                <w:rFonts w:ascii="Calibri" w:hAnsi="Calibri" w:eastAsia="Calibri" w:cs="Calibri"/>
                <w:color w:val="000000"/>
                <w:sz w:val="19"/>
                <w:szCs w:val="19"/>
              </w:rPr>
              <w:t>Intellectual property rights</w:t>
            </w:r>
          </w:p>
        </w:tc>
        <w:tc>
          <w:tcPr>
            <w:tcW w:w="1100" w:type="dxa"/>
            <w:tcMar>
              <w:top w:w="60" w:type="dxa"/>
              <w:left w:w="80" w:type="dxa"/>
              <w:bottom w:w="60" w:type="dxa"/>
              <w:right w:w="80" w:type="dxa"/>
            </w:tcMar>
            <w:vAlign w:val="center"/>
          </w:tcPr>
          <w:p w14:paraId="270D0260">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E52A5A9">
            <w:pPr>
              <w:jc w:val="center"/>
            </w:pPr>
            <w:r>
              <w:rPr>
                <w:rFonts w:ascii="Calibri" w:hAnsi="Calibri" w:eastAsia="Calibri" w:cs="Calibri"/>
                <w:color w:val="000000"/>
                <w:sz w:val="19"/>
                <w:szCs w:val="19"/>
              </w:rPr>
              <w:t>Applicable — addresses an organizational/governance gap identified during risk assessment: no formal IP compliance register.</w:t>
            </w:r>
          </w:p>
        </w:tc>
        <w:tc>
          <w:tcPr>
            <w:tcW w:w="1900" w:type="dxa"/>
            <w:tcMar>
              <w:top w:w="60" w:type="dxa"/>
              <w:left w:w="80" w:type="dxa"/>
              <w:bottom w:w="60" w:type="dxa"/>
              <w:right w:w="80" w:type="dxa"/>
            </w:tcMar>
            <w:vAlign w:val="center"/>
          </w:tcPr>
          <w:p w14:paraId="01FF2CC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D36026E">
            <w:pPr>
              <w:jc w:val="center"/>
            </w:pPr>
            <w:r>
              <w:rPr>
                <w:rFonts w:ascii="Calibri" w:hAnsi="Calibri" w:eastAsia="Calibri" w:cs="Calibri"/>
                <w:color w:val="000000"/>
                <w:sz w:val="19"/>
                <w:szCs w:val="19"/>
              </w:rPr>
              <w:t>Information Security Policy / ISMS Governance</w:t>
            </w:r>
          </w:p>
        </w:tc>
      </w:tr>
      <w:tr w14:paraId="0E3A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F0484BC">
            <w:pPr>
              <w:jc w:val="center"/>
            </w:pPr>
            <w:r>
              <w:rPr>
                <w:rFonts w:ascii="Calibri" w:hAnsi="Calibri" w:eastAsia="Calibri" w:cs="Calibri"/>
                <w:color w:val="000000"/>
                <w:sz w:val="19"/>
                <w:szCs w:val="19"/>
              </w:rPr>
              <w:t>5.33</w:t>
            </w:r>
          </w:p>
        </w:tc>
        <w:tc>
          <w:tcPr>
            <w:tcW w:w="2900" w:type="dxa"/>
            <w:tcMar>
              <w:top w:w="60" w:type="dxa"/>
              <w:left w:w="80" w:type="dxa"/>
              <w:bottom w:w="60" w:type="dxa"/>
              <w:right w:w="80" w:type="dxa"/>
            </w:tcMar>
            <w:vAlign w:val="center"/>
          </w:tcPr>
          <w:p w14:paraId="051CAC3C">
            <w:pPr>
              <w:jc w:val="center"/>
            </w:pPr>
            <w:r>
              <w:rPr>
                <w:rFonts w:ascii="Calibri" w:hAnsi="Calibri" w:eastAsia="Calibri" w:cs="Calibri"/>
                <w:color w:val="000000"/>
                <w:sz w:val="19"/>
                <w:szCs w:val="19"/>
              </w:rPr>
              <w:t>Protection of records</w:t>
            </w:r>
          </w:p>
        </w:tc>
        <w:tc>
          <w:tcPr>
            <w:tcW w:w="1100" w:type="dxa"/>
            <w:tcMar>
              <w:top w:w="60" w:type="dxa"/>
              <w:left w:w="80" w:type="dxa"/>
              <w:bottom w:w="60" w:type="dxa"/>
              <w:right w:w="80" w:type="dxa"/>
            </w:tcMar>
            <w:vAlign w:val="center"/>
          </w:tcPr>
          <w:p w14:paraId="3661061E">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93B5FFC">
            <w:pPr>
              <w:jc w:val="center"/>
            </w:pPr>
            <w:r>
              <w:rPr>
                <w:rFonts w:ascii="Calibri" w:hAnsi="Calibri" w:eastAsia="Calibri" w:cs="Calibri"/>
                <w:color w:val="000000"/>
                <w:sz w:val="19"/>
                <w:szCs w:val="19"/>
              </w:rPr>
              <w:t>Applicable — addresses an organizational/governance gap identified during risk assessment: records retention policy not formally defined.</w:t>
            </w:r>
          </w:p>
        </w:tc>
        <w:tc>
          <w:tcPr>
            <w:tcW w:w="1900" w:type="dxa"/>
            <w:tcMar>
              <w:top w:w="60" w:type="dxa"/>
              <w:left w:w="80" w:type="dxa"/>
              <w:bottom w:w="60" w:type="dxa"/>
              <w:right w:w="80" w:type="dxa"/>
            </w:tcMar>
            <w:vAlign w:val="center"/>
          </w:tcPr>
          <w:p w14:paraId="6ED7A92E">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B68A396">
            <w:pPr>
              <w:jc w:val="center"/>
            </w:pPr>
            <w:r>
              <w:rPr>
                <w:rFonts w:ascii="Calibri" w:hAnsi="Calibri" w:eastAsia="Calibri" w:cs="Calibri"/>
                <w:color w:val="000000"/>
                <w:sz w:val="19"/>
                <w:szCs w:val="19"/>
              </w:rPr>
              <w:t>Information Security Policy / ISMS Governance</w:t>
            </w:r>
          </w:p>
        </w:tc>
      </w:tr>
      <w:tr w14:paraId="65E5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835ECD6">
            <w:pPr>
              <w:jc w:val="center"/>
            </w:pPr>
            <w:r>
              <w:rPr>
                <w:rFonts w:ascii="Calibri" w:hAnsi="Calibri" w:eastAsia="Calibri" w:cs="Calibri"/>
                <w:color w:val="000000"/>
                <w:sz w:val="19"/>
                <w:szCs w:val="19"/>
              </w:rPr>
              <w:t>5.34</w:t>
            </w:r>
          </w:p>
        </w:tc>
        <w:tc>
          <w:tcPr>
            <w:tcW w:w="2900" w:type="dxa"/>
            <w:tcMar>
              <w:top w:w="60" w:type="dxa"/>
              <w:left w:w="80" w:type="dxa"/>
              <w:bottom w:w="60" w:type="dxa"/>
              <w:right w:w="80" w:type="dxa"/>
            </w:tcMar>
            <w:vAlign w:val="center"/>
          </w:tcPr>
          <w:p w14:paraId="60F05665">
            <w:pPr>
              <w:jc w:val="center"/>
            </w:pPr>
            <w:r>
              <w:rPr>
                <w:rFonts w:ascii="Calibri" w:hAnsi="Calibri" w:eastAsia="Calibri" w:cs="Calibri"/>
                <w:color w:val="000000"/>
                <w:sz w:val="19"/>
                <w:szCs w:val="19"/>
              </w:rPr>
              <w:t>Privacy and protection of PII</w:t>
            </w:r>
          </w:p>
        </w:tc>
        <w:tc>
          <w:tcPr>
            <w:tcW w:w="1100" w:type="dxa"/>
            <w:tcMar>
              <w:top w:w="60" w:type="dxa"/>
              <w:left w:w="80" w:type="dxa"/>
              <w:bottom w:w="60" w:type="dxa"/>
              <w:right w:w="80" w:type="dxa"/>
            </w:tcMar>
            <w:vAlign w:val="center"/>
          </w:tcPr>
          <w:p w14:paraId="1249CFE0">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B0ABD6B">
            <w:pPr>
              <w:jc w:val="center"/>
            </w:pPr>
            <w:r>
              <w:rPr>
                <w:rFonts w:ascii="Calibri" w:hAnsi="Calibri" w:eastAsia="Calibri" w:cs="Calibri"/>
                <w:color w:val="000000"/>
                <w:sz w:val="19"/>
                <w:szCs w:val="19"/>
              </w:rPr>
              <w:t>Applicable — addresses an organizational/governance gap identified during risk assessment: no formal privacy / data protection policy.</w:t>
            </w:r>
          </w:p>
        </w:tc>
        <w:tc>
          <w:tcPr>
            <w:tcW w:w="1900" w:type="dxa"/>
            <w:tcMar>
              <w:top w:w="60" w:type="dxa"/>
              <w:left w:w="80" w:type="dxa"/>
              <w:bottom w:w="60" w:type="dxa"/>
              <w:right w:w="80" w:type="dxa"/>
            </w:tcMar>
            <w:vAlign w:val="center"/>
          </w:tcPr>
          <w:p w14:paraId="52A2A669">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1652F0D">
            <w:pPr>
              <w:jc w:val="center"/>
            </w:pPr>
            <w:r>
              <w:rPr>
                <w:rFonts w:ascii="Calibri" w:hAnsi="Calibri" w:eastAsia="Calibri" w:cs="Calibri"/>
                <w:color w:val="000000"/>
                <w:sz w:val="19"/>
                <w:szCs w:val="19"/>
              </w:rPr>
              <w:t>Information Security Policy / ISMS Governance</w:t>
            </w:r>
          </w:p>
        </w:tc>
      </w:tr>
      <w:tr w14:paraId="13AE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B71636A">
            <w:pPr>
              <w:jc w:val="center"/>
            </w:pPr>
            <w:r>
              <w:rPr>
                <w:rFonts w:ascii="Calibri" w:hAnsi="Calibri" w:eastAsia="Calibri" w:cs="Calibri"/>
                <w:color w:val="000000"/>
                <w:sz w:val="19"/>
                <w:szCs w:val="19"/>
              </w:rPr>
              <w:t>5.35</w:t>
            </w:r>
          </w:p>
        </w:tc>
        <w:tc>
          <w:tcPr>
            <w:tcW w:w="2900" w:type="dxa"/>
            <w:tcMar>
              <w:top w:w="60" w:type="dxa"/>
              <w:left w:w="80" w:type="dxa"/>
              <w:bottom w:w="60" w:type="dxa"/>
              <w:right w:w="80" w:type="dxa"/>
            </w:tcMar>
            <w:vAlign w:val="center"/>
          </w:tcPr>
          <w:p w14:paraId="50C16766">
            <w:pPr>
              <w:jc w:val="center"/>
            </w:pPr>
            <w:r>
              <w:rPr>
                <w:rFonts w:ascii="Calibri" w:hAnsi="Calibri" w:eastAsia="Calibri" w:cs="Calibri"/>
                <w:color w:val="000000"/>
                <w:sz w:val="19"/>
                <w:szCs w:val="19"/>
              </w:rPr>
              <w:t>Independent review of information security</w:t>
            </w:r>
          </w:p>
        </w:tc>
        <w:tc>
          <w:tcPr>
            <w:tcW w:w="1100" w:type="dxa"/>
            <w:tcMar>
              <w:top w:w="60" w:type="dxa"/>
              <w:left w:w="80" w:type="dxa"/>
              <w:bottom w:w="60" w:type="dxa"/>
              <w:right w:w="80" w:type="dxa"/>
            </w:tcMar>
            <w:vAlign w:val="center"/>
          </w:tcPr>
          <w:p w14:paraId="030EEC39">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AD66F4D">
            <w:pPr>
              <w:jc w:val="center"/>
            </w:pPr>
            <w:r>
              <w:rPr>
                <w:rFonts w:ascii="Calibri" w:hAnsi="Calibri" w:eastAsia="Calibri" w:cs="Calibri"/>
                <w:color w:val="000000"/>
                <w:sz w:val="19"/>
                <w:szCs w:val="19"/>
              </w:rPr>
              <w:t>Applicable — addresses an organizational/governance gap identified during risk assessment: no dedicated ISMS internal audit programme.</w:t>
            </w:r>
          </w:p>
        </w:tc>
        <w:tc>
          <w:tcPr>
            <w:tcW w:w="1900" w:type="dxa"/>
            <w:tcMar>
              <w:top w:w="60" w:type="dxa"/>
              <w:left w:w="80" w:type="dxa"/>
              <w:bottom w:w="60" w:type="dxa"/>
              <w:right w:w="80" w:type="dxa"/>
            </w:tcMar>
            <w:vAlign w:val="center"/>
          </w:tcPr>
          <w:p w14:paraId="490FE72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1FBFA26">
            <w:pPr>
              <w:jc w:val="center"/>
            </w:pPr>
            <w:r>
              <w:rPr>
                <w:rFonts w:ascii="Calibri" w:hAnsi="Calibri" w:eastAsia="Calibri" w:cs="Calibri"/>
                <w:color w:val="000000"/>
                <w:sz w:val="19"/>
                <w:szCs w:val="19"/>
              </w:rPr>
              <w:t>Information Security Policy / ISMS Governance</w:t>
            </w:r>
          </w:p>
        </w:tc>
      </w:tr>
      <w:tr w14:paraId="48C7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51722FB">
            <w:pPr>
              <w:jc w:val="center"/>
            </w:pPr>
            <w:r>
              <w:rPr>
                <w:rFonts w:ascii="Calibri" w:hAnsi="Calibri" w:eastAsia="Calibri" w:cs="Calibri"/>
                <w:color w:val="000000"/>
                <w:sz w:val="19"/>
                <w:szCs w:val="19"/>
              </w:rPr>
              <w:t>5.36</w:t>
            </w:r>
          </w:p>
        </w:tc>
        <w:tc>
          <w:tcPr>
            <w:tcW w:w="2900" w:type="dxa"/>
            <w:tcMar>
              <w:top w:w="60" w:type="dxa"/>
              <w:left w:w="80" w:type="dxa"/>
              <w:bottom w:w="60" w:type="dxa"/>
              <w:right w:w="80" w:type="dxa"/>
            </w:tcMar>
            <w:vAlign w:val="center"/>
          </w:tcPr>
          <w:p w14:paraId="13262C88">
            <w:pPr>
              <w:jc w:val="center"/>
            </w:pPr>
            <w:r>
              <w:rPr>
                <w:rFonts w:ascii="Calibri" w:hAnsi="Calibri" w:eastAsia="Calibri" w:cs="Calibri"/>
                <w:color w:val="000000"/>
                <w:sz w:val="19"/>
                <w:szCs w:val="19"/>
              </w:rPr>
              <w:t>Compliance with policies, rules and standards for information security</w:t>
            </w:r>
          </w:p>
        </w:tc>
        <w:tc>
          <w:tcPr>
            <w:tcW w:w="1100" w:type="dxa"/>
            <w:tcMar>
              <w:top w:w="60" w:type="dxa"/>
              <w:left w:w="80" w:type="dxa"/>
              <w:bottom w:w="60" w:type="dxa"/>
              <w:right w:w="80" w:type="dxa"/>
            </w:tcMar>
            <w:vAlign w:val="center"/>
          </w:tcPr>
          <w:p w14:paraId="1FCD9BCD">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330C7F9">
            <w:pPr>
              <w:jc w:val="center"/>
            </w:pPr>
            <w:r>
              <w:rPr>
                <w:rFonts w:ascii="Calibri" w:hAnsi="Calibri" w:eastAsia="Calibri" w:cs="Calibri"/>
                <w:color w:val="000000"/>
                <w:sz w:val="19"/>
                <w:szCs w:val="19"/>
              </w:rPr>
              <w:t>Applicable — addresses an organizational/governance gap identified during risk assessment: no continuous compliance monitoring in place.</w:t>
            </w:r>
          </w:p>
        </w:tc>
        <w:tc>
          <w:tcPr>
            <w:tcW w:w="1900" w:type="dxa"/>
            <w:tcMar>
              <w:top w:w="60" w:type="dxa"/>
              <w:left w:w="80" w:type="dxa"/>
              <w:bottom w:w="60" w:type="dxa"/>
              <w:right w:w="80" w:type="dxa"/>
            </w:tcMar>
            <w:vAlign w:val="center"/>
          </w:tcPr>
          <w:p w14:paraId="5F895936">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FFE56E2">
            <w:pPr>
              <w:jc w:val="center"/>
            </w:pPr>
            <w:r>
              <w:rPr>
                <w:rFonts w:ascii="Calibri" w:hAnsi="Calibri" w:eastAsia="Calibri" w:cs="Calibri"/>
                <w:color w:val="000000"/>
                <w:sz w:val="19"/>
                <w:szCs w:val="19"/>
              </w:rPr>
              <w:t>Information Security Policy / ISMS Governance</w:t>
            </w:r>
          </w:p>
        </w:tc>
      </w:tr>
      <w:tr w14:paraId="0AA11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DE61C66">
            <w:pPr>
              <w:jc w:val="center"/>
            </w:pPr>
            <w:r>
              <w:rPr>
                <w:rFonts w:ascii="Calibri" w:hAnsi="Calibri" w:eastAsia="Calibri" w:cs="Calibri"/>
                <w:color w:val="000000"/>
                <w:sz w:val="19"/>
                <w:szCs w:val="19"/>
              </w:rPr>
              <w:t>5.37</w:t>
            </w:r>
          </w:p>
        </w:tc>
        <w:tc>
          <w:tcPr>
            <w:tcW w:w="2900" w:type="dxa"/>
            <w:tcMar>
              <w:top w:w="60" w:type="dxa"/>
              <w:left w:w="80" w:type="dxa"/>
              <w:bottom w:w="60" w:type="dxa"/>
              <w:right w:w="80" w:type="dxa"/>
            </w:tcMar>
            <w:vAlign w:val="center"/>
          </w:tcPr>
          <w:p w14:paraId="20193EAF">
            <w:pPr>
              <w:jc w:val="center"/>
            </w:pPr>
            <w:r>
              <w:rPr>
                <w:rFonts w:ascii="Calibri" w:hAnsi="Calibri" w:eastAsia="Calibri" w:cs="Calibri"/>
                <w:color w:val="000000"/>
                <w:sz w:val="19"/>
                <w:szCs w:val="19"/>
              </w:rPr>
              <w:t>Documented operating procedures</w:t>
            </w:r>
          </w:p>
        </w:tc>
        <w:tc>
          <w:tcPr>
            <w:tcW w:w="1100" w:type="dxa"/>
            <w:tcMar>
              <w:top w:w="60" w:type="dxa"/>
              <w:left w:w="80" w:type="dxa"/>
              <w:bottom w:w="60" w:type="dxa"/>
              <w:right w:w="80" w:type="dxa"/>
            </w:tcMar>
            <w:vAlign w:val="center"/>
          </w:tcPr>
          <w:p w14:paraId="1110632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67D0E18">
            <w:pPr>
              <w:jc w:val="center"/>
            </w:pPr>
            <w:r>
              <w:rPr>
                <w:rFonts w:ascii="Calibri" w:hAnsi="Calibri" w:eastAsia="Calibri" w:cs="Calibri"/>
                <w:color w:val="000000"/>
                <w:sz w:val="19"/>
                <w:szCs w:val="19"/>
              </w:rPr>
              <w:t>Applicable — addresses an organizational/governance gap identified during risk assessment: not standardized across all IT functions.</w:t>
            </w:r>
          </w:p>
        </w:tc>
        <w:tc>
          <w:tcPr>
            <w:tcW w:w="1900" w:type="dxa"/>
            <w:tcMar>
              <w:top w:w="60" w:type="dxa"/>
              <w:left w:w="80" w:type="dxa"/>
              <w:bottom w:w="60" w:type="dxa"/>
              <w:right w:w="80" w:type="dxa"/>
            </w:tcMar>
            <w:vAlign w:val="center"/>
          </w:tcPr>
          <w:p w14:paraId="3D68E9C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2197C12">
            <w:pPr>
              <w:jc w:val="center"/>
            </w:pPr>
            <w:r>
              <w:rPr>
                <w:rFonts w:ascii="Calibri" w:hAnsi="Calibri" w:eastAsia="Calibri" w:cs="Calibri"/>
                <w:color w:val="000000"/>
                <w:sz w:val="19"/>
                <w:szCs w:val="19"/>
              </w:rPr>
              <w:t>Information Security Policy / ISMS Governance</w:t>
            </w:r>
          </w:p>
        </w:tc>
      </w:tr>
    </w:tbl>
    <w:p w14:paraId="7A7E1FF5">
      <w:pPr>
        <w:spacing w:after="200"/>
      </w:pPr>
    </w:p>
    <w:p w14:paraId="25EB9DBC">
      <w:pPr>
        <w:spacing w:before="200" w:after="100"/>
        <w:jc w:val="center"/>
        <w:rPr>
          <w:sz w:val="28"/>
          <w:szCs w:val="32"/>
        </w:rPr>
      </w:pPr>
      <w:r>
        <w:rPr>
          <w:rFonts w:ascii="Times New Roman" w:hAnsi="Times New Roman" w:eastAsia="Times New Roman" w:cs="Times New Roman"/>
          <w:b/>
          <w:bCs/>
          <w:color w:val="000000"/>
          <w:sz w:val="32"/>
          <w:szCs w:val="32"/>
        </w:rPr>
        <w:t>3.2 A.6 - People Controls (8 controls)</w:t>
      </w:r>
    </w:p>
    <w:tbl>
      <w:tblPr>
        <w:tblStyle w:val="9"/>
        <w:tblW w:w="14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2900"/>
        <w:gridCol w:w="1100"/>
        <w:gridCol w:w="4500"/>
        <w:gridCol w:w="1900"/>
        <w:gridCol w:w="3050"/>
      </w:tblGrid>
      <w:tr w14:paraId="7EF4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50" w:type="dxa"/>
            <w:shd w:val="clear" w:color="auto" w:fill="D9D9D9"/>
            <w:tcMar>
              <w:top w:w="60" w:type="dxa"/>
              <w:left w:w="80" w:type="dxa"/>
              <w:bottom w:w="60" w:type="dxa"/>
              <w:right w:w="80" w:type="dxa"/>
            </w:tcMar>
            <w:vAlign w:val="center"/>
          </w:tcPr>
          <w:p w14:paraId="09982FE5">
            <w:r>
              <w:rPr>
                <w:rFonts w:ascii="Calibri" w:hAnsi="Calibri" w:eastAsia="Calibri" w:cs="Calibri"/>
                <w:b/>
                <w:bCs/>
                <w:color w:val="000000"/>
                <w:sz w:val="19"/>
                <w:szCs w:val="19"/>
              </w:rPr>
              <w:t>Ref</w:t>
            </w:r>
          </w:p>
        </w:tc>
        <w:tc>
          <w:tcPr>
            <w:tcW w:w="2900" w:type="dxa"/>
            <w:shd w:val="clear" w:color="auto" w:fill="D9D9D9"/>
            <w:tcMar>
              <w:top w:w="60" w:type="dxa"/>
              <w:left w:w="80" w:type="dxa"/>
              <w:bottom w:w="60" w:type="dxa"/>
              <w:right w:w="80" w:type="dxa"/>
            </w:tcMar>
            <w:vAlign w:val="center"/>
          </w:tcPr>
          <w:p w14:paraId="41A05F81">
            <w:r>
              <w:rPr>
                <w:rFonts w:ascii="Calibri" w:hAnsi="Calibri" w:eastAsia="Calibri" w:cs="Calibri"/>
                <w:b/>
                <w:bCs/>
                <w:color w:val="000000"/>
                <w:sz w:val="19"/>
                <w:szCs w:val="19"/>
              </w:rPr>
              <w:t>Control</w:t>
            </w:r>
          </w:p>
        </w:tc>
        <w:tc>
          <w:tcPr>
            <w:tcW w:w="1100" w:type="dxa"/>
            <w:shd w:val="clear" w:color="auto" w:fill="D9D9D9"/>
            <w:tcMar>
              <w:top w:w="60" w:type="dxa"/>
              <w:left w:w="80" w:type="dxa"/>
              <w:bottom w:w="60" w:type="dxa"/>
              <w:right w:w="80" w:type="dxa"/>
            </w:tcMar>
            <w:vAlign w:val="center"/>
          </w:tcPr>
          <w:p w14:paraId="56E25DDE">
            <w:r>
              <w:rPr>
                <w:rFonts w:ascii="Calibri" w:hAnsi="Calibri" w:eastAsia="Calibri" w:cs="Calibri"/>
                <w:b/>
                <w:bCs/>
                <w:color w:val="000000"/>
                <w:sz w:val="19"/>
                <w:szCs w:val="19"/>
              </w:rPr>
              <w:t>Applicable</w:t>
            </w:r>
          </w:p>
        </w:tc>
        <w:tc>
          <w:tcPr>
            <w:tcW w:w="4500" w:type="dxa"/>
            <w:shd w:val="clear" w:color="auto" w:fill="D9D9D9"/>
            <w:tcMar>
              <w:top w:w="60" w:type="dxa"/>
              <w:left w:w="80" w:type="dxa"/>
              <w:bottom w:w="60" w:type="dxa"/>
              <w:right w:w="80" w:type="dxa"/>
            </w:tcMar>
            <w:vAlign w:val="center"/>
          </w:tcPr>
          <w:p w14:paraId="064224AC">
            <w:r>
              <w:rPr>
                <w:rFonts w:ascii="Calibri" w:hAnsi="Calibri" w:eastAsia="Calibri" w:cs="Calibri"/>
                <w:b/>
                <w:bCs/>
                <w:color w:val="000000"/>
                <w:sz w:val="19"/>
                <w:szCs w:val="19"/>
              </w:rPr>
              <w:t>Justification for Inclusion</w:t>
            </w:r>
          </w:p>
        </w:tc>
        <w:tc>
          <w:tcPr>
            <w:tcW w:w="1900" w:type="dxa"/>
            <w:shd w:val="clear" w:color="auto" w:fill="D9D9D9"/>
            <w:tcMar>
              <w:top w:w="60" w:type="dxa"/>
              <w:left w:w="80" w:type="dxa"/>
              <w:bottom w:w="60" w:type="dxa"/>
              <w:right w:w="80" w:type="dxa"/>
            </w:tcMar>
            <w:vAlign w:val="center"/>
          </w:tcPr>
          <w:p w14:paraId="7CDA7FAC">
            <w:r>
              <w:rPr>
                <w:rFonts w:ascii="Calibri" w:hAnsi="Calibri" w:eastAsia="Calibri" w:cs="Calibri"/>
                <w:b/>
                <w:bCs/>
                <w:color w:val="000000"/>
                <w:sz w:val="19"/>
                <w:szCs w:val="19"/>
              </w:rPr>
              <w:t>Implementation Status</w:t>
            </w:r>
          </w:p>
        </w:tc>
        <w:tc>
          <w:tcPr>
            <w:tcW w:w="3050" w:type="dxa"/>
            <w:shd w:val="clear" w:color="auto" w:fill="D9D9D9"/>
            <w:tcMar>
              <w:top w:w="60" w:type="dxa"/>
              <w:left w:w="80" w:type="dxa"/>
              <w:bottom w:w="60" w:type="dxa"/>
              <w:right w:w="80" w:type="dxa"/>
            </w:tcMar>
            <w:vAlign w:val="center"/>
          </w:tcPr>
          <w:p w14:paraId="0073EA47">
            <w:r>
              <w:rPr>
                <w:rFonts w:ascii="Calibri" w:hAnsi="Calibri" w:eastAsia="Calibri" w:cs="Calibri"/>
                <w:b/>
                <w:bCs/>
                <w:color w:val="000000"/>
                <w:sz w:val="19"/>
                <w:szCs w:val="19"/>
              </w:rPr>
              <w:t>Reference</w:t>
            </w:r>
          </w:p>
        </w:tc>
      </w:tr>
      <w:tr w14:paraId="02654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FF368DA">
            <w:pPr>
              <w:jc w:val="center"/>
            </w:pPr>
            <w:r>
              <w:rPr>
                <w:rFonts w:ascii="Calibri" w:hAnsi="Calibri" w:eastAsia="Calibri" w:cs="Calibri"/>
                <w:color w:val="000000"/>
                <w:sz w:val="19"/>
                <w:szCs w:val="19"/>
              </w:rPr>
              <w:t>6.1</w:t>
            </w:r>
          </w:p>
        </w:tc>
        <w:tc>
          <w:tcPr>
            <w:tcW w:w="2900" w:type="dxa"/>
            <w:tcMar>
              <w:top w:w="60" w:type="dxa"/>
              <w:left w:w="80" w:type="dxa"/>
              <w:bottom w:w="60" w:type="dxa"/>
              <w:right w:w="80" w:type="dxa"/>
            </w:tcMar>
            <w:vAlign w:val="center"/>
          </w:tcPr>
          <w:p w14:paraId="3EB30D54">
            <w:pPr>
              <w:jc w:val="center"/>
            </w:pPr>
            <w:r>
              <w:rPr>
                <w:rFonts w:ascii="Calibri" w:hAnsi="Calibri" w:eastAsia="Calibri" w:cs="Calibri"/>
                <w:color w:val="000000"/>
                <w:sz w:val="19"/>
                <w:szCs w:val="19"/>
              </w:rPr>
              <w:t>Screening</w:t>
            </w:r>
          </w:p>
        </w:tc>
        <w:tc>
          <w:tcPr>
            <w:tcW w:w="1100" w:type="dxa"/>
            <w:tcMar>
              <w:top w:w="60" w:type="dxa"/>
              <w:left w:w="80" w:type="dxa"/>
              <w:bottom w:w="60" w:type="dxa"/>
              <w:right w:w="80" w:type="dxa"/>
            </w:tcMar>
            <w:vAlign w:val="center"/>
          </w:tcPr>
          <w:p w14:paraId="1CEC1113">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85C1F57">
            <w:pPr>
              <w:jc w:val="center"/>
            </w:pPr>
            <w:r>
              <w:rPr>
                <w:rFonts w:ascii="Calibri" w:hAnsi="Calibri" w:eastAsia="Calibri" w:cs="Calibri"/>
                <w:color w:val="000000"/>
                <w:sz w:val="19"/>
                <w:szCs w:val="19"/>
              </w:rPr>
              <w:t>Applicable — addresses a people-related gap identified during risk assessment: not extended to contractors and third-party staff.</w:t>
            </w:r>
          </w:p>
        </w:tc>
        <w:tc>
          <w:tcPr>
            <w:tcW w:w="1900" w:type="dxa"/>
            <w:tcMar>
              <w:top w:w="60" w:type="dxa"/>
              <w:left w:w="80" w:type="dxa"/>
              <w:bottom w:w="60" w:type="dxa"/>
              <w:right w:w="80" w:type="dxa"/>
            </w:tcMar>
            <w:vAlign w:val="center"/>
          </w:tcPr>
          <w:p w14:paraId="27C2111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3F66EDC">
            <w:pPr>
              <w:jc w:val="center"/>
            </w:pPr>
            <w:r>
              <w:rPr>
                <w:rFonts w:ascii="Calibri" w:hAnsi="Calibri" w:eastAsia="Calibri" w:cs="Calibri"/>
                <w:color w:val="000000"/>
                <w:sz w:val="19"/>
                <w:szCs w:val="19"/>
              </w:rPr>
              <w:t>HR Security Procedure</w:t>
            </w:r>
          </w:p>
        </w:tc>
      </w:tr>
      <w:tr w14:paraId="0437A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A731F44">
            <w:pPr>
              <w:jc w:val="center"/>
            </w:pPr>
            <w:r>
              <w:rPr>
                <w:rFonts w:ascii="Calibri" w:hAnsi="Calibri" w:eastAsia="Calibri" w:cs="Calibri"/>
                <w:color w:val="000000"/>
                <w:sz w:val="19"/>
                <w:szCs w:val="19"/>
              </w:rPr>
              <w:t>6.2</w:t>
            </w:r>
          </w:p>
        </w:tc>
        <w:tc>
          <w:tcPr>
            <w:tcW w:w="2900" w:type="dxa"/>
            <w:tcMar>
              <w:top w:w="60" w:type="dxa"/>
              <w:left w:w="80" w:type="dxa"/>
              <w:bottom w:w="60" w:type="dxa"/>
              <w:right w:w="80" w:type="dxa"/>
            </w:tcMar>
            <w:vAlign w:val="center"/>
          </w:tcPr>
          <w:p w14:paraId="5DA09096">
            <w:pPr>
              <w:jc w:val="center"/>
            </w:pPr>
            <w:r>
              <w:rPr>
                <w:rFonts w:ascii="Calibri" w:hAnsi="Calibri" w:eastAsia="Calibri" w:cs="Calibri"/>
                <w:color w:val="000000"/>
                <w:sz w:val="19"/>
                <w:szCs w:val="19"/>
              </w:rPr>
              <w:t>Terms and conditions of employment</w:t>
            </w:r>
          </w:p>
        </w:tc>
        <w:tc>
          <w:tcPr>
            <w:tcW w:w="1100" w:type="dxa"/>
            <w:tcMar>
              <w:top w:w="60" w:type="dxa"/>
              <w:left w:w="80" w:type="dxa"/>
              <w:bottom w:w="60" w:type="dxa"/>
              <w:right w:w="80" w:type="dxa"/>
            </w:tcMar>
            <w:vAlign w:val="center"/>
          </w:tcPr>
          <w:p w14:paraId="77BF0E5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E56F9CD">
            <w:pPr>
              <w:jc w:val="center"/>
            </w:pPr>
            <w:r>
              <w:rPr>
                <w:rFonts w:ascii="Calibri" w:hAnsi="Calibri" w:eastAsia="Calibri" w:cs="Calibri"/>
                <w:color w:val="000000"/>
                <w:sz w:val="19"/>
                <w:szCs w:val="19"/>
              </w:rPr>
              <w:t>Applicable — addresses a people-related gap identified during risk assessment: no explicit information security responsibilities clause.</w:t>
            </w:r>
          </w:p>
        </w:tc>
        <w:tc>
          <w:tcPr>
            <w:tcW w:w="1900" w:type="dxa"/>
            <w:tcMar>
              <w:top w:w="60" w:type="dxa"/>
              <w:left w:w="80" w:type="dxa"/>
              <w:bottom w:w="60" w:type="dxa"/>
              <w:right w:w="80" w:type="dxa"/>
            </w:tcMar>
            <w:vAlign w:val="center"/>
          </w:tcPr>
          <w:p w14:paraId="12BEE89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39C0A00">
            <w:pPr>
              <w:jc w:val="center"/>
            </w:pPr>
            <w:r>
              <w:rPr>
                <w:rFonts w:ascii="Calibri" w:hAnsi="Calibri" w:eastAsia="Calibri" w:cs="Calibri"/>
                <w:color w:val="000000"/>
                <w:sz w:val="19"/>
                <w:szCs w:val="19"/>
              </w:rPr>
              <w:t>HR Security Procedure</w:t>
            </w:r>
          </w:p>
        </w:tc>
      </w:tr>
      <w:tr w14:paraId="28A2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84D9018">
            <w:pPr>
              <w:jc w:val="center"/>
            </w:pPr>
            <w:r>
              <w:rPr>
                <w:rFonts w:ascii="Calibri" w:hAnsi="Calibri" w:eastAsia="Calibri" w:cs="Calibri"/>
                <w:color w:val="000000"/>
                <w:sz w:val="19"/>
                <w:szCs w:val="19"/>
              </w:rPr>
              <w:t>6.3</w:t>
            </w:r>
          </w:p>
        </w:tc>
        <w:tc>
          <w:tcPr>
            <w:tcW w:w="2900" w:type="dxa"/>
            <w:tcMar>
              <w:top w:w="60" w:type="dxa"/>
              <w:left w:w="80" w:type="dxa"/>
              <w:bottom w:w="60" w:type="dxa"/>
              <w:right w:w="80" w:type="dxa"/>
            </w:tcMar>
            <w:vAlign w:val="center"/>
          </w:tcPr>
          <w:p w14:paraId="3F5E18F4">
            <w:pPr>
              <w:jc w:val="center"/>
            </w:pPr>
            <w:r>
              <w:rPr>
                <w:rFonts w:ascii="Calibri" w:hAnsi="Calibri" w:eastAsia="Calibri" w:cs="Calibri"/>
                <w:color w:val="000000"/>
                <w:sz w:val="19"/>
                <w:szCs w:val="19"/>
              </w:rPr>
              <w:t>Information security awareness, education and training</w:t>
            </w:r>
          </w:p>
        </w:tc>
        <w:tc>
          <w:tcPr>
            <w:tcW w:w="1100" w:type="dxa"/>
            <w:tcMar>
              <w:top w:w="60" w:type="dxa"/>
              <w:left w:w="80" w:type="dxa"/>
              <w:bottom w:w="60" w:type="dxa"/>
              <w:right w:w="80" w:type="dxa"/>
            </w:tcMar>
            <w:vAlign w:val="center"/>
          </w:tcPr>
          <w:p w14:paraId="1B5C234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F75C7E4">
            <w:pPr>
              <w:jc w:val="center"/>
            </w:pPr>
            <w:r>
              <w:rPr>
                <w:rFonts w:ascii="Calibri" w:hAnsi="Calibri" w:eastAsia="Calibri" w:cs="Calibri"/>
                <w:color w:val="000000"/>
                <w:sz w:val="19"/>
                <w:szCs w:val="19"/>
              </w:rPr>
              <w:t>Applicable — addresses a people-related gap identified during risk assessment: no annual refresher training programme.</w:t>
            </w:r>
          </w:p>
        </w:tc>
        <w:tc>
          <w:tcPr>
            <w:tcW w:w="1900" w:type="dxa"/>
            <w:tcMar>
              <w:top w:w="60" w:type="dxa"/>
              <w:left w:w="80" w:type="dxa"/>
              <w:bottom w:w="60" w:type="dxa"/>
              <w:right w:w="80" w:type="dxa"/>
            </w:tcMar>
            <w:vAlign w:val="center"/>
          </w:tcPr>
          <w:p w14:paraId="73DFF53A">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C5F0B1C">
            <w:pPr>
              <w:jc w:val="center"/>
            </w:pPr>
            <w:r>
              <w:rPr>
                <w:rFonts w:ascii="Calibri" w:hAnsi="Calibri" w:eastAsia="Calibri" w:cs="Calibri"/>
                <w:color w:val="000000"/>
                <w:sz w:val="19"/>
                <w:szCs w:val="19"/>
              </w:rPr>
              <w:t>HR Security Procedure</w:t>
            </w:r>
          </w:p>
        </w:tc>
      </w:tr>
      <w:tr w14:paraId="630A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AB20E4A">
            <w:pPr>
              <w:jc w:val="center"/>
            </w:pPr>
            <w:r>
              <w:rPr>
                <w:rFonts w:ascii="Calibri" w:hAnsi="Calibri" w:eastAsia="Calibri" w:cs="Calibri"/>
                <w:color w:val="000000"/>
                <w:sz w:val="19"/>
                <w:szCs w:val="19"/>
              </w:rPr>
              <w:t>6.4</w:t>
            </w:r>
          </w:p>
        </w:tc>
        <w:tc>
          <w:tcPr>
            <w:tcW w:w="2900" w:type="dxa"/>
            <w:tcMar>
              <w:top w:w="60" w:type="dxa"/>
              <w:left w:w="80" w:type="dxa"/>
              <w:bottom w:w="60" w:type="dxa"/>
              <w:right w:w="80" w:type="dxa"/>
            </w:tcMar>
            <w:vAlign w:val="center"/>
          </w:tcPr>
          <w:p w14:paraId="4F8033DE">
            <w:pPr>
              <w:jc w:val="center"/>
            </w:pPr>
            <w:r>
              <w:rPr>
                <w:rFonts w:ascii="Calibri" w:hAnsi="Calibri" w:eastAsia="Calibri" w:cs="Calibri"/>
                <w:color w:val="000000"/>
                <w:sz w:val="19"/>
                <w:szCs w:val="19"/>
              </w:rPr>
              <w:t>Disciplinary process</w:t>
            </w:r>
          </w:p>
        </w:tc>
        <w:tc>
          <w:tcPr>
            <w:tcW w:w="1100" w:type="dxa"/>
            <w:tcMar>
              <w:top w:w="60" w:type="dxa"/>
              <w:left w:w="80" w:type="dxa"/>
              <w:bottom w:w="60" w:type="dxa"/>
              <w:right w:w="80" w:type="dxa"/>
            </w:tcMar>
            <w:vAlign w:val="center"/>
          </w:tcPr>
          <w:p w14:paraId="21D83557">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599985D">
            <w:pPr>
              <w:jc w:val="center"/>
            </w:pPr>
            <w:r>
              <w:rPr>
                <w:rFonts w:ascii="Calibri" w:hAnsi="Calibri" w:eastAsia="Calibri" w:cs="Calibri"/>
                <w:color w:val="000000"/>
                <w:sz w:val="19"/>
                <w:szCs w:val="19"/>
              </w:rPr>
              <w:t>Applicable — addresses a people-related gap identified during risk assessment: no information-security-specific violation process.</w:t>
            </w:r>
          </w:p>
        </w:tc>
        <w:tc>
          <w:tcPr>
            <w:tcW w:w="1900" w:type="dxa"/>
            <w:tcMar>
              <w:top w:w="60" w:type="dxa"/>
              <w:left w:w="80" w:type="dxa"/>
              <w:bottom w:w="60" w:type="dxa"/>
              <w:right w:w="80" w:type="dxa"/>
            </w:tcMar>
            <w:vAlign w:val="center"/>
          </w:tcPr>
          <w:p w14:paraId="71322DC7">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F4810EC">
            <w:pPr>
              <w:jc w:val="center"/>
            </w:pPr>
            <w:r>
              <w:rPr>
                <w:rFonts w:ascii="Calibri" w:hAnsi="Calibri" w:eastAsia="Calibri" w:cs="Calibri"/>
                <w:color w:val="000000"/>
                <w:sz w:val="19"/>
                <w:szCs w:val="19"/>
              </w:rPr>
              <w:t>HR Security Procedure</w:t>
            </w:r>
          </w:p>
        </w:tc>
      </w:tr>
      <w:tr w14:paraId="023C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F59F4E8">
            <w:pPr>
              <w:jc w:val="center"/>
            </w:pPr>
            <w:r>
              <w:rPr>
                <w:rFonts w:ascii="Calibri" w:hAnsi="Calibri" w:eastAsia="Calibri" w:cs="Calibri"/>
                <w:color w:val="000000"/>
                <w:sz w:val="19"/>
                <w:szCs w:val="19"/>
              </w:rPr>
              <w:t>6.5</w:t>
            </w:r>
          </w:p>
        </w:tc>
        <w:tc>
          <w:tcPr>
            <w:tcW w:w="2900" w:type="dxa"/>
            <w:tcMar>
              <w:top w:w="60" w:type="dxa"/>
              <w:left w:w="80" w:type="dxa"/>
              <w:bottom w:w="60" w:type="dxa"/>
              <w:right w:w="80" w:type="dxa"/>
            </w:tcMar>
            <w:vAlign w:val="center"/>
          </w:tcPr>
          <w:p w14:paraId="5A30DCB3">
            <w:pPr>
              <w:jc w:val="center"/>
            </w:pPr>
            <w:r>
              <w:rPr>
                <w:rFonts w:ascii="Calibri" w:hAnsi="Calibri" w:eastAsia="Calibri" w:cs="Calibri"/>
                <w:color w:val="000000"/>
                <w:sz w:val="19"/>
                <w:szCs w:val="19"/>
              </w:rPr>
              <w:t>Responsibilities after termination or change of employment</w:t>
            </w:r>
          </w:p>
        </w:tc>
        <w:tc>
          <w:tcPr>
            <w:tcW w:w="1100" w:type="dxa"/>
            <w:tcMar>
              <w:top w:w="60" w:type="dxa"/>
              <w:left w:w="80" w:type="dxa"/>
              <w:bottom w:w="60" w:type="dxa"/>
              <w:right w:w="80" w:type="dxa"/>
            </w:tcMar>
            <w:vAlign w:val="center"/>
          </w:tcPr>
          <w:p w14:paraId="44462EF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5B828F0">
            <w:pPr>
              <w:jc w:val="center"/>
            </w:pPr>
            <w:r>
              <w:rPr>
                <w:rFonts w:ascii="Calibri" w:hAnsi="Calibri" w:eastAsia="Calibri" w:cs="Calibri"/>
                <w:color w:val="000000"/>
                <w:sz w:val="19"/>
                <w:szCs w:val="19"/>
              </w:rPr>
              <w:t>Applicable — addresses a people-related gap identified during risk assessment: timing not consistently aligned with HR exit process.</w:t>
            </w:r>
          </w:p>
        </w:tc>
        <w:tc>
          <w:tcPr>
            <w:tcW w:w="1900" w:type="dxa"/>
            <w:tcMar>
              <w:top w:w="60" w:type="dxa"/>
              <w:left w:w="80" w:type="dxa"/>
              <w:bottom w:w="60" w:type="dxa"/>
              <w:right w:w="80" w:type="dxa"/>
            </w:tcMar>
            <w:vAlign w:val="center"/>
          </w:tcPr>
          <w:p w14:paraId="20D08C4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0652B83">
            <w:pPr>
              <w:jc w:val="center"/>
            </w:pPr>
            <w:r>
              <w:rPr>
                <w:rFonts w:ascii="Calibri" w:hAnsi="Calibri" w:eastAsia="Calibri" w:cs="Calibri"/>
                <w:color w:val="000000"/>
                <w:sz w:val="19"/>
                <w:szCs w:val="19"/>
              </w:rPr>
              <w:t>HR Security Procedure</w:t>
            </w:r>
          </w:p>
        </w:tc>
      </w:tr>
      <w:tr w14:paraId="3338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7A337CF">
            <w:pPr>
              <w:jc w:val="center"/>
            </w:pPr>
            <w:r>
              <w:rPr>
                <w:rFonts w:ascii="Calibri" w:hAnsi="Calibri" w:eastAsia="Calibri" w:cs="Calibri"/>
                <w:color w:val="000000"/>
                <w:sz w:val="19"/>
                <w:szCs w:val="19"/>
              </w:rPr>
              <w:t>6.6</w:t>
            </w:r>
          </w:p>
        </w:tc>
        <w:tc>
          <w:tcPr>
            <w:tcW w:w="2900" w:type="dxa"/>
            <w:tcMar>
              <w:top w:w="60" w:type="dxa"/>
              <w:left w:w="80" w:type="dxa"/>
              <w:bottom w:w="60" w:type="dxa"/>
              <w:right w:w="80" w:type="dxa"/>
            </w:tcMar>
            <w:vAlign w:val="center"/>
          </w:tcPr>
          <w:p w14:paraId="1700C9D5">
            <w:pPr>
              <w:jc w:val="center"/>
            </w:pPr>
            <w:r>
              <w:rPr>
                <w:rFonts w:ascii="Calibri" w:hAnsi="Calibri" w:eastAsia="Calibri" w:cs="Calibri"/>
                <w:color w:val="000000"/>
                <w:sz w:val="19"/>
                <w:szCs w:val="19"/>
              </w:rPr>
              <w:t>Confidentiality or non-disclosure agreements</w:t>
            </w:r>
          </w:p>
        </w:tc>
        <w:tc>
          <w:tcPr>
            <w:tcW w:w="1100" w:type="dxa"/>
            <w:tcMar>
              <w:top w:w="60" w:type="dxa"/>
              <w:left w:w="80" w:type="dxa"/>
              <w:bottom w:w="60" w:type="dxa"/>
              <w:right w:w="80" w:type="dxa"/>
            </w:tcMar>
            <w:vAlign w:val="center"/>
          </w:tcPr>
          <w:p w14:paraId="5B6D76FA">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2EBE375">
            <w:pPr>
              <w:jc w:val="center"/>
            </w:pPr>
            <w:r>
              <w:rPr>
                <w:rFonts w:ascii="Calibri" w:hAnsi="Calibri" w:eastAsia="Calibri" w:cs="Calibri"/>
                <w:color w:val="000000"/>
                <w:sz w:val="19"/>
                <w:szCs w:val="19"/>
              </w:rPr>
              <w:t>Applicable — addresses a people-related gap identified during risk assessment: not consistently extended to third-party contractors.</w:t>
            </w:r>
          </w:p>
        </w:tc>
        <w:tc>
          <w:tcPr>
            <w:tcW w:w="1900" w:type="dxa"/>
            <w:tcMar>
              <w:top w:w="60" w:type="dxa"/>
              <w:left w:w="80" w:type="dxa"/>
              <w:bottom w:w="60" w:type="dxa"/>
              <w:right w:w="80" w:type="dxa"/>
            </w:tcMar>
            <w:vAlign w:val="center"/>
          </w:tcPr>
          <w:p w14:paraId="1F58F9E3">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31DCCA3">
            <w:pPr>
              <w:jc w:val="center"/>
            </w:pPr>
            <w:r>
              <w:rPr>
                <w:rFonts w:ascii="Calibri" w:hAnsi="Calibri" w:eastAsia="Calibri" w:cs="Calibri"/>
                <w:color w:val="000000"/>
                <w:sz w:val="19"/>
                <w:szCs w:val="19"/>
              </w:rPr>
              <w:t>HR Security Procedure</w:t>
            </w:r>
          </w:p>
        </w:tc>
      </w:tr>
      <w:tr w14:paraId="5A88E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31056B75">
            <w:pPr>
              <w:jc w:val="center"/>
            </w:pPr>
            <w:r>
              <w:rPr>
                <w:rFonts w:ascii="Calibri" w:hAnsi="Calibri" w:eastAsia="Calibri" w:cs="Calibri"/>
                <w:color w:val="000000"/>
                <w:sz w:val="19"/>
                <w:szCs w:val="19"/>
              </w:rPr>
              <w:t>6.7</w:t>
            </w:r>
          </w:p>
        </w:tc>
        <w:tc>
          <w:tcPr>
            <w:tcW w:w="2900" w:type="dxa"/>
            <w:tcMar>
              <w:top w:w="60" w:type="dxa"/>
              <w:left w:w="80" w:type="dxa"/>
              <w:bottom w:w="60" w:type="dxa"/>
              <w:right w:w="80" w:type="dxa"/>
            </w:tcMar>
            <w:vAlign w:val="center"/>
          </w:tcPr>
          <w:p w14:paraId="10443400">
            <w:pPr>
              <w:jc w:val="center"/>
            </w:pPr>
            <w:r>
              <w:rPr>
                <w:rFonts w:ascii="Calibri" w:hAnsi="Calibri" w:eastAsia="Calibri" w:cs="Calibri"/>
                <w:color w:val="000000"/>
                <w:sz w:val="19"/>
                <w:szCs w:val="19"/>
              </w:rPr>
              <w:t>Remote working</w:t>
            </w:r>
          </w:p>
        </w:tc>
        <w:tc>
          <w:tcPr>
            <w:tcW w:w="1100" w:type="dxa"/>
            <w:tcMar>
              <w:top w:w="60" w:type="dxa"/>
              <w:left w:w="80" w:type="dxa"/>
              <w:bottom w:w="60" w:type="dxa"/>
              <w:right w:w="80" w:type="dxa"/>
            </w:tcMar>
            <w:vAlign w:val="center"/>
          </w:tcPr>
          <w:p w14:paraId="41D23073">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E7AF5C0">
            <w:pPr>
              <w:jc w:val="center"/>
            </w:pPr>
            <w:r>
              <w:rPr>
                <w:rFonts w:ascii="Calibri" w:hAnsi="Calibri" w:eastAsia="Calibri" w:cs="Calibri"/>
                <w:color w:val="000000"/>
                <w:sz w:val="19"/>
                <w:szCs w:val="19"/>
              </w:rPr>
              <w:t>Applicable — addresses a people-related gap identified during risk assessment: no formal remote working security policy.</w:t>
            </w:r>
          </w:p>
        </w:tc>
        <w:tc>
          <w:tcPr>
            <w:tcW w:w="1900" w:type="dxa"/>
            <w:tcMar>
              <w:top w:w="60" w:type="dxa"/>
              <w:left w:w="80" w:type="dxa"/>
              <w:bottom w:w="60" w:type="dxa"/>
              <w:right w:w="80" w:type="dxa"/>
            </w:tcMar>
            <w:vAlign w:val="center"/>
          </w:tcPr>
          <w:p w14:paraId="314C5DB1">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417EB3A1">
            <w:pPr>
              <w:jc w:val="center"/>
            </w:pPr>
            <w:r>
              <w:rPr>
                <w:rFonts w:ascii="Calibri" w:hAnsi="Calibri" w:eastAsia="Calibri" w:cs="Calibri"/>
                <w:color w:val="000000"/>
                <w:sz w:val="19"/>
                <w:szCs w:val="19"/>
              </w:rPr>
              <w:t>HR Security Procedure</w:t>
            </w:r>
          </w:p>
        </w:tc>
      </w:tr>
      <w:tr w14:paraId="5E45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346B1420">
            <w:pPr>
              <w:jc w:val="center"/>
            </w:pPr>
            <w:r>
              <w:rPr>
                <w:rFonts w:ascii="Calibri" w:hAnsi="Calibri" w:eastAsia="Calibri" w:cs="Calibri"/>
                <w:color w:val="000000"/>
                <w:sz w:val="19"/>
                <w:szCs w:val="19"/>
              </w:rPr>
              <w:t>6.8</w:t>
            </w:r>
          </w:p>
        </w:tc>
        <w:tc>
          <w:tcPr>
            <w:tcW w:w="2900" w:type="dxa"/>
            <w:tcMar>
              <w:top w:w="60" w:type="dxa"/>
              <w:left w:w="80" w:type="dxa"/>
              <w:bottom w:w="60" w:type="dxa"/>
              <w:right w:w="80" w:type="dxa"/>
            </w:tcMar>
            <w:vAlign w:val="center"/>
          </w:tcPr>
          <w:p w14:paraId="3022F6AC">
            <w:pPr>
              <w:jc w:val="center"/>
            </w:pPr>
            <w:r>
              <w:rPr>
                <w:rFonts w:ascii="Calibri" w:hAnsi="Calibri" w:eastAsia="Calibri" w:cs="Calibri"/>
                <w:color w:val="000000"/>
                <w:sz w:val="19"/>
                <w:szCs w:val="19"/>
              </w:rPr>
              <w:t>Information security event reporting</w:t>
            </w:r>
          </w:p>
        </w:tc>
        <w:tc>
          <w:tcPr>
            <w:tcW w:w="1100" w:type="dxa"/>
            <w:tcMar>
              <w:top w:w="60" w:type="dxa"/>
              <w:left w:w="80" w:type="dxa"/>
              <w:bottom w:w="60" w:type="dxa"/>
              <w:right w:w="80" w:type="dxa"/>
            </w:tcMar>
            <w:vAlign w:val="center"/>
          </w:tcPr>
          <w:p w14:paraId="0394EFCB">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0EFC4B1">
            <w:pPr>
              <w:jc w:val="center"/>
            </w:pPr>
            <w:r>
              <w:rPr>
                <w:rFonts w:ascii="Calibri" w:hAnsi="Calibri" w:eastAsia="Calibri" w:cs="Calibri"/>
                <w:color w:val="000000"/>
                <w:sz w:val="19"/>
                <w:szCs w:val="19"/>
              </w:rPr>
              <w:t>Applicable — addresses a people-related gap identified during risk assessment: no formal, anonymous reporting channel available.</w:t>
            </w:r>
          </w:p>
        </w:tc>
        <w:tc>
          <w:tcPr>
            <w:tcW w:w="1900" w:type="dxa"/>
            <w:tcMar>
              <w:top w:w="60" w:type="dxa"/>
              <w:left w:w="80" w:type="dxa"/>
              <w:bottom w:w="60" w:type="dxa"/>
              <w:right w:w="80" w:type="dxa"/>
            </w:tcMar>
            <w:vAlign w:val="center"/>
          </w:tcPr>
          <w:p w14:paraId="7C5EC8A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AB686E0">
            <w:pPr>
              <w:jc w:val="center"/>
            </w:pPr>
            <w:r>
              <w:rPr>
                <w:rFonts w:ascii="Calibri" w:hAnsi="Calibri" w:eastAsia="Calibri" w:cs="Calibri"/>
                <w:color w:val="000000"/>
                <w:sz w:val="19"/>
                <w:szCs w:val="19"/>
              </w:rPr>
              <w:t>HR Security Procedure</w:t>
            </w:r>
          </w:p>
        </w:tc>
      </w:tr>
    </w:tbl>
    <w:p w14:paraId="20B9AB47">
      <w:pPr>
        <w:spacing w:after="200"/>
      </w:pPr>
      <w:bookmarkStart w:id="0" w:name="_GoBack"/>
      <w:bookmarkEnd w:id="0"/>
    </w:p>
    <w:p w14:paraId="22691A31">
      <w:pPr>
        <w:spacing w:before="200" w:after="100"/>
        <w:jc w:val="center"/>
        <w:rPr>
          <w:sz w:val="28"/>
          <w:szCs w:val="32"/>
        </w:rPr>
      </w:pPr>
      <w:r>
        <w:rPr>
          <w:rFonts w:ascii="Times New Roman" w:hAnsi="Times New Roman" w:eastAsia="Times New Roman" w:cs="Times New Roman"/>
          <w:b/>
          <w:bCs/>
          <w:color w:val="000000"/>
          <w:sz w:val="32"/>
          <w:szCs w:val="32"/>
        </w:rPr>
        <w:t>3.3 A.7 - Physical Controls (14 controls)</w:t>
      </w:r>
    </w:p>
    <w:tbl>
      <w:tblPr>
        <w:tblStyle w:val="9"/>
        <w:tblW w:w="14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2900"/>
        <w:gridCol w:w="1100"/>
        <w:gridCol w:w="4500"/>
        <w:gridCol w:w="1900"/>
        <w:gridCol w:w="3050"/>
      </w:tblGrid>
      <w:tr w14:paraId="5DDA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850" w:type="dxa"/>
            <w:shd w:val="clear" w:color="auto" w:fill="D9D9D9"/>
            <w:tcMar>
              <w:top w:w="60" w:type="dxa"/>
              <w:left w:w="80" w:type="dxa"/>
              <w:bottom w:w="60" w:type="dxa"/>
              <w:right w:w="80" w:type="dxa"/>
            </w:tcMar>
            <w:vAlign w:val="center"/>
          </w:tcPr>
          <w:p w14:paraId="29F66A32">
            <w:pPr>
              <w:jc w:val="center"/>
            </w:pPr>
            <w:r>
              <w:rPr>
                <w:rFonts w:ascii="Calibri" w:hAnsi="Calibri" w:eastAsia="Calibri" w:cs="Calibri"/>
                <w:b/>
                <w:bCs/>
                <w:color w:val="000000"/>
                <w:sz w:val="19"/>
                <w:szCs w:val="19"/>
              </w:rPr>
              <w:t>Ref</w:t>
            </w:r>
          </w:p>
        </w:tc>
        <w:tc>
          <w:tcPr>
            <w:tcW w:w="2900" w:type="dxa"/>
            <w:shd w:val="clear" w:color="auto" w:fill="D9D9D9"/>
            <w:tcMar>
              <w:top w:w="60" w:type="dxa"/>
              <w:left w:w="80" w:type="dxa"/>
              <w:bottom w:w="60" w:type="dxa"/>
              <w:right w:w="80" w:type="dxa"/>
            </w:tcMar>
            <w:vAlign w:val="center"/>
          </w:tcPr>
          <w:p w14:paraId="750D6D44">
            <w:pPr>
              <w:jc w:val="center"/>
            </w:pPr>
            <w:r>
              <w:rPr>
                <w:rFonts w:ascii="Calibri" w:hAnsi="Calibri" w:eastAsia="Calibri" w:cs="Calibri"/>
                <w:b/>
                <w:bCs/>
                <w:color w:val="000000"/>
                <w:sz w:val="19"/>
                <w:szCs w:val="19"/>
              </w:rPr>
              <w:t>Control</w:t>
            </w:r>
          </w:p>
        </w:tc>
        <w:tc>
          <w:tcPr>
            <w:tcW w:w="1100" w:type="dxa"/>
            <w:shd w:val="clear" w:color="auto" w:fill="D9D9D9"/>
            <w:tcMar>
              <w:top w:w="60" w:type="dxa"/>
              <w:left w:w="80" w:type="dxa"/>
              <w:bottom w:w="60" w:type="dxa"/>
              <w:right w:w="80" w:type="dxa"/>
            </w:tcMar>
            <w:vAlign w:val="center"/>
          </w:tcPr>
          <w:p w14:paraId="1EA39618">
            <w:pPr>
              <w:jc w:val="center"/>
            </w:pPr>
            <w:r>
              <w:rPr>
                <w:rFonts w:ascii="Calibri" w:hAnsi="Calibri" w:eastAsia="Calibri" w:cs="Calibri"/>
                <w:b/>
                <w:bCs/>
                <w:color w:val="000000"/>
                <w:sz w:val="19"/>
                <w:szCs w:val="19"/>
              </w:rPr>
              <w:t>Applicable</w:t>
            </w:r>
          </w:p>
        </w:tc>
        <w:tc>
          <w:tcPr>
            <w:tcW w:w="4500" w:type="dxa"/>
            <w:shd w:val="clear" w:color="auto" w:fill="D9D9D9"/>
            <w:tcMar>
              <w:top w:w="60" w:type="dxa"/>
              <w:left w:w="80" w:type="dxa"/>
              <w:bottom w:w="60" w:type="dxa"/>
              <w:right w:w="80" w:type="dxa"/>
            </w:tcMar>
            <w:vAlign w:val="center"/>
          </w:tcPr>
          <w:p w14:paraId="7EA1D222">
            <w:pPr>
              <w:jc w:val="center"/>
            </w:pPr>
            <w:r>
              <w:rPr>
                <w:rFonts w:ascii="Calibri" w:hAnsi="Calibri" w:eastAsia="Calibri" w:cs="Calibri"/>
                <w:b/>
                <w:bCs/>
                <w:color w:val="000000"/>
                <w:sz w:val="19"/>
                <w:szCs w:val="19"/>
              </w:rPr>
              <w:t>Justification for Inclusion</w:t>
            </w:r>
          </w:p>
        </w:tc>
        <w:tc>
          <w:tcPr>
            <w:tcW w:w="1900" w:type="dxa"/>
            <w:shd w:val="clear" w:color="auto" w:fill="D9D9D9"/>
            <w:tcMar>
              <w:top w:w="60" w:type="dxa"/>
              <w:left w:w="80" w:type="dxa"/>
              <w:bottom w:w="60" w:type="dxa"/>
              <w:right w:w="80" w:type="dxa"/>
            </w:tcMar>
            <w:vAlign w:val="center"/>
          </w:tcPr>
          <w:p w14:paraId="4A318630">
            <w:pPr>
              <w:jc w:val="center"/>
            </w:pPr>
            <w:r>
              <w:rPr>
                <w:rFonts w:ascii="Calibri" w:hAnsi="Calibri" w:eastAsia="Calibri" w:cs="Calibri"/>
                <w:b/>
                <w:bCs/>
                <w:color w:val="000000"/>
                <w:sz w:val="19"/>
                <w:szCs w:val="19"/>
              </w:rPr>
              <w:t>Implementation Status</w:t>
            </w:r>
          </w:p>
        </w:tc>
        <w:tc>
          <w:tcPr>
            <w:tcW w:w="3050" w:type="dxa"/>
            <w:shd w:val="clear" w:color="auto" w:fill="D9D9D9"/>
            <w:tcMar>
              <w:top w:w="60" w:type="dxa"/>
              <w:left w:w="80" w:type="dxa"/>
              <w:bottom w:w="60" w:type="dxa"/>
              <w:right w:w="80" w:type="dxa"/>
            </w:tcMar>
            <w:vAlign w:val="center"/>
          </w:tcPr>
          <w:p w14:paraId="356BBA8F">
            <w:pPr>
              <w:jc w:val="center"/>
            </w:pPr>
            <w:r>
              <w:rPr>
                <w:rFonts w:ascii="Calibri" w:hAnsi="Calibri" w:eastAsia="Calibri" w:cs="Calibri"/>
                <w:b/>
                <w:bCs/>
                <w:color w:val="000000"/>
                <w:sz w:val="19"/>
                <w:szCs w:val="19"/>
              </w:rPr>
              <w:t>Reference</w:t>
            </w:r>
          </w:p>
        </w:tc>
      </w:tr>
      <w:tr w14:paraId="40005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83187DB">
            <w:pPr>
              <w:jc w:val="center"/>
            </w:pPr>
            <w:r>
              <w:rPr>
                <w:rFonts w:ascii="Calibri" w:hAnsi="Calibri" w:eastAsia="Calibri" w:cs="Calibri"/>
                <w:color w:val="000000"/>
                <w:sz w:val="19"/>
                <w:szCs w:val="19"/>
              </w:rPr>
              <w:t>7.1</w:t>
            </w:r>
          </w:p>
        </w:tc>
        <w:tc>
          <w:tcPr>
            <w:tcW w:w="2900" w:type="dxa"/>
            <w:tcMar>
              <w:top w:w="60" w:type="dxa"/>
              <w:left w:w="80" w:type="dxa"/>
              <w:bottom w:w="60" w:type="dxa"/>
              <w:right w:w="80" w:type="dxa"/>
            </w:tcMar>
            <w:vAlign w:val="center"/>
          </w:tcPr>
          <w:p w14:paraId="5E558BF0">
            <w:pPr>
              <w:jc w:val="center"/>
            </w:pPr>
            <w:r>
              <w:rPr>
                <w:rFonts w:ascii="Calibri" w:hAnsi="Calibri" w:eastAsia="Calibri" w:cs="Calibri"/>
                <w:color w:val="000000"/>
                <w:sz w:val="19"/>
                <w:szCs w:val="19"/>
              </w:rPr>
              <w:t>Physical security perimeters</w:t>
            </w:r>
          </w:p>
        </w:tc>
        <w:tc>
          <w:tcPr>
            <w:tcW w:w="1100" w:type="dxa"/>
            <w:tcMar>
              <w:top w:w="60" w:type="dxa"/>
              <w:left w:w="80" w:type="dxa"/>
              <w:bottom w:w="60" w:type="dxa"/>
              <w:right w:w="80" w:type="dxa"/>
            </w:tcMar>
            <w:vAlign w:val="center"/>
          </w:tcPr>
          <w:p w14:paraId="203F93E7">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C6A540D">
            <w:pPr>
              <w:jc w:val="center"/>
            </w:pPr>
            <w:r>
              <w:rPr>
                <w:rFonts w:ascii="Calibri" w:hAnsi="Calibri" w:eastAsia="Calibri" w:cs="Calibri"/>
                <w:color w:val="000000"/>
                <w:sz w:val="19"/>
                <w:szCs w:val="19"/>
              </w:rPr>
              <w:t>Applicable — addresses a physical security gap identified during risk assessment: branch offices lack a consistent physical security standard.</w:t>
            </w:r>
          </w:p>
        </w:tc>
        <w:tc>
          <w:tcPr>
            <w:tcW w:w="1900" w:type="dxa"/>
            <w:tcMar>
              <w:top w:w="60" w:type="dxa"/>
              <w:left w:w="80" w:type="dxa"/>
              <w:bottom w:w="60" w:type="dxa"/>
              <w:right w:w="80" w:type="dxa"/>
            </w:tcMar>
            <w:vAlign w:val="center"/>
          </w:tcPr>
          <w:p w14:paraId="30453A7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1CD2F05">
            <w:pPr>
              <w:jc w:val="center"/>
            </w:pPr>
            <w:r>
              <w:rPr>
                <w:rFonts w:ascii="Calibri" w:hAnsi="Calibri" w:eastAsia="Calibri" w:cs="Calibri"/>
                <w:color w:val="000000"/>
                <w:sz w:val="19"/>
                <w:szCs w:val="19"/>
              </w:rPr>
              <w:t>Physical Security Procedure</w:t>
            </w:r>
          </w:p>
        </w:tc>
      </w:tr>
      <w:tr w14:paraId="4CAE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3CB10D7E">
            <w:pPr>
              <w:jc w:val="center"/>
            </w:pPr>
            <w:r>
              <w:rPr>
                <w:rFonts w:ascii="Calibri" w:hAnsi="Calibri" w:eastAsia="Calibri" w:cs="Calibri"/>
                <w:color w:val="000000"/>
                <w:sz w:val="19"/>
                <w:szCs w:val="19"/>
              </w:rPr>
              <w:t>7.2</w:t>
            </w:r>
          </w:p>
        </w:tc>
        <w:tc>
          <w:tcPr>
            <w:tcW w:w="2900" w:type="dxa"/>
            <w:tcMar>
              <w:top w:w="60" w:type="dxa"/>
              <w:left w:w="80" w:type="dxa"/>
              <w:bottom w:w="60" w:type="dxa"/>
              <w:right w:w="80" w:type="dxa"/>
            </w:tcMar>
            <w:vAlign w:val="center"/>
          </w:tcPr>
          <w:p w14:paraId="3CC0406F">
            <w:pPr>
              <w:jc w:val="center"/>
            </w:pPr>
            <w:r>
              <w:rPr>
                <w:rFonts w:ascii="Calibri" w:hAnsi="Calibri" w:eastAsia="Calibri" w:cs="Calibri"/>
                <w:color w:val="000000"/>
                <w:sz w:val="19"/>
                <w:szCs w:val="19"/>
              </w:rPr>
              <w:t>Physical entry</w:t>
            </w:r>
          </w:p>
        </w:tc>
        <w:tc>
          <w:tcPr>
            <w:tcW w:w="1100" w:type="dxa"/>
            <w:tcMar>
              <w:top w:w="60" w:type="dxa"/>
              <w:left w:w="80" w:type="dxa"/>
              <w:bottom w:w="60" w:type="dxa"/>
              <w:right w:w="80" w:type="dxa"/>
            </w:tcMar>
            <w:vAlign w:val="center"/>
          </w:tcPr>
          <w:p w14:paraId="304D2553">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7C874F7">
            <w:pPr>
              <w:jc w:val="center"/>
            </w:pPr>
            <w:r>
              <w:rPr>
                <w:rFonts w:ascii="Calibri" w:hAnsi="Calibri" w:eastAsia="Calibri" w:cs="Calibri"/>
                <w:color w:val="000000"/>
                <w:sz w:val="19"/>
                <w:szCs w:val="19"/>
              </w:rPr>
              <w:t>Applicable — addresses a physical security gap identified during risk assessment: visitor logging inconsistent across branch locations.</w:t>
            </w:r>
          </w:p>
        </w:tc>
        <w:tc>
          <w:tcPr>
            <w:tcW w:w="1900" w:type="dxa"/>
            <w:tcMar>
              <w:top w:w="60" w:type="dxa"/>
              <w:left w:w="80" w:type="dxa"/>
              <w:bottom w:w="60" w:type="dxa"/>
              <w:right w:w="80" w:type="dxa"/>
            </w:tcMar>
            <w:vAlign w:val="center"/>
          </w:tcPr>
          <w:p w14:paraId="5D9485FB">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A89FA74">
            <w:pPr>
              <w:jc w:val="center"/>
            </w:pPr>
            <w:r>
              <w:rPr>
                <w:rFonts w:ascii="Calibri" w:hAnsi="Calibri" w:eastAsia="Calibri" w:cs="Calibri"/>
                <w:color w:val="000000"/>
                <w:sz w:val="19"/>
                <w:szCs w:val="19"/>
              </w:rPr>
              <w:t>Physical Security Procedure</w:t>
            </w:r>
          </w:p>
        </w:tc>
      </w:tr>
      <w:tr w14:paraId="41B9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A3B33CD">
            <w:pPr>
              <w:jc w:val="center"/>
            </w:pPr>
            <w:r>
              <w:rPr>
                <w:rFonts w:ascii="Calibri" w:hAnsi="Calibri" w:eastAsia="Calibri" w:cs="Calibri"/>
                <w:color w:val="000000"/>
                <w:sz w:val="19"/>
                <w:szCs w:val="19"/>
              </w:rPr>
              <w:t>7.3</w:t>
            </w:r>
          </w:p>
        </w:tc>
        <w:tc>
          <w:tcPr>
            <w:tcW w:w="2900" w:type="dxa"/>
            <w:tcMar>
              <w:top w:w="60" w:type="dxa"/>
              <w:left w:w="80" w:type="dxa"/>
              <w:bottom w:w="60" w:type="dxa"/>
              <w:right w:w="80" w:type="dxa"/>
            </w:tcMar>
            <w:vAlign w:val="center"/>
          </w:tcPr>
          <w:p w14:paraId="2CDDB4FD">
            <w:pPr>
              <w:jc w:val="center"/>
            </w:pPr>
            <w:r>
              <w:rPr>
                <w:rFonts w:ascii="Calibri" w:hAnsi="Calibri" w:eastAsia="Calibri" w:cs="Calibri"/>
                <w:color w:val="000000"/>
                <w:sz w:val="19"/>
                <w:szCs w:val="19"/>
              </w:rPr>
              <w:t>Securing offices, rooms and facilities</w:t>
            </w:r>
          </w:p>
        </w:tc>
        <w:tc>
          <w:tcPr>
            <w:tcW w:w="1100" w:type="dxa"/>
            <w:tcMar>
              <w:top w:w="60" w:type="dxa"/>
              <w:left w:w="80" w:type="dxa"/>
              <w:bottom w:w="60" w:type="dxa"/>
              <w:right w:w="80" w:type="dxa"/>
            </w:tcMar>
            <w:vAlign w:val="center"/>
          </w:tcPr>
          <w:p w14:paraId="68E5290E">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5EC0F6E">
            <w:pPr>
              <w:jc w:val="center"/>
            </w:pPr>
            <w:r>
              <w:rPr>
                <w:rFonts w:ascii="Calibri" w:hAnsi="Calibri" w:eastAsia="Calibri" w:cs="Calibri"/>
                <w:color w:val="000000"/>
                <w:sz w:val="19"/>
                <w:szCs w:val="19"/>
              </w:rPr>
              <w:t>Applicable — addresses a physical security gap identified during risk assessment: no formal facility security policy documented.</w:t>
            </w:r>
          </w:p>
        </w:tc>
        <w:tc>
          <w:tcPr>
            <w:tcW w:w="1900" w:type="dxa"/>
            <w:tcMar>
              <w:top w:w="60" w:type="dxa"/>
              <w:left w:w="80" w:type="dxa"/>
              <w:bottom w:w="60" w:type="dxa"/>
              <w:right w:w="80" w:type="dxa"/>
            </w:tcMar>
            <w:vAlign w:val="center"/>
          </w:tcPr>
          <w:p w14:paraId="529296F4">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8BCD090">
            <w:pPr>
              <w:jc w:val="center"/>
            </w:pPr>
            <w:r>
              <w:rPr>
                <w:rFonts w:ascii="Calibri" w:hAnsi="Calibri" w:eastAsia="Calibri" w:cs="Calibri"/>
                <w:color w:val="000000"/>
                <w:sz w:val="19"/>
                <w:szCs w:val="19"/>
              </w:rPr>
              <w:t>Physical Security Procedure</w:t>
            </w:r>
          </w:p>
        </w:tc>
      </w:tr>
      <w:tr w14:paraId="5323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301FA5B">
            <w:pPr>
              <w:jc w:val="center"/>
            </w:pPr>
            <w:r>
              <w:rPr>
                <w:rFonts w:ascii="Calibri" w:hAnsi="Calibri" w:eastAsia="Calibri" w:cs="Calibri"/>
                <w:color w:val="000000"/>
                <w:sz w:val="19"/>
                <w:szCs w:val="19"/>
              </w:rPr>
              <w:t>7.4</w:t>
            </w:r>
          </w:p>
        </w:tc>
        <w:tc>
          <w:tcPr>
            <w:tcW w:w="2900" w:type="dxa"/>
            <w:tcMar>
              <w:top w:w="60" w:type="dxa"/>
              <w:left w:w="80" w:type="dxa"/>
              <w:bottom w:w="60" w:type="dxa"/>
              <w:right w:w="80" w:type="dxa"/>
            </w:tcMar>
            <w:vAlign w:val="center"/>
          </w:tcPr>
          <w:p w14:paraId="6D9376E4">
            <w:pPr>
              <w:jc w:val="center"/>
            </w:pPr>
            <w:r>
              <w:rPr>
                <w:rFonts w:ascii="Calibri" w:hAnsi="Calibri" w:eastAsia="Calibri" w:cs="Calibri"/>
                <w:color w:val="000000"/>
                <w:sz w:val="19"/>
                <w:szCs w:val="19"/>
              </w:rPr>
              <w:t>Physical security monitoring</w:t>
            </w:r>
          </w:p>
        </w:tc>
        <w:tc>
          <w:tcPr>
            <w:tcW w:w="1100" w:type="dxa"/>
            <w:tcMar>
              <w:top w:w="60" w:type="dxa"/>
              <w:left w:w="80" w:type="dxa"/>
              <w:bottom w:w="60" w:type="dxa"/>
              <w:right w:w="80" w:type="dxa"/>
            </w:tcMar>
            <w:vAlign w:val="center"/>
          </w:tcPr>
          <w:p w14:paraId="3318A0CD">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6B15A0D">
            <w:pPr>
              <w:jc w:val="center"/>
            </w:pPr>
            <w:r>
              <w:rPr>
                <w:rFonts w:ascii="Calibri" w:hAnsi="Calibri" w:eastAsia="Calibri" w:cs="Calibri"/>
                <w:color w:val="000000"/>
                <w:sz w:val="19"/>
                <w:szCs w:val="19"/>
              </w:rPr>
              <w:t>Applicable — addresses a physical security gap identified during risk assessment: not integrated with SIEM or the monitoring team.</w:t>
            </w:r>
          </w:p>
        </w:tc>
        <w:tc>
          <w:tcPr>
            <w:tcW w:w="1900" w:type="dxa"/>
            <w:tcMar>
              <w:top w:w="60" w:type="dxa"/>
              <w:left w:w="80" w:type="dxa"/>
              <w:bottom w:w="60" w:type="dxa"/>
              <w:right w:w="80" w:type="dxa"/>
            </w:tcMar>
            <w:vAlign w:val="center"/>
          </w:tcPr>
          <w:p w14:paraId="486F3A1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47783D9">
            <w:pPr>
              <w:jc w:val="center"/>
            </w:pPr>
            <w:r>
              <w:rPr>
                <w:rFonts w:ascii="Calibri" w:hAnsi="Calibri" w:eastAsia="Calibri" w:cs="Calibri"/>
                <w:color w:val="000000"/>
                <w:sz w:val="19"/>
                <w:szCs w:val="19"/>
              </w:rPr>
              <w:t>Physical Security Procedure</w:t>
            </w:r>
          </w:p>
        </w:tc>
      </w:tr>
      <w:tr w14:paraId="5417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5ADB0D8">
            <w:pPr>
              <w:jc w:val="center"/>
            </w:pPr>
            <w:r>
              <w:rPr>
                <w:rFonts w:ascii="Calibri" w:hAnsi="Calibri" w:eastAsia="Calibri" w:cs="Calibri"/>
                <w:color w:val="000000"/>
                <w:sz w:val="19"/>
                <w:szCs w:val="19"/>
              </w:rPr>
              <w:t>7.5</w:t>
            </w:r>
          </w:p>
        </w:tc>
        <w:tc>
          <w:tcPr>
            <w:tcW w:w="2900" w:type="dxa"/>
            <w:tcMar>
              <w:top w:w="60" w:type="dxa"/>
              <w:left w:w="80" w:type="dxa"/>
              <w:bottom w:w="60" w:type="dxa"/>
              <w:right w:w="80" w:type="dxa"/>
            </w:tcMar>
            <w:vAlign w:val="center"/>
          </w:tcPr>
          <w:p w14:paraId="20CEFC9B">
            <w:pPr>
              <w:jc w:val="center"/>
            </w:pPr>
            <w:r>
              <w:rPr>
                <w:rFonts w:ascii="Calibri" w:hAnsi="Calibri" w:eastAsia="Calibri" w:cs="Calibri"/>
                <w:color w:val="000000"/>
                <w:sz w:val="19"/>
                <w:szCs w:val="19"/>
              </w:rPr>
              <w:t>Protecting against physical and environmental threats</w:t>
            </w:r>
          </w:p>
        </w:tc>
        <w:tc>
          <w:tcPr>
            <w:tcW w:w="1100" w:type="dxa"/>
            <w:tcMar>
              <w:top w:w="60" w:type="dxa"/>
              <w:left w:w="80" w:type="dxa"/>
              <w:bottom w:w="60" w:type="dxa"/>
              <w:right w:w="80" w:type="dxa"/>
            </w:tcMar>
            <w:vAlign w:val="center"/>
          </w:tcPr>
          <w:p w14:paraId="15C0FFE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06757C1">
            <w:pPr>
              <w:jc w:val="center"/>
            </w:pPr>
            <w:r>
              <w:rPr>
                <w:rFonts w:ascii="Calibri" w:hAnsi="Calibri" w:eastAsia="Calibri" w:cs="Calibri"/>
                <w:color w:val="000000"/>
                <w:sz w:val="19"/>
                <w:szCs w:val="19"/>
              </w:rPr>
              <w:t>Applicable — addresses a physical security gap identified during risk assessment: no documented environmental risk assessment.</w:t>
            </w:r>
          </w:p>
        </w:tc>
        <w:tc>
          <w:tcPr>
            <w:tcW w:w="1900" w:type="dxa"/>
            <w:tcMar>
              <w:top w:w="60" w:type="dxa"/>
              <w:left w:w="80" w:type="dxa"/>
              <w:bottom w:w="60" w:type="dxa"/>
              <w:right w:w="80" w:type="dxa"/>
            </w:tcMar>
            <w:vAlign w:val="center"/>
          </w:tcPr>
          <w:p w14:paraId="2DFA18AD">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D47AE81">
            <w:pPr>
              <w:jc w:val="center"/>
            </w:pPr>
            <w:r>
              <w:rPr>
                <w:rFonts w:ascii="Calibri" w:hAnsi="Calibri" w:eastAsia="Calibri" w:cs="Calibri"/>
                <w:color w:val="000000"/>
                <w:sz w:val="19"/>
                <w:szCs w:val="19"/>
              </w:rPr>
              <w:t>Physical Security Procedure</w:t>
            </w:r>
          </w:p>
        </w:tc>
      </w:tr>
      <w:tr w14:paraId="40BF8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FC21ECE">
            <w:pPr>
              <w:jc w:val="center"/>
            </w:pPr>
            <w:r>
              <w:rPr>
                <w:rFonts w:ascii="Calibri" w:hAnsi="Calibri" w:eastAsia="Calibri" w:cs="Calibri"/>
                <w:color w:val="000000"/>
                <w:sz w:val="19"/>
                <w:szCs w:val="19"/>
              </w:rPr>
              <w:t>7.6</w:t>
            </w:r>
          </w:p>
        </w:tc>
        <w:tc>
          <w:tcPr>
            <w:tcW w:w="2900" w:type="dxa"/>
            <w:tcMar>
              <w:top w:w="60" w:type="dxa"/>
              <w:left w:w="80" w:type="dxa"/>
              <w:bottom w:w="60" w:type="dxa"/>
              <w:right w:w="80" w:type="dxa"/>
            </w:tcMar>
            <w:vAlign w:val="center"/>
          </w:tcPr>
          <w:p w14:paraId="2CACEE8B">
            <w:pPr>
              <w:jc w:val="center"/>
            </w:pPr>
            <w:r>
              <w:rPr>
                <w:rFonts w:ascii="Calibri" w:hAnsi="Calibri" w:eastAsia="Calibri" w:cs="Calibri"/>
                <w:color w:val="000000"/>
                <w:sz w:val="19"/>
                <w:szCs w:val="19"/>
              </w:rPr>
              <w:t>Working in secure areas</w:t>
            </w:r>
          </w:p>
        </w:tc>
        <w:tc>
          <w:tcPr>
            <w:tcW w:w="1100" w:type="dxa"/>
            <w:tcMar>
              <w:top w:w="60" w:type="dxa"/>
              <w:left w:w="80" w:type="dxa"/>
              <w:bottom w:w="60" w:type="dxa"/>
              <w:right w:w="80" w:type="dxa"/>
            </w:tcMar>
            <w:vAlign w:val="center"/>
          </w:tcPr>
          <w:p w14:paraId="3D724CA4">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F8BFEE9">
            <w:pPr>
              <w:jc w:val="center"/>
            </w:pPr>
            <w:r>
              <w:rPr>
                <w:rFonts w:ascii="Calibri" w:hAnsi="Calibri" w:eastAsia="Calibri" w:cs="Calibri"/>
                <w:color w:val="000000"/>
                <w:sz w:val="19"/>
                <w:szCs w:val="19"/>
              </w:rPr>
              <w:t>Applicable — addresses a physical security gap identified during risk assessment: no formal secure-area working procedure.</w:t>
            </w:r>
          </w:p>
        </w:tc>
        <w:tc>
          <w:tcPr>
            <w:tcW w:w="1900" w:type="dxa"/>
            <w:tcMar>
              <w:top w:w="60" w:type="dxa"/>
              <w:left w:w="80" w:type="dxa"/>
              <w:bottom w:w="60" w:type="dxa"/>
              <w:right w:w="80" w:type="dxa"/>
            </w:tcMar>
            <w:vAlign w:val="center"/>
          </w:tcPr>
          <w:p w14:paraId="3857EB23">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466FAC7">
            <w:pPr>
              <w:jc w:val="center"/>
            </w:pPr>
            <w:r>
              <w:rPr>
                <w:rFonts w:ascii="Calibri" w:hAnsi="Calibri" w:eastAsia="Calibri" w:cs="Calibri"/>
                <w:color w:val="000000"/>
                <w:sz w:val="19"/>
                <w:szCs w:val="19"/>
              </w:rPr>
              <w:t>Physical Security Procedure</w:t>
            </w:r>
          </w:p>
        </w:tc>
      </w:tr>
      <w:tr w14:paraId="34517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9B17B8D">
            <w:pPr>
              <w:jc w:val="center"/>
            </w:pPr>
            <w:r>
              <w:rPr>
                <w:rFonts w:ascii="Calibri" w:hAnsi="Calibri" w:eastAsia="Calibri" w:cs="Calibri"/>
                <w:color w:val="000000"/>
                <w:sz w:val="19"/>
                <w:szCs w:val="19"/>
              </w:rPr>
              <w:t>7.7</w:t>
            </w:r>
          </w:p>
        </w:tc>
        <w:tc>
          <w:tcPr>
            <w:tcW w:w="2900" w:type="dxa"/>
            <w:tcMar>
              <w:top w:w="60" w:type="dxa"/>
              <w:left w:w="80" w:type="dxa"/>
              <w:bottom w:w="60" w:type="dxa"/>
              <w:right w:w="80" w:type="dxa"/>
            </w:tcMar>
            <w:vAlign w:val="center"/>
          </w:tcPr>
          <w:p w14:paraId="5C425D15">
            <w:pPr>
              <w:jc w:val="center"/>
            </w:pPr>
            <w:r>
              <w:rPr>
                <w:rFonts w:ascii="Calibri" w:hAnsi="Calibri" w:eastAsia="Calibri" w:cs="Calibri"/>
                <w:color w:val="000000"/>
                <w:sz w:val="19"/>
                <w:szCs w:val="19"/>
              </w:rPr>
              <w:t>Clear desk and clear screen</w:t>
            </w:r>
          </w:p>
        </w:tc>
        <w:tc>
          <w:tcPr>
            <w:tcW w:w="1100" w:type="dxa"/>
            <w:tcMar>
              <w:top w:w="60" w:type="dxa"/>
              <w:left w:w="80" w:type="dxa"/>
              <w:bottom w:w="60" w:type="dxa"/>
              <w:right w:w="80" w:type="dxa"/>
            </w:tcMar>
            <w:vAlign w:val="center"/>
          </w:tcPr>
          <w:p w14:paraId="214CFBB0">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654F163">
            <w:pPr>
              <w:jc w:val="center"/>
            </w:pPr>
            <w:r>
              <w:rPr>
                <w:rFonts w:ascii="Calibri" w:hAnsi="Calibri" w:eastAsia="Calibri" w:cs="Calibri"/>
                <w:color w:val="000000"/>
                <w:sz w:val="19"/>
                <w:szCs w:val="19"/>
              </w:rPr>
              <w:t>Applicable — addresses a physical security gap identified during risk assessment: not enforced or periodically audited.</w:t>
            </w:r>
          </w:p>
        </w:tc>
        <w:tc>
          <w:tcPr>
            <w:tcW w:w="1900" w:type="dxa"/>
            <w:tcMar>
              <w:top w:w="60" w:type="dxa"/>
              <w:left w:w="80" w:type="dxa"/>
              <w:bottom w:w="60" w:type="dxa"/>
              <w:right w:w="80" w:type="dxa"/>
            </w:tcMar>
            <w:vAlign w:val="center"/>
          </w:tcPr>
          <w:p w14:paraId="03030D69">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9B42D1D">
            <w:pPr>
              <w:jc w:val="center"/>
            </w:pPr>
            <w:r>
              <w:rPr>
                <w:rFonts w:ascii="Calibri" w:hAnsi="Calibri" w:eastAsia="Calibri" w:cs="Calibri"/>
                <w:color w:val="000000"/>
                <w:sz w:val="19"/>
                <w:szCs w:val="19"/>
              </w:rPr>
              <w:t>Physical Security Procedure</w:t>
            </w:r>
          </w:p>
        </w:tc>
      </w:tr>
      <w:tr w14:paraId="0106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9876A93">
            <w:pPr>
              <w:jc w:val="center"/>
            </w:pPr>
            <w:r>
              <w:rPr>
                <w:rFonts w:ascii="Calibri" w:hAnsi="Calibri" w:eastAsia="Calibri" w:cs="Calibri"/>
                <w:color w:val="000000"/>
                <w:sz w:val="19"/>
                <w:szCs w:val="19"/>
              </w:rPr>
              <w:t>7.8</w:t>
            </w:r>
          </w:p>
        </w:tc>
        <w:tc>
          <w:tcPr>
            <w:tcW w:w="2900" w:type="dxa"/>
            <w:tcMar>
              <w:top w:w="60" w:type="dxa"/>
              <w:left w:w="80" w:type="dxa"/>
              <w:bottom w:w="60" w:type="dxa"/>
              <w:right w:w="80" w:type="dxa"/>
            </w:tcMar>
            <w:vAlign w:val="center"/>
          </w:tcPr>
          <w:p w14:paraId="0B8EBC66">
            <w:pPr>
              <w:jc w:val="center"/>
            </w:pPr>
            <w:r>
              <w:rPr>
                <w:rFonts w:ascii="Calibri" w:hAnsi="Calibri" w:eastAsia="Calibri" w:cs="Calibri"/>
                <w:color w:val="000000"/>
                <w:sz w:val="19"/>
                <w:szCs w:val="19"/>
              </w:rPr>
              <w:t>Equipment siting and protection</w:t>
            </w:r>
          </w:p>
        </w:tc>
        <w:tc>
          <w:tcPr>
            <w:tcW w:w="1100" w:type="dxa"/>
            <w:tcMar>
              <w:top w:w="60" w:type="dxa"/>
              <w:left w:w="80" w:type="dxa"/>
              <w:bottom w:w="60" w:type="dxa"/>
              <w:right w:w="80" w:type="dxa"/>
            </w:tcMar>
            <w:vAlign w:val="center"/>
          </w:tcPr>
          <w:p w14:paraId="48EA228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683FF4B">
            <w:pPr>
              <w:jc w:val="center"/>
            </w:pPr>
            <w:r>
              <w:rPr>
                <w:rFonts w:ascii="Calibri" w:hAnsi="Calibri" w:eastAsia="Calibri" w:cs="Calibri"/>
                <w:color w:val="000000"/>
                <w:sz w:val="19"/>
                <w:szCs w:val="19"/>
              </w:rPr>
              <w:t>Applicable — addresses a physical security gap identified during risk assessment: no formal equipment siting risk assessment.</w:t>
            </w:r>
          </w:p>
        </w:tc>
        <w:tc>
          <w:tcPr>
            <w:tcW w:w="1900" w:type="dxa"/>
            <w:tcMar>
              <w:top w:w="60" w:type="dxa"/>
              <w:left w:w="80" w:type="dxa"/>
              <w:bottom w:w="60" w:type="dxa"/>
              <w:right w:w="80" w:type="dxa"/>
            </w:tcMar>
            <w:vAlign w:val="center"/>
          </w:tcPr>
          <w:p w14:paraId="0E7648D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F6B9D72">
            <w:pPr>
              <w:jc w:val="center"/>
            </w:pPr>
            <w:r>
              <w:rPr>
                <w:rFonts w:ascii="Calibri" w:hAnsi="Calibri" w:eastAsia="Calibri" w:cs="Calibri"/>
                <w:color w:val="000000"/>
                <w:sz w:val="19"/>
                <w:szCs w:val="19"/>
              </w:rPr>
              <w:t>Physical Security Procedure</w:t>
            </w:r>
          </w:p>
        </w:tc>
      </w:tr>
      <w:tr w14:paraId="2B11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429B6CD">
            <w:pPr>
              <w:jc w:val="center"/>
            </w:pPr>
            <w:r>
              <w:rPr>
                <w:rFonts w:ascii="Calibri" w:hAnsi="Calibri" w:eastAsia="Calibri" w:cs="Calibri"/>
                <w:color w:val="000000"/>
                <w:sz w:val="19"/>
                <w:szCs w:val="19"/>
              </w:rPr>
              <w:t>7.9</w:t>
            </w:r>
          </w:p>
        </w:tc>
        <w:tc>
          <w:tcPr>
            <w:tcW w:w="2900" w:type="dxa"/>
            <w:tcMar>
              <w:top w:w="60" w:type="dxa"/>
              <w:left w:w="80" w:type="dxa"/>
              <w:bottom w:w="60" w:type="dxa"/>
              <w:right w:w="80" w:type="dxa"/>
            </w:tcMar>
            <w:vAlign w:val="center"/>
          </w:tcPr>
          <w:p w14:paraId="2F8D15B3">
            <w:pPr>
              <w:jc w:val="center"/>
            </w:pPr>
            <w:r>
              <w:rPr>
                <w:rFonts w:ascii="Calibri" w:hAnsi="Calibri" w:eastAsia="Calibri" w:cs="Calibri"/>
                <w:color w:val="000000"/>
                <w:sz w:val="19"/>
                <w:szCs w:val="19"/>
              </w:rPr>
              <w:t>Security of assets off-premises</w:t>
            </w:r>
          </w:p>
        </w:tc>
        <w:tc>
          <w:tcPr>
            <w:tcW w:w="1100" w:type="dxa"/>
            <w:tcMar>
              <w:top w:w="60" w:type="dxa"/>
              <w:left w:w="80" w:type="dxa"/>
              <w:bottom w:w="60" w:type="dxa"/>
              <w:right w:w="80" w:type="dxa"/>
            </w:tcMar>
            <w:vAlign w:val="center"/>
          </w:tcPr>
          <w:p w14:paraId="3350068C">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3094E67">
            <w:pPr>
              <w:jc w:val="center"/>
            </w:pPr>
            <w:r>
              <w:rPr>
                <w:rFonts w:ascii="Calibri" w:hAnsi="Calibri" w:eastAsia="Calibri" w:cs="Calibri"/>
                <w:color w:val="000000"/>
                <w:sz w:val="19"/>
                <w:szCs w:val="19"/>
              </w:rPr>
              <w:t>Applicable — addresses a physical security gap identified during risk assessment: no policy governing security of off-premises assets.</w:t>
            </w:r>
          </w:p>
        </w:tc>
        <w:tc>
          <w:tcPr>
            <w:tcW w:w="1900" w:type="dxa"/>
            <w:tcMar>
              <w:top w:w="60" w:type="dxa"/>
              <w:left w:w="80" w:type="dxa"/>
              <w:bottom w:w="60" w:type="dxa"/>
              <w:right w:w="80" w:type="dxa"/>
            </w:tcMar>
            <w:vAlign w:val="center"/>
          </w:tcPr>
          <w:p w14:paraId="5F019461">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01CE816">
            <w:pPr>
              <w:jc w:val="center"/>
            </w:pPr>
            <w:r>
              <w:rPr>
                <w:rFonts w:ascii="Calibri" w:hAnsi="Calibri" w:eastAsia="Calibri" w:cs="Calibri"/>
                <w:color w:val="000000"/>
                <w:sz w:val="19"/>
                <w:szCs w:val="19"/>
              </w:rPr>
              <w:t>Physical Security Procedure</w:t>
            </w:r>
          </w:p>
        </w:tc>
      </w:tr>
      <w:tr w14:paraId="1336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ABEFF76">
            <w:pPr>
              <w:jc w:val="center"/>
            </w:pPr>
            <w:r>
              <w:rPr>
                <w:rFonts w:ascii="Calibri" w:hAnsi="Calibri" w:eastAsia="Calibri" w:cs="Calibri"/>
                <w:color w:val="000000"/>
                <w:sz w:val="19"/>
                <w:szCs w:val="19"/>
              </w:rPr>
              <w:t>7.10</w:t>
            </w:r>
          </w:p>
        </w:tc>
        <w:tc>
          <w:tcPr>
            <w:tcW w:w="2900" w:type="dxa"/>
            <w:tcMar>
              <w:top w:w="60" w:type="dxa"/>
              <w:left w:w="80" w:type="dxa"/>
              <w:bottom w:w="60" w:type="dxa"/>
              <w:right w:w="80" w:type="dxa"/>
            </w:tcMar>
            <w:vAlign w:val="center"/>
          </w:tcPr>
          <w:p w14:paraId="3042E857">
            <w:pPr>
              <w:jc w:val="center"/>
            </w:pPr>
            <w:r>
              <w:rPr>
                <w:rFonts w:ascii="Calibri" w:hAnsi="Calibri" w:eastAsia="Calibri" w:cs="Calibri"/>
                <w:color w:val="000000"/>
                <w:sz w:val="19"/>
                <w:szCs w:val="19"/>
              </w:rPr>
              <w:t>Storage media</w:t>
            </w:r>
          </w:p>
        </w:tc>
        <w:tc>
          <w:tcPr>
            <w:tcW w:w="1100" w:type="dxa"/>
            <w:tcMar>
              <w:top w:w="60" w:type="dxa"/>
              <w:left w:w="80" w:type="dxa"/>
              <w:bottom w:w="60" w:type="dxa"/>
              <w:right w:w="80" w:type="dxa"/>
            </w:tcMar>
            <w:vAlign w:val="center"/>
          </w:tcPr>
          <w:p w14:paraId="1350334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9B8E5BC">
            <w:pPr>
              <w:jc w:val="center"/>
            </w:pPr>
            <w:r>
              <w:rPr>
                <w:rFonts w:ascii="Calibri" w:hAnsi="Calibri" w:eastAsia="Calibri" w:cs="Calibri"/>
                <w:color w:val="000000"/>
                <w:sz w:val="19"/>
                <w:szCs w:val="19"/>
              </w:rPr>
              <w:t>Applicable — addresses a physical security gap identified during risk assessment: no secure media handling and disposal procedure.</w:t>
            </w:r>
          </w:p>
        </w:tc>
        <w:tc>
          <w:tcPr>
            <w:tcW w:w="1900" w:type="dxa"/>
            <w:tcMar>
              <w:top w:w="60" w:type="dxa"/>
              <w:left w:w="80" w:type="dxa"/>
              <w:bottom w:w="60" w:type="dxa"/>
              <w:right w:w="80" w:type="dxa"/>
            </w:tcMar>
            <w:vAlign w:val="center"/>
          </w:tcPr>
          <w:p w14:paraId="70124CDE">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44CAFBA9">
            <w:pPr>
              <w:jc w:val="center"/>
            </w:pPr>
            <w:r>
              <w:rPr>
                <w:rFonts w:ascii="Calibri" w:hAnsi="Calibri" w:eastAsia="Calibri" w:cs="Calibri"/>
                <w:color w:val="000000"/>
                <w:sz w:val="19"/>
                <w:szCs w:val="19"/>
              </w:rPr>
              <w:t>Physical Security Procedure</w:t>
            </w:r>
          </w:p>
        </w:tc>
      </w:tr>
      <w:tr w14:paraId="5DEA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E1FB9DD">
            <w:pPr>
              <w:jc w:val="center"/>
            </w:pPr>
            <w:r>
              <w:rPr>
                <w:rFonts w:ascii="Calibri" w:hAnsi="Calibri" w:eastAsia="Calibri" w:cs="Calibri"/>
                <w:color w:val="000000"/>
                <w:sz w:val="19"/>
                <w:szCs w:val="19"/>
              </w:rPr>
              <w:t>7.11</w:t>
            </w:r>
          </w:p>
        </w:tc>
        <w:tc>
          <w:tcPr>
            <w:tcW w:w="2900" w:type="dxa"/>
            <w:tcMar>
              <w:top w:w="60" w:type="dxa"/>
              <w:left w:w="80" w:type="dxa"/>
              <w:bottom w:w="60" w:type="dxa"/>
              <w:right w:w="80" w:type="dxa"/>
            </w:tcMar>
            <w:vAlign w:val="center"/>
          </w:tcPr>
          <w:p w14:paraId="4748EDE2">
            <w:pPr>
              <w:jc w:val="center"/>
            </w:pPr>
            <w:r>
              <w:rPr>
                <w:rFonts w:ascii="Calibri" w:hAnsi="Calibri" w:eastAsia="Calibri" w:cs="Calibri"/>
                <w:color w:val="000000"/>
                <w:sz w:val="19"/>
                <w:szCs w:val="19"/>
              </w:rPr>
              <w:t>Supporting utilities</w:t>
            </w:r>
          </w:p>
        </w:tc>
        <w:tc>
          <w:tcPr>
            <w:tcW w:w="1100" w:type="dxa"/>
            <w:tcMar>
              <w:top w:w="60" w:type="dxa"/>
              <w:left w:w="80" w:type="dxa"/>
              <w:bottom w:w="60" w:type="dxa"/>
              <w:right w:w="80" w:type="dxa"/>
            </w:tcMar>
            <w:vAlign w:val="center"/>
          </w:tcPr>
          <w:p w14:paraId="655FA9F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80E303B">
            <w:pPr>
              <w:jc w:val="center"/>
            </w:pPr>
            <w:r>
              <w:rPr>
                <w:rFonts w:ascii="Calibri" w:hAnsi="Calibri" w:eastAsia="Calibri" w:cs="Calibri"/>
                <w:color w:val="000000"/>
                <w:sz w:val="19"/>
                <w:szCs w:val="19"/>
              </w:rPr>
              <w:t>Applicable — addresses a physical security gap identified during risk assessment: no formal, scheduled utility failure testing.</w:t>
            </w:r>
          </w:p>
        </w:tc>
        <w:tc>
          <w:tcPr>
            <w:tcW w:w="1900" w:type="dxa"/>
            <w:tcMar>
              <w:top w:w="60" w:type="dxa"/>
              <w:left w:w="80" w:type="dxa"/>
              <w:bottom w:w="60" w:type="dxa"/>
              <w:right w:w="80" w:type="dxa"/>
            </w:tcMar>
            <w:vAlign w:val="center"/>
          </w:tcPr>
          <w:p w14:paraId="1C43306B">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DCC0269">
            <w:pPr>
              <w:jc w:val="center"/>
            </w:pPr>
            <w:r>
              <w:rPr>
                <w:rFonts w:ascii="Calibri" w:hAnsi="Calibri" w:eastAsia="Calibri" w:cs="Calibri"/>
                <w:color w:val="000000"/>
                <w:sz w:val="19"/>
                <w:szCs w:val="19"/>
              </w:rPr>
              <w:t>Physical Security Procedure</w:t>
            </w:r>
          </w:p>
        </w:tc>
      </w:tr>
      <w:tr w14:paraId="4DAF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720EED4">
            <w:pPr>
              <w:jc w:val="center"/>
            </w:pPr>
            <w:r>
              <w:rPr>
                <w:rFonts w:ascii="Calibri" w:hAnsi="Calibri" w:eastAsia="Calibri" w:cs="Calibri"/>
                <w:color w:val="000000"/>
                <w:sz w:val="19"/>
                <w:szCs w:val="19"/>
              </w:rPr>
              <w:t>7.12</w:t>
            </w:r>
          </w:p>
        </w:tc>
        <w:tc>
          <w:tcPr>
            <w:tcW w:w="2900" w:type="dxa"/>
            <w:tcMar>
              <w:top w:w="60" w:type="dxa"/>
              <w:left w:w="80" w:type="dxa"/>
              <w:bottom w:w="60" w:type="dxa"/>
              <w:right w:w="80" w:type="dxa"/>
            </w:tcMar>
            <w:vAlign w:val="center"/>
          </w:tcPr>
          <w:p w14:paraId="6F80D2FF">
            <w:pPr>
              <w:jc w:val="center"/>
            </w:pPr>
            <w:r>
              <w:rPr>
                <w:rFonts w:ascii="Calibri" w:hAnsi="Calibri" w:eastAsia="Calibri" w:cs="Calibri"/>
                <w:color w:val="000000"/>
                <w:sz w:val="19"/>
                <w:szCs w:val="19"/>
              </w:rPr>
              <w:t>Cabling security</w:t>
            </w:r>
          </w:p>
        </w:tc>
        <w:tc>
          <w:tcPr>
            <w:tcW w:w="1100" w:type="dxa"/>
            <w:tcMar>
              <w:top w:w="60" w:type="dxa"/>
              <w:left w:w="80" w:type="dxa"/>
              <w:bottom w:w="60" w:type="dxa"/>
              <w:right w:w="80" w:type="dxa"/>
            </w:tcMar>
            <w:vAlign w:val="center"/>
          </w:tcPr>
          <w:p w14:paraId="599D9679">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D285442">
            <w:pPr>
              <w:jc w:val="center"/>
            </w:pPr>
            <w:r>
              <w:rPr>
                <w:rFonts w:ascii="Calibri" w:hAnsi="Calibri" w:eastAsia="Calibri" w:cs="Calibri"/>
                <w:color w:val="000000"/>
                <w:sz w:val="19"/>
                <w:szCs w:val="19"/>
              </w:rPr>
              <w:t>Applicable — addresses a physical security gap identified during risk assessment: not documented or inspected on a periodic basis.</w:t>
            </w:r>
          </w:p>
        </w:tc>
        <w:tc>
          <w:tcPr>
            <w:tcW w:w="1900" w:type="dxa"/>
            <w:tcMar>
              <w:top w:w="60" w:type="dxa"/>
              <w:left w:w="80" w:type="dxa"/>
              <w:bottom w:w="60" w:type="dxa"/>
              <w:right w:w="80" w:type="dxa"/>
            </w:tcMar>
            <w:vAlign w:val="center"/>
          </w:tcPr>
          <w:p w14:paraId="7ADBEDF1">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FE81A2C">
            <w:pPr>
              <w:jc w:val="center"/>
            </w:pPr>
            <w:r>
              <w:rPr>
                <w:rFonts w:ascii="Calibri" w:hAnsi="Calibri" w:eastAsia="Calibri" w:cs="Calibri"/>
                <w:color w:val="000000"/>
                <w:sz w:val="19"/>
                <w:szCs w:val="19"/>
              </w:rPr>
              <w:t>Physical Security Procedure</w:t>
            </w:r>
          </w:p>
        </w:tc>
      </w:tr>
      <w:tr w14:paraId="273D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71F499F">
            <w:pPr>
              <w:jc w:val="center"/>
            </w:pPr>
            <w:r>
              <w:rPr>
                <w:rFonts w:ascii="Calibri" w:hAnsi="Calibri" w:eastAsia="Calibri" w:cs="Calibri"/>
                <w:color w:val="000000"/>
                <w:sz w:val="19"/>
                <w:szCs w:val="19"/>
              </w:rPr>
              <w:t>7.13</w:t>
            </w:r>
          </w:p>
        </w:tc>
        <w:tc>
          <w:tcPr>
            <w:tcW w:w="2900" w:type="dxa"/>
            <w:tcMar>
              <w:top w:w="60" w:type="dxa"/>
              <w:left w:w="80" w:type="dxa"/>
              <w:bottom w:w="60" w:type="dxa"/>
              <w:right w:w="80" w:type="dxa"/>
            </w:tcMar>
            <w:vAlign w:val="center"/>
          </w:tcPr>
          <w:p w14:paraId="568AEECC">
            <w:pPr>
              <w:jc w:val="center"/>
            </w:pPr>
            <w:r>
              <w:rPr>
                <w:rFonts w:ascii="Calibri" w:hAnsi="Calibri" w:eastAsia="Calibri" w:cs="Calibri"/>
                <w:color w:val="000000"/>
                <w:sz w:val="19"/>
                <w:szCs w:val="19"/>
              </w:rPr>
              <w:t>Equipment maintenance</w:t>
            </w:r>
          </w:p>
        </w:tc>
        <w:tc>
          <w:tcPr>
            <w:tcW w:w="1100" w:type="dxa"/>
            <w:tcMar>
              <w:top w:w="60" w:type="dxa"/>
              <w:left w:w="80" w:type="dxa"/>
              <w:bottom w:w="60" w:type="dxa"/>
              <w:right w:w="80" w:type="dxa"/>
            </w:tcMar>
            <w:vAlign w:val="center"/>
          </w:tcPr>
          <w:p w14:paraId="1999609B">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B687AF0">
            <w:pPr>
              <w:jc w:val="center"/>
            </w:pPr>
            <w:r>
              <w:rPr>
                <w:rFonts w:ascii="Calibri" w:hAnsi="Calibri" w:eastAsia="Calibri" w:cs="Calibri"/>
                <w:color w:val="000000"/>
                <w:sz w:val="19"/>
                <w:szCs w:val="19"/>
              </w:rPr>
              <w:t>Applicable — addresses a physical security gap identified during risk assessment: no centralized equipment maintenance log.</w:t>
            </w:r>
          </w:p>
        </w:tc>
        <w:tc>
          <w:tcPr>
            <w:tcW w:w="1900" w:type="dxa"/>
            <w:tcMar>
              <w:top w:w="60" w:type="dxa"/>
              <w:left w:w="80" w:type="dxa"/>
              <w:bottom w:w="60" w:type="dxa"/>
              <w:right w:w="80" w:type="dxa"/>
            </w:tcMar>
            <w:vAlign w:val="center"/>
          </w:tcPr>
          <w:p w14:paraId="0B1BEE8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4F282266">
            <w:pPr>
              <w:jc w:val="center"/>
            </w:pPr>
            <w:r>
              <w:rPr>
                <w:rFonts w:ascii="Calibri" w:hAnsi="Calibri" w:eastAsia="Calibri" w:cs="Calibri"/>
                <w:color w:val="000000"/>
                <w:sz w:val="19"/>
                <w:szCs w:val="19"/>
              </w:rPr>
              <w:t>Physical Security Procedure</w:t>
            </w:r>
          </w:p>
        </w:tc>
      </w:tr>
      <w:tr w14:paraId="0367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CB4C6D6">
            <w:pPr>
              <w:jc w:val="center"/>
            </w:pPr>
            <w:r>
              <w:rPr>
                <w:rFonts w:ascii="Calibri" w:hAnsi="Calibri" w:eastAsia="Calibri" w:cs="Calibri"/>
                <w:color w:val="000000"/>
                <w:sz w:val="19"/>
                <w:szCs w:val="19"/>
              </w:rPr>
              <w:t>7.14</w:t>
            </w:r>
          </w:p>
        </w:tc>
        <w:tc>
          <w:tcPr>
            <w:tcW w:w="2900" w:type="dxa"/>
            <w:tcMar>
              <w:top w:w="60" w:type="dxa"/>
              <w:left w:w="80" w:type="dxa"/>
              <w:bottom w:w="60" w:type="dxa"/>
              <w:right w:w="80" w:type="dxa"/>
            </w:tcMar>
            <w:vAlign w:val="center"/>
          </w:tcPr>
          <w:p w14:paraId="64737A45">
            <w:pPr>
              <w:jc w:val="center"/>
            </w:pPr>
            <w:r>
              <w:rPr>
                <w:rFonts w:ascii="Calibri" w:hAnsi="Calibri" w:eastAsia="Calibri" w:cs="Calibri"/>
                <w:color w:val="000000"/>
                <w:sz w:val="19"/>
                <w:szCs w:val="19"/>
              </w:rPr>
              <w:t>Secure disposal or re-use of equipment</w:t>
            </w:r>
          </w:p>
        </w:tc>
        <w:tc>
          <w:tcPr>
            <w:tcW w:w="1100" w:type="dxa"/>
            <w:tcMar>
              <w:top w:w="60" w:type="dxa"/>
              <w:left w:w="80" w:type="dxa"/>
              <w:bottom w:w="60" w:type="dxa"/>
              <w:right w:w="80" w:type="dxa"/>
            </w:tcMar>
            <w:vAlign w:val="center"/>
          </w:tcPr>
          <w:p w14:paraId="6217F820">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D9C3C50">
            <w:pPr>
              <w:jc w:val="center"/>
            </w:pPr>
            <w:r>
              <w:rPr>
                <w:rFonts w:ascii="Calibri" w:hAnsi="Calibri" w:eastAsia="Calibri" w:cs="Calibri"/>
                <w:color w:val="000000"/>
                <w:sz w:val="19"/>
                <w:szCs w:val="19"/>
              </w:rPr>
              <w:t>Applicable — addresses a physical security gap identified during risk assessment: no certified secure data wiping or disposal procedure.</w:t>
            </w:r>
          </w:p>
        </w:tc>
        <w:tc>
          <w:tcPr>
            <w:tcW w:w="1900" w:type="dxa"/>
            <w:tcMar>
              <w:top w:w="60" w:type="dxa"/>
              <w:left w:w="80" w:type="dxa"/>
              <w:bottom w:w="60" w:type="dxa"/>
              <w:right w:w="80" w:type="dxa"/>
            </w:tcMar>
            <w:vAlign w:val="center"/>
          </w:tcPr>
          <w:p w14:paraId="7ED5A36D">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F09477D">
            <w:pPr>
              <w:jc w:val="center"/>
            </w:pPr>
            <w:r>
              <w:rPr>
                <w:rFonts w:ascii="Calibri" w:hAnsi="Calibri" w:eastAsia="Calibri" w:cs="Calibri"/>
                <w:color w:val="000000"/>
                <w:sz w:val="19"/>
                <w:szCs w:val="19"/>
              </w:rPr>
              <w:t>Physical Security Procedure</w:t>
            </w:r>
          </w:p>
        </w:tc>
      </w:tr>
    </w:tbl>
    <w:p w14:paraId="4C485FEE">
      <w:pPr>
        <w:spacing w:after="200"/>
      </w:pPr>
    </w:p>
    <w:p w14:paraId="1F93361C">
      <w:pPr>
        <w:spacing w:before="200" w:after="100"/>
        <w:jc w:val="center"/>
        <w:rPr>
          <w:rFonts w:ascii="Times New Roman" w:hAnsi="Times New Roman" w:eastAsia="Times New Roman" w:cs="Times New Roman"/>
          <w:b/>
          <w:bCs/>
          <w:color w:val="000000"/>
          <w:sz w:val="32"/>
          <w:szCs w:val="32"/>
        </w:rPr>
      </w:pPr>
    </w:p>
    <w:p w14:paraId="14BF1F6C">
      <w:pPr>
        <w:spacing w:before="200" w:after="100"/>
        <w:jc w:val="center"/>
        <w:rPr>
          <w:rFonts w:ascii="Times New Roman" w:hAnsi="Times New Roman" w:eastAsia="Times New Roman" w:cs="Times New Roman"/>
          <w:b/>
          <w:bCs/>
          <w:color w:val="000000"/>
          <w:sz w:val="32"/>
          <w:szCs w:val="32"/>
        </w:rPr>
      </w:pPr>
    </w:p>
    <w:p w14:paraId="709D67C7">
      <w:pPr>
        <w:spacing w:before="200" w:after="100"/>
        <w:jc w:val="center"/>
        <w:rPr>
          <w:rFonts w:ascii="Times New Roman" w:hAnsi="Times New Roman" w:eastAsia="Times New Roman" w:cs="Times New Roman"/>
          <w:b/>
          <w:bCs/>
          <w:color w:val="000000"/>
          <w:sz w:val="32"/>
          <w:szCs w:val="32"/>
        </w:rPr>
      </w:pPr>
    </w:p>
    <w:p w14:paraId="71E43A31">
      <w:pPr>
        <w:spacing w:before="200" w:after="100"/>
        <w:jc w:val="center"/>
        <w:rPr>
          <w:rFonts w:ascii="Times New Roman" w:hAnsi="Times New Roman" w:eastAsia="Times New Roman" w:cs="Times New Roman"/>
          <w:b/>
          <w:bCs/>
          <w:color w:val="000000"/>
          <w:sz w:val="32"/>
          <w:szCs w:val="32"/>
        </w:rPr>
      </w:pPr>
    </w:p>
    <w:p w14:paraId="75F88674">
      <w:pPr>
        <w:spacing w:before="200" w:after="100"/>
        <w:jc w:val="center"/>
        <w:rPr>
          <w:sz w:val="28"/>
          <w:szCs w:val="32"/>
        </w:rPr>
      </w:pPr>
      <w:r>
        <w:rPr>
          <w:rFonts w:ascii="Times New Roman" w:hAnsi="Times New Roman" w:eastAsia="Times New Roman" w:cs="Times New Roman"/>
          <w:b/>
          <w:bCs/>
          <w:color w:val="000000"/>
          <w:sz w:val="32"/>
          <w:szCs w:val="32"/>
        </w:rPr>
        <w:t>3.4 A.8 - Technological Controls (34 controls)</w:t>
      </w:r>
    </w:p>
    <w:tbl>
      <w:tblPr>
        <w:tblStyle w:val="9"/>
        <w:tblW w:w="14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0"/>
        <w:gridCol w:w="2900"/>
        <w:gridCol w:w="1100"/>
        <w:gridCol w:w="4500"/>
        <w:gridCol w:w="1900"/>
        <w:gridCol w:w="3050"/>
      </w:tblGrid>
      <w:tr w14:paraId="7034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850" w:type="dxa"/>
            <w:shd w:val="clear" w:color="auto" w:fill="D9D9D9"/>
            <w:tcMar>
              <w:top w:w="60" w:type="dxa"/>
              <w:left w:w="80" w:type="dxa"/>
              <w:bottom w:w="60" w:type="dxa"/>
              <w:right w:w="80" w:type="dxa"/>
            </w:tcMar>
            <w:vAlign w:val="center"/>
          </w:tcPr>
          <w:p w14:paraId="1B25FFE0">
            <w:pPr>
              <w:jc w:val="center"/>
            </w:pPr>
            <w:r>
              <w:rPr>
                <w:rFonts w:ascii="Calibri" w:hAnsi="Calibri" w:eastAsia="Calibri" w:cs="Calibri"/>
                <w:b/>
                <w:bCs/>
                <w:color w:val="000000"/>
                <w:sz w:val="19"/>
                <w:szCs w:val="19"/>
              </w:rPr>
              <w:t>Ref</w:t>
            </w:r>
          </w:p>
        </w:tc>
        <w:tc>
          <w:tcPr>
            <w:tcW w:w="2900" w:type="dxa"/>
            <w:shd w:val="clear" w:color="auto" w:fill="D9D9D9"/>
            <w:tcMar>
              <w:top w:w="60" w:type="dxa"/>
              <w:left w:w="80" w:type="dxa"/>
              <w:bottom w:w="60" w:type="dxa"/>
              <w:right w:w="80" w:type="dxa"/>
            </w:tcMar>
            <w:vAlign w:val="center"/>
          </w:tcPr>
          <w:p w14:paraId="43A9CACD">
            <w:pPr>
              <w:jc w:val="center"/>
            </w:pPr>
            <w:r>
              <w:rPr>
                <w:rFonts w:ascii="Calibri" w:hAnsi="Calibri" w:eastAsia="Calibri" w:cs="Calibri"/>
                <w:b/>
                <w:bCs/>
                <w:color w:val="000000"/>
                <w:sz w:val="19"/>
                <w:szCs w:val="19"/>
              </w:rPr>
              <w:t>Control</w:t>
            </w:r>
          </w:p>
        </w:tc>
        <w:tc>
          <w:tcPr>
            <w:tcW w:w="1100" w:type="dxa"/>
            <w:shd w:val="clear" w:color="auto" w:fill="D9D9D9"/>
            <w:tcMar>
              <w:top w:w="60" w:type="dxa"/>
              <w:left w:w="80" w:type="dxa"/>
              <w:bottom w:w="60" w:type="dxa"/>
              <w:right w:w="80" w:type="dxa"/>
            </w:tcMar>
            <w:vAlign w:val="center"/>
          </w:tcPr>
          <w:p w14:paraId="37A800B5">
            <w:pPr>
              <w:jc w:val="center"/>
            </w:pPr>
            <w:r>
              <w:rPr>
                <w:rFonts w:ascii="Calibri" w:hAnsi="Calibri" w:eastAsia="Calibri" w:cs="Calibri"/>
                <w:b/>
                <w:bCs/>
                <w:color w:val="000000"/>
                <w:sz w:val="19"/>
                <w:szCs w:val="19"/>
              </w:rPr>
              <w:t>Applicable</w:t>
            </w:r>
          </w:p>
        </w:tc>
        <w:tc>
          <w:tcPr>
            <w:tcW w:w="4500" w:type="dxa"/>
            <w:shd w:val="clear" w:color="auto" w:fill="D9D9D9"/>
            <w:tcMar>
              <w:top w:w="60" w:type="dxa"/>
              <w:left w:w="80" w:type="dxa"/>
              <w:bottom w:w="60" w:type="dxa"/>
              <w:right w:w="80" w:type="dxa"/>
            </w:tcMar>
            <w:vAlign w:val="center"/>
          </w:tcPr>
          <w:p w14:paraId="314E53DE">
            <w:pPr>
              <w:jc w:val="center"/>
            </w:pPr>
            <w:r>
              <w:rPr>
                <w:rFonts w:ascii="Calibri" w:hAnsi="Calibri" w:eastAsia="Calibri" w:cs="Calibri"/>
                <w:b/>
                <w:bCs/>
                <w:color w:val="000000"/>
                <w:sz w:val="19"/>
                <w:szCs w:val="19"/>
              </w:rPr>
              <w:t>Justification for Inclusion</w:t>
            </w:r>
          </w:p>
        </w:tc>
        <w:tc>
          <w:tcPr>
            <w:tcW w:w="1900" w:type="dxa"/>
            <w:shd w:val="clear" w:color="auto" w:fill="D9D9D9"/>
            <w:tcMar>
              <w:top w:w="60" w:type="dxa"/>
              <w:left w:w="80" w:type="dxa"/>
              <w:bottom w:w="60" w:type="dxa"/>
              <w:right w:w="80" w:type="dxa"/>
            </w:tcMar>
            <w:vAlign w:val="center"/>
          </w:tcPr>
          <w:p w14:paraId="37E7D8B1">
            <w:pPr>
              <w:jc w:val="center"/>
            </w:pPr>
            <w:r>
              <w:rPr>
                <w:rFonts w:ascii="Calibri" w:hAnsi="Calibri" w:eastAsia="Calibri" w:cs="Calibri"/>
                <w:b/>
                <w:bCs/>
                <w:color w:val="000000"/>
                <w:sz w:val="19"/>
                <w:szCs w:val="19"/>
              </w:rPr>
              <w:t>Implementation Status</w:t>
            </w:r>
          </w:p>
        </w:tc>
        <w:tc>
          <w:tcPr>
            <w:tcW w:w="3050" w:type="dxa"/>
            <w:shd w:val="clear" w:color="auto" w:fill="D9D9D9"/>
            <w:tcMar>
              <w:top w:w="60" w:type="dxa"/>
              <w:left w:w="80" w:type="dxa"/>
              <w:bottom w:w="60" w:type="dxa"/>
              <w:right w:w="80" w:type="dxa"/>
            </w:tcMar>
            <w:vAlign w:val="center"/>
          </w:tcPr>
          <w:p w14:paraId="7EAF9154">
            <w:pPr>
              <w:jc w:val="center"/>
            </w:pPr>
            <w:r>
              <w:rPr>
                <w:rFonts w:ascii="Calibri" w:hAnsi="Calibri" w:eastAsia="Calibri" w:cs="Calibri"/>
                <w:b/>
                <w:bCs/>
                <w:color w:val="000000"/>
                <w:sz w:val="19"/>
                <w:szCs w:val="19"/>
              </w:rPr>
              <w:t>Reference</w:t>
            </w:r>
          </w:p>
        </w:tc>
      </w:tr>
      <w:tr w14:paraId="5A06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82F23CB">
            <w:pPr>
              <w:jc w:val="center"/>
            </w:pPr>
            <w:r>
              <w:rPr>
                <w:rFonts w:ascii="Calibri" w:hAnsi="Calibri" w:eastAsia="Calibri" w:cs="Calibri"/>
                <w:color w:val="000000"/>
                <w:sz w:val="19"/>
                <w:szCs w:val="19"/>
              </w:rPr>
              <w:t>8.1</w:t>
            </w:r>
          </w:p>
        </w:tc>
        <w:tc>
          <w:tcPr>
            <w:tcW w:w="2900" w:type="dxa"/>
            <w:tcMar>
              <w:top w:w="60" w:type="dxa"/>
              <w:left w:w="80" w:type="dxa"/>
              <w:bottom w:w="60" w:type="dxa"/>
              <w:right w:w="80" w:type="dxa"/>
            </w:tcMar>
            <w:vAlign w:val="center"/>
          </w:tcPr>
          <w:p w14:paraId="07009BD4">
            <w:pPr>
              <w:jc w:val="center"/>
            </w:pPr>
            <w:r>
              <w:rPr>
                <w:rFonts w:ascii="Calibri" w:hAnsi="Calibri" w:eastAsia="Calibri" w:cs="Calibri"/>
                <w:color w:val="000000"/>
                <w:sz w:val="19"/>
                <w:szCs w:val="19"/>
              </w:rPr>
              <w:t>User endpoint devices</w:t>
            </w:r>
          </w:p>
        </w:tc>
        <w:tc>
          <w:tcPr>
            <w:tcW w:w="1100" w:type="dxa"/>
            <w:tcMar>
              <w:top w:w="60" w:type="dxa"/>
              <w:left w:w="80" w:type="dxa"/>
              <w:bottom w:w="60" w:type="dxa"/>
              <w:right w:w="80" w:type="dxa"/>
            </w:tcMar>
            <w:vAlign w:val="center"/>
          </w:tcPr>
          <w:p w14:paraId="2DE1C233">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0DD74BB4">
            <w:pPr>
              <w:jc w:val="center"/>
            </w:pPr>
            <w:r>
              <w:rPr>
                <w:rFonts w:ascii="Calibri" w:hAnsi="Calibri" w:eastAsia="Calibri" w:cs="Calibri"/>
                <w:color w:val="000000"/>
                <w:sz w:val="19"/>
                <w:szCs w:val="19"/>
              </w:rPr>
              <w:t>Applicable — addresses a technology security gap identified during risk assessment: no formal endpoint hardening baseline defined.</w:t>
            </w:r>
          </w:p>
        </w:tc>
        <w:tc>
          <w:tcPr>
            <w:tcW w:w="1900" w:type="dxa"/>
            <w:tcMar>
              <w:top w:w="60" w:type="dxa"/>
              <w:left w:w="80" w:type="dxa"/>
              <w:bottom w:w="60" w:type="dxa"/>
              <w:right w:w="80" w:type="dxa"/>
            </w:tcMar>
            <w:vAlign w:val="center"/>
          </w:tcPr>
          <w:p w14:paraId="18C8548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E8AE9B6">
            <w:pPr>
              <w:jc w:val="center"/>
            </w:pPr>
            <w:r>
              <w:rPr>
                <w:rFonts w:ascii="Calibri" w:hAnsi="Calibri" w:eastAsia="Calibri" w:cs="Calibri"/>
                <w:color w:val="000000"/>
                <w:sz w:val="19"/>
                <w:szCs w:val="19"/>
              </w:rPr>
              <w:t>Technical Security Standards</w:t>
            </w:r>
          </w:p>
        </w:tc>
      </w:tr>
      <w:tr w14:paraId="3D36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C421C83">
            <w:pPr>
              <w:jc w:val="center"/>
            </w:pPr>
            <w:r>
              <w:rPr>
                <w:rFonts w:ascii="Calibri" w:hAnsi="Calibri" w:eastAsia="Calibri" w:cs="Calibri"/>
                <w:color w:val="000000"/>
                <w:sz w:val="19"/>
                <w:szCs w:val="19"/>
              </w:rPr>
              <w:t>8.2</w:t>
            </w:r>
          </w:p>
        </w:tc>
        <w:tc>
          <w:tcPr>
            <w:tcW w:w="2900" w:type="dxa"/>
            <w:tcMar>
              <w:top w:w="60" w:type="dxa"/>
              <w:left w:w="80" w:type="dxa"/>
              <w:bottom w:w="60" w:type="dxa"/>
              <w:right w:w="80" w:type="dxa"/>
            </w:tcMar>
            <w:vAlign w:val="center"/>
          </w:tcPr>
          <w:p w14:paraId="1EE92C49">
            <w:pPr>
              <w:jc w:val="center"/>
            </w:pPr>
            <w:r>
              <w:rPr>
                <w:rFonts w:ascii="Calibri" w:hAnsi="Calibri" w:eastAsia="Calibri" w:cs="Calibri"/>
                <w:color w:val="000000"/>
                <w:sz w:val="19"/>
                <w:szCs w:val="19"/>
              </w:rPr>
              <w:t>Privileged access rights</w:t>
            </w:r>
          </w:p>
        </w:tc>
        <w:tc>
          <w:tcPr>
            <w:tcW w:w="1100" w:type="dxa"/>
            <w:tcMar>
              <w:top w:w="60" w:type="dxa"/>
              <w:left w:w="80" w:type="dxa"/>
              <w:bottom w:w="60" w:type="dxa"/>
              <w:right w:w="80" w:type="dxa"/>
            </w:tcMar>
            <w:vAlign w:val="center"/>
          </w:tcPr>
          <w:p w14:paraId="2A602344">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56BB8A5">
            <w:pPr>
              <w:jc w:val="center"/>
            </w:pPr>
            <w:r>
              <w:rPr>
                <w:rFonts w:ascii="Calibri" w:hAnsi="Calibri" w:eastAsia="Calibri" w:cs="Calibri"/>
                <w:color w:val="000000"/>
                <w:sz w:val="19"/>
                <w:szCs w:val="19"/>
              </w:rPr>
              <w:t>Applicable — addresses a technology security gap identified during risk assessment: periodic review of privileged accounts not formalized.</w:t>
            </w:r>
          </w:p>
        </w:tc>
        <w:tc>
          <w:tcPr>
            <w:tcW w:w="1900" w:type="dxa"/>
            <w:tcMar>
              <w:top w:w="60" w:type="dxa"/>
              <w:left w:w="80" w:type="dxa"/>
              <w:bottom w:w="60" w:type="dxa"/>
              <w:right w:w="80" w:type="dxa"/>
            </w:tcMar>
            <w:vAlign w:val="center"/>
          </w:tcPr>
          <w:p w14:paraId="4153FD8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F46C14C">
            <w:pPr>
              <w:jc w:val="center"/>
            </w:pPr>
            <w:r>
              <w:rPr>
                <w:rFonts w:ascii="Calibri" w:hAnsi="Calibri" w:eastAsia="Calibri" w:cs="Calibri"/>
                <w:color w:val="000000"/>
                <w:sz w:val="19"/>
                <w:szCs w:val="19"/>
              </w:rPr>
              <w:t>Technical Security Standards</w:t>
            </w:r>
          </w:p>
        </w:tc>
      </w:tr>
      <w:tr w14:paraId="1696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32B5E4A8">
            <w:pPr>
              <w:jc w:val="center"/>
            </w:pPr>
            <w:r>
              <w:rPr>
                <w:rFonts w:ascii="Calibri" w:hAnsi="Calibri" w:eastAsia="Calibri" w:cs="Calibri"/>
                <w:color w:val="000000"/>
                <w:sz w:val="19"/>
                <w:szCs w:val="19"/>
              </w:rPr>
              <w:t>8.3</w:t>
            </w:r>
          </w:p>
        </w:tc>
        <w:tc>
          <w:tcPr>
            <w:tcW w:w="2900" w:type="dxa"/>
            <w:tcMar>
              <w:top w:w="60" w:type="dxa"/>
              <w:left w:w="80" w:type="dxa"/>
              <w:bottom w:w="60" w:type="dxa"/>
              <w:right w:w="80" w:type="dxa"/>
            </w:tcMar>
            <w:vAlign w:val="center"/>
          </w:tcPr>
          <w:p w14:paraId="3B28FDB9">
            <w:pPr>
              <w:jc w:val="center"/>
            </w:pPr>
            <w:r>
              <w:rPr>
                <w:rFonts w:ascii="Calibri" w:hAnsi="Calibri" w:eastAsia="Calibri" w:cs="Calibri"/>
                <w:color w:val="000000"/>
                <w:sz w:val="19"/>
                <w:szCs w:val="19"/>
              </w:rPr>
              <w:t>Information access restriction</w:t>
            </w:r>
          </w:p>
        </w:tc>
        <w:tc>
          <w:tcPr>
            <w:tcW w:w="1100" w:type="dxa"/>
            <w:tcMar>
              <w:top w:w="60" w:type="dxa"/>
              <w:left w:w="80" w:type="dxa"/>
              <w:bottom w:w="60" w:type="dxa"/>
              <w:right w:w="80" w:type="dxa"/>
            </w:tcMar>
            <w:vAlign w:val="center"/>
          </w:tcPr>
          <w:p w14:paraId="42E1FF6E">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71FCADE">
            <w:pPr>
              <w:jc w:val="center"/>
            </w:pPr>
            <w:r>
              <w:rPr>
                <w:rFonts w:ascii="Calibri" w:hAnsi="Calibri" w:eastAsia="Calibri" w:cs="Calibri"/>
                <w:color w:val="000000"/>
                <w:sz w:val="19"/>
                <w:szCs w:val="19"/>
              </w:rPr>
              <w:t>Applicable — addresses a technology security gap identified during risk assessment: not consistently applied to BI and analytics platform.</w:t>
            </w:r>
          </w:p>
        </w:tc>
        <w:tc>
          <w:tcPr>
            <w:tcW w:w="1900" w:type="dxa"/>
            <w:tcMar>
              <w:top w:w="60" w:type="dxa"/>
              <w:left w:w="80" w:type="dxa"/>
              <w:bottom w:w="60" w:type="dxa"/>
              <w:right w:w="80" w:type="dxa"/>
            </w:tcMar>
            <w:vAlign w:val="center"/>
          </w:tcPr>
          <w:p w14:paraId="7D7EDF59">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A0BE90C">
            <w:pPr>
              <w:jc w:val="center"/>
            </w:pPr>
            <w:r>
              <w:rPr>
                <w:rFonts w:ascii="Calibri" w:hAnsi="Calibri" w:eastAsia="Calibri" w:cs="Calibri"/>
                <w:color w:val="000000"/>
                <w:sz w:val="19"/>
                <w:szCs w:val="19"/>
              </w:rPr>
              <w:t>Technical Security Standards</w:t>
            </w:r>
          </w:p>
        </w:tc>
      </w:tr>
      <w:tr w14:paraId="5824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DDA1BE2">
            <w:pPr>
              <w:jc w:val="center"/>
            </w:pPr>
            <w:r>
              <w:rPr>
                <w:rFonts w:ascii="Calibri" w:hAnsi="Calibri" w:eastAsia="Calibri" w:cs="Calibri"/>
                <w:color w:val="000000"/>
                <w:sz w:val="19"/>
                <w:szCs w:val="19"/>
              </w:rPr>
              <w:t>8.4</w:t>
            </w:r>
          </w:p>
        </w:tc>
        <w:tc>
          <w:tcPr>
            <w:tcW w:w="2900" w:type="dxa"/>
            <w:tcMar>
              <w:top w:w="60" w:type="dxa"/>
              <w:left w:w="80" w:type="dxa"/>
              <w:bottom w:w="60" w:type="dxa"/>
              <w:right w:w="80" w:type="dxa"/>
            </w:tcMar>
            <w:vAlign w:val="center"/>
          </w:tcPr>
          <w:p w14:paraId="6837CB4C">
            <w:pPr>
              <w:jc w:val="center"/>
            </w:pPr>
            <w:r>
              <w:rPr>
                <w:rFonts w:ascii="Calibri" w:hAnsi="Calibri" w:eastAsia="Calibri" w:cs="Calibri"/>
                <w:color w:val="000000"/>
                <w:sz w:val="19"/>
                <w:szCs w:val="19"/>
              </w:rPr>
              <w:t>Access to source code</w:t>
            </w:r>
          </w:p>
        </w:tc>
        <w:tc>
          <w:tcPr>
            <w:tcW w:w="1100" w:type="dxa"/>
            <w:tcMar>
              <w:top w:w="60" w:type="dxa"/>
              <w:left w:w="80" w:type="dxa"/>
              <w:bottom w:w="60" w:type="dxa"/>
              <w:right w:w="80" w:type="dxa"/>
            </w:tcMar>
            <w:vAlign w:val="center"/>
          </w:tcPr>
          <w:p w14:paraId="3AF0A608">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E4EA168">
            <w:pPr>
              <w:jc w:val="center"/>
            </w:pPr>
            <w:r>
              <w:rPr>
                <w:rFonts w:ascii="Calibri" w:hAnsi="Calibri" w:eastAsia="Calibri" w:cs="Calibri"/>
                <w:color w:val="000000"/>
                <w:sz w:val="19"/>
                <w:szCs w:val="19"/>
              </w:rPr>
              <w:t>Applicable — addresses a technology security gap identified during risk assessment: no formal, periodic code access review process.</w:t>
            </w:r>
          </w:p>
        </w:tc>
        <w:tc>
          <w:tcPr>
            <w:tcW w:w="1900" w:type="dxa"/>
            <w:tcMar>
              <w:top w:w="60" w:type="dxa"/>
              <w:left w:w="80" w:type="dxa"/>
              <w:bottom w:w="60" w:type="dxa"/>
              <w:right w:w="80" w:type="dxa"/>
            </w:tcMar>
            <w:vAlign w:val="center"/>
          </w:tcPr>
          <w:p w14:paraId="3D5E1FD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0003DB0">
            <w:pPr>
              <w:jc w:val="center"/>
            </w:pPr>
            <w:r>
              <w:rPr>
                <w:rFonts w:ascii="Calibri" w:hAnsi="Calibri" w:eastAsia="Calibri" w:cs="Calibri"/>
                <w:color w:val="000000"/>
                <w:sz w:val="19"/>
                <w:szCs w:val="19"/>
              </w:rPr>
              <w:t>Technical Security Standards</w:t>
            </w:r>
          </w:p>
        </w:tc>
      </w:tr>
      <w:tr w14:paraId="35E6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0F44D4E">
            <w:pPr>
              <w:jc w:val="center"/>
            </w:pPr>
            <w:r>
              <w:rPr>
                <w:rFonts w:ascii="Calibri" w:hAnsi="Calibri" w:eastAsia="Calibri" w:cs="Calibri"/>
                <w:color w:val="000000"/>
                <w:sz w:val="19"/>
                <w:szCs w:val="19"/>
              </w:rPr>
              <w:t>8.5</w:t>
            </w:r>
          </w:p>
        </w:tc>
        <w:tc>
          <w:tcPr>
            <w:tcW w:w="2900" w:type="dxa"/>
            <w:tcMar>
              <w:top w:w="60" w:type="dxa"/>
              <w:left w:w="80" w:type="dxa"/>
              <w:bottom w:w="60" w:type="dxa"/>
              <w:right w:w="80" w:type="dxa"/>
            </w:tcMar>
            <w:vAlign w:val="center"/>
          </w:tcPr>
          <w:p w14:paraId="7292CFA4">
            <w:pPr>
              <w:jc w:val="center"/>
            </w:pPr>
            <w:r>
              <w:rPr>
                <w:rFonts w:ascii="Calibri" w:hAnsi="Calibri" w:eastAsia="Calibri" w:cs="Calibri"/>
                <w:color w:val="000000"/>
                <w:sz w:val="19"/>
                <w:szCs w:val="19"/>
              </w:rPr>
              <w:t>Secure authentication</w:t>
            </w:r>
          </w:p>
        </w:tc>
        <w:tc>
          <w:tcPr>
            <w:tcW w:w="1100" w:type="dxa"/>
            <w:tcMar>
              <w:top w:w="60" w:type="dxa"/>
              <w:left w:w="80" w:type="dxa"/>
              <w:bottom w:w="60" w:type="dxa"/>
              <w:right w:w="80" w:type="dxa"/>
            </w:tcMar>
            <w:vAlign w:val="center"/>
          </w:tcPr>
          <w:p w14:paraId="3544265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3B7FA7F">
            <w:pPr>
              <w:jc w:val="center"/>
            </w:pPr>
            <w:r>
              <w:rPr>
                <w:rFonts w:ascii="Calibri" w:hAnsi="Calibri" w:eastAsia="Calibri" w:cs="Calibri"/>
                <w:color w:val="000000"/>
                <w:sz w:val="19"/>
                <w:szCs w:val="19"/>
              </w:rPr>
              <w:t>Applicable — addresses a technology security gap identified during risk assessment: mFA not enforced for all internal administrative access.</w:t>
            </w:r>
          </w:p>
        </w:tc>
        <w:tc>
          <w:tcPr>
            <w:tcW w:w="1900" w:type="dxa"/>
            <w:tcMar>
              <w:top w:w="60" w:type="dxa"/>
              <w:left w:w="80" w:type="dxa"/>
              <w:bottom w:w="60" w:type="dxa"/>
              <w:right w:w="80" w:type="dxa"/>
            </w:tcMar>
            <w:vAlign w:val="center"/>
          </w:tcPr>
          <w:p w14:paraId="29F1C584">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F213188">
            <w:pPr>
              <w:jc w:val="center"/>
            </w:pPr>
            <w:r>
              <w:rPr>
                <w:rFonts w:ascii="Calibri" w:hAnsi="Calibri" w:eastAsia="Calibri" w:cs="Calibri"/>
                <w:color w:val="000000"/>
                <w:sz w:val="19"/>
                <w:szCs w:val="19"/>
              </w:rPr>
              <w:t>Technical Security Standards</w:t>
            </w:r>
          </w:p>
        </w:tc>
      </w:tr>
      <w:tr w14:paraId="76B92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1921EC9">
            <w:pPr>
              <w:jc w:val="center"/>
            </w:pPr>
            <w:r>
              <w:rPr>
                <w:rFonts w:ascii="Calibri" w:hAnsi="Calibri" w:eastAsia="Calibri" w:cs="Calibri"/>
                <w:color w:val="000000"/>
                <w:sz w:val="19"/>
                <w:szCs w:val="19"/>
              </w:rPr>
              <w:t>8.6</w:t>
            </w:r>
          </w:p>
        </w:tc>
        <w:tc>
          <w:tcPr>
            <w:tcW w:w="2900" w:type="dxa"/>
            <w:tcMar>
              <w:top w:w="60" w:type="dxa"/>
              <w:left w:w="80" w:type="dxa"/>
              <w:bottom w:w="60" w:type="dxa"/>
              <w:right w:w="80" w:type="dxa"/>
            </w:tcMar>
            <w:vAlign w:val="center"/>
          </w:tcPr>
          <w:p w14:paraId="29F34489">
            <w:pPr>
              <w:jc w:val="center"/>
            </w:pPr>
            <w:r>
              <w:rPr>
                <w:rFonts w:ascii="Calibri" w:hAnsi="Calibri" w:eastAsia="Calibri" w:cs="Calibri"/>
                <w:color w:val="000000"/>
                <w:sz w:val="19"/>
                <w:szCs w:val="19"/>
              </w:rPr>
              <w:t>Capacity management</w:t>
            </w:r>
          </w:p>
        </w:tc>
        <w:tc>
          <w:tcPr>
            <w:tcW w:w="1100" w:type="dxa"/>
            <w:tcMar>
              <w:top w:w="60" w:type="dxa"/>
              <w:left w:w="80" w:type="dxa"/>
              <w:bottom w:w="60" w:type="dxa"/>
              <w:right w:w="80" w:type="dxa"/>
            </w:tcMar>
            <w:vAlign w:val="center"/>
          </w:tcPr>
          <w:p w14:paraId="04E1C8D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E2817D5">
            <w:pPr>
              <w:jc w:val="center"/>
            </w:pPr>
            <w:r>
              <w:rPr>
                <w:rFonts w:ascii="Calibri" w:hAnsi="Calibri" w:eastAsia="Calibri" w:cs="Calibri"/>
                <w:color w:val="000000"/>
                <w:sz w:val="19"/>
                <w:szCs w:val="19"/>
              </w:rPr>
              <w:t>Applicable — addresses a technology security gap identified during risk assessment: no formal capacity planning and forecasting process.</w:t>
            </w:r>
          </w:p>
        </w:tc>
        <w:tc>
          <w:tcPr>
            <w:tcW w:w="1900" w:type="dxa"/>
            <w:tcMar>
              <w:top w:w="60" w:type="dxa"/>
              <w:left w:w="80" w:type="dxa"/>
              <w:bottom w:w="60" w:type="dxa"/>
              <w:right w:w="80" w:type="dxa"/>
            </w:tcMar>
            <w:vAlign w:val="center"/>
          </w:tcPr>
          <w:p w14:paraId="200B3BEC">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DDA6E3B">
            <w:pPr>
              <w:jc w:val="center"/>
            </w:pPr>
            <w:r>
              <w:rPr>
                <w:rFonts w:ascii="Calibri" w:hAnsi="Calibri" w:eastAsia="Calibri" w:cs="Calibri"/>
                <w:color w:val="000000"/>
                <w:sz w:val="19"/>
                <w:szCs w:val="19"/>
              </w:rPr>
              <w:t>Technical Security Standards</w:t>
            </w:r>
          </w:p>
        </w:tc>
      </w:tr>
      <w:tr w14:paraId="4BC3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52BAAE9">
            <w:pPr>
              <w:jc w:val="center"/>
            </w:pPr>
            <w:r>
              <w:rPr>
                <w:rFonts w:ascii="Calibri" w:hAnsi="Calibri" w:eastAsia="Calibri" w:cs="Calibri"/>
                <w:color w:val="000000"/>
                <w:sz w:val="19"/>
                <w:szCs w:val="19"/>
              </w:rPr>
              <w:t>8.7</w:t>
            </w:r>
          </w:p>
        </w:tc>
        <w:tc>
          <w:tcPr>
            <w:tcW w:w="2900" w:type="dxa"/>
            <w:tcMar>
              <w:top w:w="60" w:type="dxa"/>
              <w:left w:w="80" w:type="dxa"/>
              <w:bottom w:w="60" w:type="dxa"/>
              <w:right w:w="80" w:type="dxa"/>
            </w:tcMar>
            <w:vAlign w:val="center"/>
          </w:tcPr>
          <w:p w14:paraId="093CFD64">
            <w:pPr>
              <w:jc w:val="center"/>
            </w:pPr>
            <w:r>
              <w:rPr>
                <w:rFonts w:ascii="Calibri" w:hAnsi="Calibri" w:eastAsia="Calibri" w:cs="Calibri"/>
                <w:color w:val="000000"/>
                <w:sz w:val="19"/>
                <w:szCs w:val="19"/>
              </w:rPr>
              <w:t>Protection against malware</w:t>
            </w:r>
          </w:p>
        </w:tc>
        <w:tc>
          <w:tcPr>
            <w:tcW w:w="1100" w:type="dxa"/>
            <w:tcMar>
              <w:top w:w="60" w:type="dxa"/>
              <w:left w:w="80" w:type="dxa"/>
              <w:bottom w:w="60" w:type="dxa"/>
              <w:right w:w="80" w:type="dxa"/>
            </w:tcMar>
            <w:vAlign w:val="center"/>
          </w:tcPr>
          <w:p w14:paraId="29AC1859">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1790E12">
            <w:pPr>
              <w:jc w:val="center"/>
            </w:pPr>
            <w:r>
              <w:rPr>
                <w:rFonts w:ascii="Calibri" w:hAnsi="Calibri" w:eastAsia="Calibri" w:cs="Calibri"/>
                <w:color w:val="000000"/>
                <w:sz w:val="19"/>
                <w:szCs w:val="19"/>
              </w:rPr>
              <w:t>Applicable — addresses a technology security gap identified during risk assessment: no centralized malware management dashboard.</w:t>
            </w:r>
          </w:p>
        </w:tc>
        <w:tc>
          <w:tcPr>
            <w:tcW w:w="1900" w:type="dxa"/>
            <w:tcMar>
              <w:top w:w="60" w:type="dxa"/>
              <w:left w:w="80" w:type="dxa"/>
              <w:bottom w:w="60" w:type="dxa"/>
              <w:right w:w="80" w:type="dxa"/>
            </w:tcMar>
            <w:vAlign w:val="center"/>
          </w:tcPr>
          <w:p w14:paraId="2B63CAB5">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CEDD54F">
            <w:pPr>
              <w:jc w:val="center"/>
            </w:pPr>
            <w:r>
              <w:rPr>
                <w:rFonts w:ascii="Calibri" w:hAnsi="Calibri" w:eastAsia="Calibri" w:cs="Calibri"/>
                <w:color w:val="000000"/>
                <w:sz w:val="19"/>
                <w:szCs w:val="19"/>
              </w:rPr>
              <w:t>Technical Security Standards</w:t>
            </w:r>
          </w:p>
        </w:tc>
      </w:tr>
      <w:tr w14:paraId="3E0F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4F315D6">
            <w:pPr>
              <w:jc w:val="center"/>
            </w:pPr>
            <w:r>
              <w:rPr>
                <w:rFonts w:ascii="Calibri" w:hAnsi="Calibri" w:eastAsia="Calibri" w:cs="Calibri"/>
                <w:color w:val="000000"/>
                <w:sz w:val="19"/>
                <w:szCs w:val="19"/>
              </w:rPr>
              <w:t>8.8</w:t>
            </w:r>
          </w:p>
        </w:tc>
        <w:tc>
          <w:tcPr>
            <w:tcW w:w="2900" w:type="dxa"/>
            <w:tcMar>
              <w:top w:w="60" w:type="dxa"/>
              <w:left w:w="80" w:type="dxa"/>
              <w:bottom w:w="60" w:type="dxa"/>
              <w:right w:w="80" w:type="dxa"/>
            </w:tcMar>
            <w:vAlign w:val="center"/>
          </w:tcPr>
          <w:p w14:paraId="2F5DC921">
            <w:pPr>
              <w:jc w:val="center"/>
            </w:pPr>
            <w:r>
              <w:rPr>
                <w:rFonts w:ascii="Calibri" w:hAnsi="Calibri" w:eastAsia="Calibri" w:cs="Calibri"/>
                <w:color w:val="000000"/>
                <w:sz w:val="19"/>
                <w:szCs w:val="19"/>
              </w:rPr>
              <w:t>Management of technical vulnerabilities</w:t>
            </w:r>
          </w:p>
        </w:tc>
        <w:tc>
          <w:tcPr>
            <w:tcW w:w="1100" w:type="dxa"/>
            <w:tcMar>
              <w:top w:w="60" w:type="dxa"/>
              <w:left w:w="80" w:type="dxa"/>
              <w:bottom w:w="60" w:type="dxa"/>
              <w:right w:w="80" w:type="dxa"/>
            </w:tcMar>
            <w:vAlign w:val="center"/>
          </w:tcPr>
          <w:p w14:paraId="4E231637">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E334057">
            <w:pPr>
              <w:jc w:val="center"/>
            </w:pPr>
            <w:r>
              <w:rPr>
                <w:rFonts w:ascii="Calibri" w:hAnsi="Calibri" w:eastAsia="Calibri" w:cs="Calibri"/>
                <w:color w:val="000000"/>
                <w:sz w:val="19"/>
                <w:szCs w:val="19"/>
              </w:rPr>
              <w:t>Applicable — addresses a technology security gap identified during risk assessment: no formal patch management SLA defined.</w:t>
            </w:r>
          </w:p>
        </w:tc>
        <w:tc>
          <w:tcPr>
            <w:tcW w:w="1900" w:type="dxa"/>
            <w:tcMar>
              <w:top w:w="60" w:type="dxa"/>
              <w:left w:w="80" w:type="dxa"/>
              <w:bottom w:w="60" w:type="dxa"/>
              <w:right w:w="80" w:type="dxa"/>
            </w:tcMar>
            <w:vAlign w:val="center"/>
          </w:tcPr>
          <w:p w14:paraId="3186D75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E6E76DE">
            <w:pPr>
              <w:jc w:val="center"/>
            </w:pPr>
            <w:r>
              <w:rPr>
                <w:rFonts w:ascii="Calibri" w:hAnsi="Calibri" w:eastAsia="Calibri" w:cs="Calibri"/>
                <w:color w:val="000000"/>
                <w:sz w:val="19"/>
                <w:szCs w:val="19"/>
              </w:rPr>
              <w:t>Technical Security Standards</w:t>
            </w:r>
          </w:p>
        </w:tc>
      </w:tr>
      <w:tr w14:paraId="26C1C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5243D3E">
            <w:pPr>
              <w:jc w:val="center"/>
            </w:pPr>
            <w:r>
              <w:rPr>
                <w:rFonts w:ascii="Calibri" w:hAnsi="Calibri" w:eastAsia="Calibri" w:cs="Calibri"/>
                <w:color w:val="000000"/>
                <w:sz w:val="19"/>
                <w:szCs w:val="19"/>
              </w:rPr>
              <w:t>8.9</w:t>
            </w:r>
          </w:p>
        </w:tc>
        <w:tc>
          <w:tcPr>
            <w:tcW w:w="2900" w:type="dxa"/>
            <w:tcMar>
              <w:top w:w="60" w:type="dxa"/>
              <w:left w:w="80" w:type="dxa"/>
              <w:bottom w:w="60" w:type="dxa"/>
              <w:right w:w="80" w:type="dxa"/>
            </w:tcMar>
            <w:vAlign w:val="center"/>
          </w:tcPr>
          <w:p w14:paraId="0B4642ED">
            <w:pPr>
              <w:jc w:val="center"/>
            </w:pPr>
            <w:r>
              <w:rPr>
                <w:rFonts w:ascii="Calibri" w:hAnsi="Calibri" w:eastAsia="Calibri" w:cs="Calibri"/>
                <w:color w:val="000000"/>
                <w:sz w:val="19"/>
                <w:szCs w:val="19"/>
              </w:rPr>
              <w:t>Configuration management</w:t>
            </w:r>
          </w:p>
        </w:tc>
        <w:tc>
          <w:tcPr>
            <w:tcW w:w="1100" w:type="dxa"/>
            <w:tcMar>
              <w:top w:w="60" w:type="dxa"/>
              <w:left w:w="80" w:type="dxa"/>
              <w:bottom w:w="60" w:type="dxa"/>
              <w:right w:w="80" w:type="dxa"/>
            </w:tcMar>
            <w:vAlign w:val="center"/>
          </w:tcPr>
          <w:p w14:paraId="59C535FF">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A480D44">
            <w:pPr>
              <w:jc w:val="center"/>
            </w:pPr>
            <w:r>
              <w:rPr>
                <w:rFonts w:ascii="Calibri" w:hAnsi="Calibri" w:eastAsia="Calibri" w:cs="Calibri"/>
                <w:color w:val="000000"/>
                <w:sz w:val="19"/>
                <w:szCs w:val="19"/>
              </w:rPr>
              <w:t>Applicable — addresses a technology security gap identified during risk assessment: not extended to all servers and network devices.</w:t>
            </w:r>
          </w:p>
        </w:tc>
        <w:tc>
          <w:tcPr>
            <w:tcW w:w="1900" w:type="dxa"/>
            <w:tcMar>
              <w:top w:w="60" w:type="dxa"/>
              <w:left w:w="80" w:type="dxa"/>
              <w:bottom w:w="60" w:type="dxa"/>
              <w:right w:w="80" w:type="dxa"/>
            </w:tcMar>
            <w:vAlign w:val="center"/>
          </w:tcPr>
          <w:p w14:paraId="320CD8D6">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150B10E">
            <w:pPr>
              <w:jc w:val="center"/>
            </w:pPr>
            <w:r>
              <w:rPr>
                <w:rFonts w:ascii="Calibri" w:hAnsi="Calibri" w:eastAsia="Calibri" w:cs="Calibri"/>
                <w:color w:val="000000"/>
                <w:sz w:val="19"/>
                <w:szCs w:val="19"/>
              </w:rPr>
              <w:t>Technical Security Standards</w:t>
            </w:r>
          </w:p>
        </w:tc>
      </w:tr>
      <w:tr w14:paraId="1AA0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9531133">
            <w:pPr>
              <w:jc w:val="center"/>
            </w:pPr>
            <w:r>
              <w:rPr>
                <w:rFonts w:ascii="Calibri" w:hAnsi="Calibri" w:eastAsia="Calibri" w:cs="Calibri"/>
                <w:color w:val="000000"/>
                <w:sz w:val="19"/>
                <w:szCs w:val="19"/>
              </w:rPr>
              <w:t>8.10</w:t>
            </w:r>
          </w:p>
        </w:tc>
        <w:tc>
          <w:tcPr>
            <w:tcW w:w="2900" w:type="dxa"/>
            <w:tcMar>
              <w:top w:w="60" w:type="dxa"/>
              <w:left w:w="80" w:type="dxa"/>
              <w:bottom w:w="60" w:type="dxa"/>
              <w:right w:w="80" w:type="dxa"/>
            </w:tcMar>
            <w:vAlign w:val="center"/>
          </w:tcPr>
          <w:p w14:paraId="26D4979E">
            <w:pPr>
              <w:jc w:val="center"/>
            </w:pPr>
            <w:r>
              <w:rPr>
                <w:rFonts w:ascii="Calibri" w:hAnsi="Calibri" w:eastAsia="Calibri" w:cs="Calibri"/>
                <w:color w:val="000000"/>
                <w:sz w:val="19"/>
                <w:szCs w:val="19"/>
              </w:rPr>
              <w:t>Information deletion</w:t>
            </w:r>
          </w:p>
        </w:tc>
        <w:tc>
          <w:tcPr>
            <w:tcW w:w="1100" w:type="dxa"/>
            <w:tcMar>
              <w:top w:w="60" w:type="dxa"/>
              <w:left w:w="80" w:type="dxa"/>
              <w:bottom w:w="60" w:type="dxa"/>
              <w:right w:w="80" w:type="dxa"/>
            </w:tcMar>
            <w:vAlign w:val="center"/>
          </w:tcPr>
          <w:p w14:paraId="47D7EF28">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92F1B72">
            <w:pPr>
              <w:jc w:val="center"/>
            </w:pPr>
            <w:r>
              <w:rPr>
                <w:rFonts w:ascii="Calibri" w:hAnsi="Calibri" w:eastAsia="Calibri" w:cs="Calibri"/>
                <w:color w:val="000000"/>
                <w:sz w:val="19"/>
                <w:szCs w:val="19"/>
              </w:rPr>
              <w:t>Applicable — addresses a technology security gap identified during risk assessment: no formal secure information deletion standard.</w:t>
            </w:r>
          </w:p>
        </w:tc>
        <w:tc>
          <w:tcPr>
            <w:tcW w:w="1900" w:type="dxa"/>
            <w:tcMar>
              <w:top w:w="60" w:type="dxa"/>
              <w:left w:w="80" w:type="dxa"/>
              <w:bottom w:w="60" w:type="dxa"/>
              <w:right w:w="80" w:type="dxa"/>
            </w:tcMar>
            <w:vAlign w:val="center"/>
          </w:tcPr>
          <w:p w14:paraId="0E706DF2">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3E7F2C1">
            <w:pPr>
              <w:jc w:val="center"/>
            </w:pPr>
            <w:r>
              <w:rPr>
                <w:rFonts w:ascii="Calibri" w:hAnsi="Calibri" w:eastAsia="Calibri" w:cs="Calibri"/>
                <w:color w:val="000000"/>
                <w:sz w:val="19"/>
                <w:szCs w:val="19"/>
              </w:rPr>
              <w:t>Technical Security Standards</w:t>
            </w:r>
          </w:p>
        </w:tc>
      </w:tr>
      <w:tr w14:paraId="1F12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DF3239E">
            <w:pPr>
              <w:jc w:val="center"/>
            </w:pPr>
            <w:r>
              <w:rPr>
                <w:rFonts w:ascii="Calibri" w:hAnsi="Calibri" w:eastAsia="Calibri" w:cs="Calibri"/>
                <w:color w:val="000000"/>
                <w:sz w:val="19"/>
                <w:szCs w:val="19"/>
              </w:rPr>
              <w:t>8.11</w:t>
            </w:r>
          </w:p>
        </w:tc>
        <w:tc>
          <w:tcPr>
            <w:tcW w:w="2900" w:type="dxa"/>
            <w:tcMar>
              <w:top w:w="60" w:type="dxa"/>
              <w:left w:w="80" w:type="dxa"/>
              <w:bottom w:w="60" w:type="dxa"/>
              <w:right w:w="80" w:type="dxa"/>
            </w:tcMar>
            <w:vAlign w:val="center"/>
          </w:tcPr>
          <w:p w14:paraId="6E01658F">
            <w:pPr>
              <w:jc w:val="center"/>
            </w:pPr>
            <w:r>
              <w:rPr>
                <w:rFonts w:ascii="Calibri" w:hAnsi="Calibri" w:eastAsia="Calibri" w:cs="Calibri"/>
                <w:color w:val="000000"/>
                <w:sz w:val="19"/>
                <w:szCs w:val="19"/>
              </w:rPr>
              <w:t>Data masking</w:t>
            </w:r>
          </w:p>
        </w:tc>
        <w:tc>
          <w:tcPr>
            <w:tcW w:w="1100" w:type="dxa"/>
            <w:tcMar>
              <w:top w:w="60" w:type="dxa"/>
              <w:left w:w="80" w:type="dxa"/>
              <w:bottom w:w="60" w:type="dxa"/>
              <w:right w:w="80" w:type="dxa"/>
            </w:tcMar>
            <w:vAlign w:val="center"/>
          </w:tcPr>
          <w:p w14:paraId="68F83C1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DD83091">
            <w:pPr>
              <w:jc w:val="center"/>
            </w:pPr>
            <w:r>
              <w:rPr>
                <w:rFonts w:ascii="Calibri" w:hAnsi="Calibri" w:eastAsia="Calibri" w:cs="Calibri"/>
                <w:color w:val="000000"/>
                <w:sz w:val="19"/>
                <w:szCs w:val="19"/>
              </w:rPr>
              <w:t>Applicable — addresses a technology security gap identified during risk assessment: not consistently applied across all non-production systems.</w:t>
            </w:r>
          </w:p>
        </w:tc>
        <w:tc>
          <w:tcPr>
            <w:tcW w:w="1900" w:type="dxa"/>
            <w:tcMar>
              <w:top w:w="60" w:type="dxa"/>
              <w:left w:w="80" w:type="dxa"/>
              <w:bottom w:w="60" w:type="dxa"/>
              <w:right w:w="80" w:type="dxa"/>
            </w:tcMar>
            <w:vAlign w:val="center"/>
          </w:tcPr>
          <w:p w14:paraId="2412AE77">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870B26F">
            <w:pPr>
              <w:jc w:val="center"/>
            </w:pPr>
            <w:r>
              <w:rPr>
                <w:rFonts w:ascii="Calibri" w:hAnsi="Calibri" w:eastAsia="Calibri" w:cs="Calibri"/>
                <w:color w:val="000000"/>
                <w:sz w:val="19"/>
                <w:szCs w:val="19"/>
              </w:rPr>
              <w:t>Technical Security Standards</w:t>
            </w:r>
          </w:p>
        </w:tc>
      </w:tr>
      <w:tr w14:paraId="2150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66FFF32">
            <w:pPr>
              <w:jc w:val="center"/>
            </w:pPr>
            <w:r>
              <w:rPr>
                <w:rFonts w:ascii="Calibri" w:hAnsi="Calibri" w:eastAsia="Calibri" w:cs="Calibri"/>
                <w:color w:val="000000"/>
                <w:sz w:val="19"/>
                <w:szCs w:val="19"/>
              </w:rPr>
              <w:t>8.12</w:t>
            </w:r>
          </w:p>
        </w:tc>
        <w:tc>
          <w:tcPr>
            <w:tcW w:w="2900" w:type="dxa"/>
            <w:tcMar>
              <w:top w:w="60" w:type="dxa"/>
              <w:left w:w="80" w:type="dxa"/>
              <w:bottom w:w="60" w:type="dxa"/>
              <w:right w:w="80" w:type="dxa"/>
            </w:tcMar>
            <w:vAlign w:val="center"/>
          </w:tcPr>
          <w:p w14:paraId="25B0637A">
            <w:pPr>
              <w:jc w:val="center"/>
            </w:pPr>
            <w:r>
              <w:rPr>
                <w:rFonts w:ascii="Calibri" w:hAnsi="Calibri" w:eastAsia="Calibri" w:cs="Calibri"/>
                <w:color w:val="000000"/>
                <w:sz w:val="19"/>
                <w:szCs w:val="19"/>
              </w:rPr>
              <w:t>Data leakage prevention</w:t>
            </w:r>
          </w:p>
        </w:tc>
        <w:tc>
          <w:tcPr>
            <w:tcW w:w="1100" w:type="dxa"/>
            <w:tcMar>
              <w:top w:w="60" w:type="dxa"/>
              <w:left w:w="80" w:type="dxa"/>
              <w:bottom w:w="60" w:type="dxa"/>
              <w:right w:w="80" w:type="dxa"/>
            </w:tcMar>
            <w:vAlign w:val="center"/>
          </w:tcPr>
          <w:p w14:paraId="5A090C50">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82BCD4C">
            <w:pPr>
              <w:jc w:val="center"/>
            </w:pPr>
            <w:r>
              <w:rPr>
                <w:rFonts w:ascii="Calibri" w:hAnsi="Calibri" w:eastAsia="Calibri" w:cs="Calibri"/>
                <w:color w:val="000000"/>
                <w:sz w:val="19"/>
                <w:szCs w:val="19"/>
              </w:rPr>
              <w:t>Applicable — addresses a technology security gap identified during risk assessment: policies not fully tuned for all sensitive data types.</w:t>
            </w:r>
          </w:p>
        </w:tc>
        <w:tc>
          <w:tcPr>
            <w:tcW w:w="1900" w:type="dxa"/>
            <w:tcMar>
              <w:top w:w="60" w:type="dxa"/>
              <w:left w:w="80" w:type="dxa"/>
              <w:bottom w:w="60" w:type="dxa"/>
              <w:right w:w="80" w:type="dxa"/>
            </w:tcMar>
            <w:vAlign w:val="center"/>
          </w:tcPr>
          <w:p w14:paraId="6F78E77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DA8AB94">
            <w:pPr>
              <w:jc w:val="center"/>
            </w:pPr>
            <w:r>
              <w:rPr>
                <w:rFonts w:ascii="Calibri" w:hAnsi="Calibri" w:eastAsia="Calibri" w:cs="Calibri"/>
                <w:color w:val="000000"/>
                <w:sz w:val="19"/>
                <w:szCs w:val="19"/>
              </w:rPr>
              <w:t>Technical Security Standards</w:t>
            </w:r>
          </w:p>
        </w:tc>
      </w:tr>
      <w:tr w14:paraId="3C8B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AE397D8">
            <w:pPr>
              <w:jc w:val="center"/>
            </w:pPr>
            <w:r>
              <w:rPr>
                <w:rFonts w:ascii="Calibri" w:hAnsi="Calibri" w:eastAsia="Calibri" w:cs="Calibri"/>
                <w:color w:val="000000"/>
                <w:sz w:val="19"/>
                <w:szCs w:val="19"/>
              </w:rPr>
              <w:t>8.13</w:t>
            </w:r>
          </w:p>
        </w:tc>
        <w:tc>
          <w:tcPr>
            <w:tcW w:w="2900" w:type="dxa"/>
            <w:tcMar>
              <w:top w:w="60" w:type="dxa"/>
              <w:left w:w="80" w:type="dxa"/>
              <w:bottom w:w="60" w:type="dxa"/>
              <w:right w:w="80" w:type="dxa"/>
            </w:tcMar>
            <w:vAlign w:val="center"/>
          </w:tcPr>
          <w:p w14:paraId="0C5198AE">
            <w:pPr>
              <w:jc w:val="center"/>
            </w:pPr>
            <w:r>
              <w:rPr>
                <w:rFonts w:ascii="Calibri" w:hAnsi="Calibri" w:eastAsia="Calibri" w:cs="Calibri"/>
                <w:color w:val="000000"/>
                <w:sz w:val="19"/>
                <w:szCs w:val="19"/>
              </w:rPr>
              <w:t>Information backup</w:t>
            </w:r>
          </w:p>
        </w:tc>
        <w:tc>
          <w:tcPr>
            <w:tcW w:w="1100" w:type="dxa"/>
            <w:tcMar>
              <w:top w:w="60" w:type="dxa"/>
              <w:left w:w="80" w:type="dxa"/>
              <w:bottom w:w="60" w:type="dxa"/>
              <w:right w:w="80" w:type="dxa"/>
            </w:tcMar>
            <w:vAlign w:val="center"/>
          </w:tcPr>
          <w:p w14:paraId="55629B8F">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64E24F2">
            <w:pPr>
              <w:jc w:val="center"/>
            </w:pPr>
            <w:r>
              <w:rPr>
                <w:rFonts w:ascii="Calibri" w:hAnsi="Calibri" w:eastAsia="Calibri" w:cs="Calibri"/>
                <w:color w:val="000000"/>
                <w:sz w:val="19"/>
                <w:szCs w:val="19"/>
              </w:rPr>
              <w:t>Applicable — addresses a technology security gap identified during risk assessment: backup restoration is not tested on a regular schedule.</w:t>
            </w:r>
          </w:p>
        </w:tc>
        <w:tc>
          <w:tcPr>
            <w:tcW w:w="1900" w:type="dxa"/>
            <w:tcMar>
              <w:top w:w="60" w:type="dxa"/>
              <w:left w:w="80" w:type="dxa"/>
              <w:bottom w:w="60" w:type="dxa"/>
              <w:right w:w="80" w:type="dxa"/>
            </w:tcMar>
            <w:vAlign w:val="center"/>
          </w:tcPr>
          <w:p w14:paraId="58806795">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F4B2ACB">
            <w:pPr>
              <w:jc w:val="center"/>
            </w:pPr>
            <w:r>
              <w:rPr>
                <w:rFonts w:ascii="Calibri" w:hAnsi="Calibri" w:eastAsia="Calibri" w:cs="Calibri"/>
                <w:color w:val="000000"/>
                <w:sz w:val="19"/>
                <w:szCs w:val="19"/>
              </w:rPr>
              <w:t>Technical Security Standards</w:t>
            </w:r>
          </w:p>
        </w:tc>
      </w:tr>
      <w:tr w14:paraId="00A13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FC3001E">
            <w:pPr>
              <w:jc w:val="center"/>
            </w:pPr>
            <w:r>
              <w:rPr>
                <w:rFonts w:ascii="Calibri" w:hAnsi="Calibri" w:eastAsia="Calibri" w:cs="Calibri"/>
                <w:color w:val="000000"/>
                <w:sz w:val="19"/>
                <w:szCs w:val="19"/>
              </w:rPr>
              <w:t>8.14</w:t>
            </w:r>
          </w:p>
        </w:tc>
        <w:tc>
          <w:tcPr>
            <w:tcW w:w="2900" w:type="dxa"/>
            <w:tcMar>
              <w:top w:w="60" w:type="dxa"/>
              <w:left w:w="80" w:type="dxa"/>
              <w:bottom w:w="60" w:type="dxa"/>
              <w:right w:w="80" w:type="dxa"/>
            </w:tcMar>
            <w:vAlign w:val="center"/>
          </w:tcPr>
          <w:p w14:paraId="15DB652C">
            <w:pPr>
              <w:jc w:val="center"/>
            </w:pPr>
            <w:r>
              <w:rPr>
                <w:rFonts w:ascii="Calibri" w:hAnsi="Calibri" w:eastAsia="Calibri" w:cs="Calibri"/>
                <w:color w:val="000000"/>
                <w:sz w:val="19"/>
                <w:szCs w:val="19"/>
              </w:rPr>
              <w:t>Redundancy of information processing facilities</w:t>
            </w:r>
          </w:p>
        </w:tc>
        <w:tc>
          <w:tcPr>
            <w:tcW w:w="1100" w:type="dxa"/>
            <w:tcMar>
              <w:top w:w="60" w:type="dxa"/>
              <w:left w:w="80" w:type="dxa"/>
              <w:bottom w:w="60" w:type="dxa"/>
              <w:right w:w="80" w:type="dxa"/>
            </w:tcMar>
            <w:vAlign w:val="center"/>
          </w:tcPr>
          <w:p w14:paraId="7B5DE1DC">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4639F15">
            <w:pPr>
              <w:jc w:val="center"/>
            </w:pPr>
            <w:r>
              <w:rPr>
                <w:rFonts w:ascii="Calibri" w:hAnsi="Calibri" w:eastAsia="Calibri" w:cs="Calibri"/>
                <w:color w:val="000000"/>
                <w:sz w:val="19"/>
                <w:szCs w:val="19"/>
              </w:rPr>
              <w:t>Applicable — addresses a technology security gap identified during risk assessment: failover has not been tested at the planned frequency.</w:t>
            </w:r>
          </w:p>
        </w:tc>
        <w:tc>
          <w:tcPr>
            <w:tcW w:w="1900" w:type="dxa"/>
            <w:tcMar>
              <w:top w:w="60" w:type="dxa"/>
              <w:left w:w="80" w:type="dxa"/>
              <w:bottom w:w="60" w:type="dxa"/>
              <w:right w:w="80" w:type="dxa"/>
            </w:tcMar>
            <w:vAlign w:val="center"/>
          </w:tcPr>
          <w:p w14:paraId="0899E80B">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3ACD08A">
            <w:pPr>
              <w:jc w:val="center"/>
            </w:pPr>
            <w:r>
              <w:rPr>
                <w:rFonts w:ascii="Calibri" w:hAnsi="Calibri" w:eastAsia="Calibri" w:cs="Calibri"/>
                <w:color w:val="000000"/>
                <w:sz w:val="19"/>
                <w:szCs w:val="19"/>
              </w:rPr>
              <w:t>Technical Security Standards</w:t>
            </w:r>
          </w:p>
        </w:tc>
      </w:tr>
      <w:tr w14:paraId="7911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83C0454">
            <w:pPr>
              <w:jc w:val="center"/>
            </w:pPr>
            <w:r>
              <w:rPr>
                <w:rFonts w:ascii="Calibri" w:hAnsi="Calibri" w:eastAsia="Calibri" w:cs="Calibri"/>
                <w:color w:val="000000"/>
                <w:sz w:val="19"/>
                <w:szCs w:val="19"/>
              </w:rPr>
              <w:t>8.15</w:t>
            </w:r>
          </w:p>
        </w:tc>
        <w:tc>
          <w:tcPr>
            <w:tcW w:w="2900" w:type="dxa"/>
            <w:tcMar>
              <w:top w:w="60" w:type="dxa"/>
              <w:left w:w="80" w:type="dxa"/>
              <w:bottom w:w="60" w:type="dxa"/>
              <w:right w:w="80" w:type="dxa"/>
            </w:tcMar>
            <w:vAlign w:val="center"/>
          </w:tcPr>
          <w:p w14:paraId="0A5E2F0A">
            <w:pPr>
              <w:jc w:val="center"/>
            </w:pPr>
            <w:r>
              <w:rPr>
                <w:rFonts w:ascii="Calibri" w:hAnsi="Calibri" w:eastAsia="Calibri" w:cs="Calibri"/>
                <w:color w:val="000000"/>
                <w:sz w:val="19"/>
                <w:szCs w:val="19"/>
              </w:rPr>
              <w:t>Logging</w:t>
            </w:r>
          </w:p>
        </w:tc>
        <w:tc>
          <w:tcPr>
            <w:tcW w:w="1100" w:type="dxa"/>
            <w:tcMar>
              <w:top w:w="60" w:type="dxa"/>
              <w:left w:w="80" w:type="dxa"/>
              <w:bottom w:w="60" w:type="dxa"/>
              <w:right w:w="80" w:type="dxa"/>
            </w:tcMar>
            <w:vAlign w:val="center"/>
          </w:tcPr>
          <w:p w14:paraId="246421C9">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53114F1">
            <w:pPr>
              <w:jc w:val="center"/>
            </w:pPr>
            <w:r>
              <w:rPr>
                <w:rFonts w:ascii="Calibri" w:hAnsi="Calibri" w:eastAsia="Calibri" w:cs="Calibri"/>
                <w:color w:val="000000"/>
                <w:sz w:val="19"/>
                <w:szCs w:val="19"/>
              </w:rPr>
              <w:t>Applicable — addresses a technology security gap identified during risk assessment: not all systems are onboarded to the SIEM platform.</w:t>
            </w:r>
          </w:p>
        </w:tc>
        <w:tc>
          <w:tcPr>
            <w:tcW w:w="1900" w:type="dxa"/>
            <w:tcMar>
              <w:top w:w="60" w:type="dxa"/>
              <w:left w:w="80" w:type="dxa"/>
              <w:bottom w:w="60" w:type="dxa"/>
              <w:right w:w="80" w:type="dxa"/>
            </w:tcMar>
            <w:vAlign w:val="center"/>
          </w:tcPr>
          <w:p w14:paraId="02562F78">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D5D15EC">
            <w:pPr>
              <w:jc w:val="center"/>
            </w:pPr>
            <w:r>
              <w:rPr>
                <w:rFonts w:ascii="Calibri" w:hAnsi="Calibri" w:eastAsia="Calibri" w:cs="Calibri"/>
                <w:color w:val="000000"/>
                <w:sz w:val="19"/>
                <w:szCs w:val="19"/>
              </w:rPr>
              <w:t>Technical Security Standards</w:t>
            </w:r>
          </w:p>
        </w:tc>
      </w:tr>
      <w:tr w14:paraId="31B0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C2264CE">
            <w:pPr>
              <w:jc w:val="center"/>
            </w:pPr>
            <w:r>
              <w:rPr>
                <w:rFonts w:ascii="Calibri" w:hAnsi="Calibri" w:eastAsia="Calibri" w:cs="Calibri"/>
                <w:color w:val="000000"/>
                <w:sz w:val="19"/>
                <w:szCs w:val="19"/>
              </w:rPr>
              <w:t>8.16</w:t>
            </w:r>
          </w:p>
        </w:tc>
        <w:tc>
          <w:tcPr>
            <w:tcW w:w="2900" w:type="dxa"/>
            <w:tcMar>
              <w:top w:w="60" w:type="dxa"/>
              <w:left w:w="80" w:type="dxa"/>
              <w:bottom w:w="60" w:type="dxa"/>
              <w:right w:w="80" w:type="dxa"/>
            </w:tcMar>
            <w:vAlign w:val="center"/>
          </w:tcPr>
          <w:p w14:paraId="4F8A0F0D">
            <w:pPr>
              <w:jc w:val="center"/>
            </w:pPr>
            <w:r>
              <w:rPr>
                <w:rFonts w:ascii="Calibri" w:hAnsi="Calibri" w:eastAsia="Calibri" w:cs="Calibri"/>
                <w:color w:val="000000"/>
                <w:sz w:val="19"/>
                <w:szCs w:val="19"/>
              </w:rPr>
              <w:t>Monitoring activities</w:t>
            </w:r>
          </w:p>
        </w:tc>
        <w:tc>
          <w:tcPr>
            <w:tcW w:w="1100" w:type="dxa"/>
            <w:tcMar>
              <w:top w:w="60" w:type="dxa"/>
              <w:left w:w="80" w:type="dxa"/>
              <w:bottom w:w="60" w:type="dxa"/>
              <w:right w:w="80" w:type="dxa"/>
            </w:tcMar>
            <w:vAlign w:val="center"/>
          </w:tcPr>
          <w:p w14:paraId="28525FFA">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3290DCE">
            <w:pPr>
              <w:jc w:val="center"/>
            </w:pPr>
            <w:r>
              <w:rPr>
                <w:rFonts w:ascii="Calibri" w:hAnsi="Calibri" w:eastAsia="Calibri" w:cs="Calibri"/>
                <w:color w:val="000000"/>
                <w:sz w:val="19"/>
                <w:szCs w:val="19"/>
              </w:rPr>
              <w:t>Applicable — addresses a technology security gap identified during risk assessment: 24/7 monitoring coverage has not been formally confirmed.</w:t>
            </w:r>
          </w:p>
        </w:tc>
        <w:tc>
          <w:tcPr>
            <w:tcW w:w="1900" w:type="dxa"/>
            <w:tcMar>
              <w:top w:w="60" w:type="dxa"/>
              <w:left w:w="80" w:type="dxa"/>
              <w:bottom w:w="60" w:type="dxa"/>
              <w:right w:w="80" w:type="dxa"/>
            </w:tcMar>
            <w:vAlign w:val="center"/>
          </w:tcPr>
          <w:p w14:paraId="1AFC4FEA">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7CA435F">
            <w:pPr>
              <w:jc w:val="center"/>
            </w:pPr>
            <w:r>
              <w:rPr>
                <w:rFonts w:ascii="Calibri" w:hAnsi="Calibri" w:eastAsia="Calibri" w:cs="Calibri"/>
                <w:color w:val="000000"/>
                <w:sz w:val="19"/>
                <w:szCs w:val="19"/>
              </w:rPr>
              <w:t>Technical Security Standards</w:t>
            </w:r>
          </w:p>
        </w:tc>
      </w:tr>
      <w:tr w14:paraId="0453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5B1CE35">
            <w:pPr>
              <w:jc w:val="center"/>
            </w:pPr>
            <w:r>
              <w:rPr>
                <w:rFonts w:ascii="Calibri" w:hAnsi="Calibri" w:eastAsia="Calibri" w:cs="Calibri"/>
                <w:color w:val="000000"/>
                <w:sz w:val="19"/>
                <w:szCs w:val="19"/>
              </w:rPr>
              <w:t>8.17</w:t>
            </w:r>
          </w:p>
        </w:tc>
        <w:tc>
          <w:tcPr>
            <w:tcW w:w="2900" w:type="dxa"/>
            <w:tcMar>
              <w:top w:w="60" w:type="dxa"/>
              <w:left w:w="80" w:type="dxa"/>
              <w:bottom w:w="60" w:type="dxa"/>
              <w:right w:w="80" w:type="dxa"/>
            </w:tcMar>
            <w:vAlign w:val="center"/>
          </w:tcPr>
          <w:p w14:paraId="21F02B68">
            <w:pPr>
              <w:jc w:val="center"/>
            </w:pPr>
            <w:r>
              <w:rPr>
                <w:rFonts w:ascii="Calibri" w:hAnsi="Calibri" w:eastAsia="Calibri" w:cs="Calibri"/>
                <w:color w:val="000000"/>
                <w:sz w:val="19"/>
                <w:szCs w:val="19"/>
              </w:rPr>
              <w:t>Clock synchronization</w:t>
            </w:r>
          </w:p>
        </w:tc>
        <w:tc>
          <w:tcPr>
            <w:tcW w:w="1100" w:type="dxa"/>
            <w:tcMar>
              <w:top w:w="60" w:type="dxa"/>
              <w:left w:w="80" w:type="dxa"/>
              <w:bottom w:w="60" w:type="dxa"/>
              <w:right w:w="80" w:type="dxa"/>
            </w:tcMar>
            <w:vAlign w:val="center"/>
          </w:tcPr>
          <w:p w14:paraId="032889D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120CC37">
            <w:pPr>
              <w:jc w:val="center"/>
            </w:pPr>
            <w:r>
              <w:rPr>
                <w:rFonts w:ascii="Calibri" w:hAnsi="Calibri" w:eastAsia="Calibri" w:cs="Calibri"/>
                <w:color w:val="000000"/>
                <w:sz w:val="19"/>
                <w:szCs w:val="19"/>
              </w:rPr>
              <w:t>Applicable — addresses a technology security gap identified during risk assessment: coverage has not been verified across all systems.</w:t>
            </w:r>
          </w:p>
        </w:tc>
        <w:tc>
          <w:tcPr>
            <w:tcW w:w="1900" w:type="dxa"/>
            <w:tcMar>
              <w:top w:w="60" w:type="dxa"/>
              <w:left w:w="80" w:type="dxa"/>
              <w:bottom w:w="60" w:type="dxa"/>
              <w:right w:w="80" w:type="dxa"/>
            </w:tcMar>
            <w:vAlign w:val="center"/>
          </w:tcPr>
          <w:p w14:paraId="34A1EA6B">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9488516">
            <w:pPr>
              <w:jc w:val="center"/>
            </w:pPr>
            <w:r>
              <w:rPr>
                <w:rFonts w:ascii="Calibri" w:hAnsi="Calibri" w:eastAsia="Calibri" w:cs="Calibri"/>
                <w:color w:val="000000"/>
                <w:sz w:val="19"/>
                <w:szCs w:val="19"/>
              </w:rPr>
              <w:t>Technical Security Standards</w:t>
            </w:r>
          </w:p>
        </w:tc>
      </w:tr>
      <w:tr w14:paraId="4982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C2CB449">
            <w:pPr>
              <w:jc w:val="center"/>
            </w:pPr>
            <w:r>
              <w:rPr>
                <w:rFonts w:ascii="Calibri" w:hAnsi="Calibri" w:eastAsia="Calibri" w:cs="Calibri"/>
                <w:color w:val="000000"/>
                <w:sz w:val="19"/>
                <w:szCs w:val="19"/>
              </w:rPr>
              <w:t>8.18</w:t>
            </w:r>
          </w:p>
        </w:tc>
        <w:tc>
          <w:tcPr>
            <w:tcW w:w="2900" w:type="dxa"/>
            <w:tcMar>
              <w:top w:w="60" w:type="dxa"/>
              <w:left w:w="80" w:type="dxa"/>
              <w:bottom w:w="60" w:type="dxa"/>
              <w:right w:w="80" w:type="dxa"/>
            </w:tcMar>
            <w:vAlign w:val="center"/>
          </w:tcPr>
          <w:p w14:paraId="3895E3F4">
            <w:pPr>
              <w:jc w:val="center"/>
            </w:pPr>
            <w:r>
              <w:rPr>
                <w:rFonts w:ascii="Calibri" w:hAnsi="Calibri" w:eastAsia="Calibri" w:cs="Calibri"/>
                <w:color w:val="000000"/>
                <w:sz w:val="19"/>
                <w:szCs w:val="19"/>
              </w:rPr>
              <w:t>Use of privileged utility programs</w:t>
            </w:r>
          </w:p>
        </w:tc>
        <w:tc>
          <w:tcPr>
            <w:tcW w:w="1100" w:type="dxa"/>
            <w:tcMar>
              <w:top w:w="60" w:type="dxa"/>
              <w:left w:w="80" w:type="dxa"/>
              <w:bottom w:w="60" w:type="dxa"/>
              <w:right w:w="80" w:type="dxa"/>
            </w:tcMar>
            <w:vAlign w:val="center"/>
          </w:tcPr>
          <w:p w14:paraId="22334828">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BC09C6C">
            <w:pPr>
              <w:jc w:val="center"/>
            </w:pPr>
            <w:r>
              <w:rPr>
                <w:rFonts w:ascii="Calibri" w:hAnsi="Calibri" w:eastAsia="Calibri" w:cs="Calibri"/>
                <w:color w:val="000000"/>
                <w:sz w:val="19"/>
                <w:szCs w:val="19"/>
              </w:rPr>
              <w:t>Applicable — addresses a technology security gap identified during risk assessment: usage of privileged utility programs is not logged.</w:t>
            </w:r>
          </w:p>
        </w:tc>
        <w:tc>
          <w:tcPr>
            <w:tcW w:w="1900" w:type="dxa"/>
            <w:tcMar>
              <w:top w:w="60" w:type="dxa"/>
              <w:left w:w="80" w:type="dxa"/>
              <w:bottom w:w="60" w:type="dxa"/>
              <w:right w:w="80" w:type="dxa"/>
            </w:tcMar>
            <w:vAlign w:val="center"/>
          </w:tcPr>
          <w:p w14:paraId="3D29C187">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7A75A32">
            <w:pPr>
              <w:jc w:val="center"/>
            </w:pPr>
            <w:r>
              <w:rPr>
                <w:rFonts w:ascii="Calibri" w:hAnsi="Calibri" w:eastAsia="Calibri" w:cs="Calibri"/>
                <w:color w:val="000000"/>
                <w:sz w:val="19"/>
                <w:szCs w:val="19"/>
              </w:rPr>
              <w:t>Technical Security Standards</w:t>
            </w:r>
          </w:p>
        </w:tc>
      </w:tr>
      <w:tr w14:paraId="74D5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0E518FB3">
            <w:pPr>
              <w:jc w:val="center"/>
            </w:pPr>
            <w:r>
              <w:rPr>
                <w:rFonts w:ascii="Calibri" w:hAnsi="Calibri" w:eastAsia="Calibri" w:cs="Calibri"/>
                <w:color w:val="000000"/>
                <w:sz w:val="19"/>
                <w:szCs w:val="19"/>
              </w:rPr>
              <w:t>8.19</w:t>
            </w:r>
          </w:p>
        </w:tc>
        <w:tc>
          <w:tcPr>
            <w:tcW w:w="2900" w:type="dxa"/>
            <w:tcMar>
              <w:top w:w="60" w:type="dxa"/>
              <w:left w:w="80" w:type="dxa"/>
              <w:bottom w:w="60" w:type="dxa"/>
              <w:right w:w="80" w:type="dxa"/>
            </w:tcMar>
            <w:vAlign w:val="center"/>
          </w:tcPr>
          <w:p w14:paraId="0156C178">
            <w:pPr>
              <w:jc w:val="center"/>
            </w:pPr>
            <w:r>
              <w:rPr>
                <w:rFonts w:ascii="Calibri" w:hAnsi="Calibri" w:eastAsia="Calibri" w:cs="Calibri"/>
                <w:color w:val="000000"/>
                <w:sz w:val="19"/>
                <w:szCs w:val="19"/>
              </w:rPr>
              <w:t>Installation of software on operational systems</w:t>
            </w:r>
          </w:p>
        </w:tc>
        <w:tc>
          <w:tcPr>
            <w:tcW w:w="1100" w:type="dxa"/>
            <w:tcMar>
              <w:top w:w="60" w:type="dxa"/>
              <w:left w:w="80" w:type="dxa"/>
              <w:bottom w:w="60" w:type="dxa"/>
              <w:right w:w="80" w:type="dxa"/>
            </w:tcMar>
            <w:vAlign w:val="center"/>
          </w:tcPr>
          <w:p w14:paraId="6C183DCD">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1A9ABC0">
            <w:pPr>
              <w:jc w:val="center"/>
            </w:pPr>
            <w:r>
              <w:rPr>
                <w:rFonts w:ascii="Calibri" w:hAnsi="Calibri" w:eastAsia="Calibri" w:cs="Calibri"/>
                <w:color w:val="000000"/>
                <w:sz w:val="19"/>
                <w:szCs w:val="19"/>
              </w:rPr>
              <w:t>Applicable — addresses a technology security gap identified during risk assessment: no formal software installation approval workflow.</w:t>
            </w:r>
          </w:p>
        </w:tc>
        <w:tc>
          <w:tcPr>
            <w:tcW w:w="1900" w:type="dxa"/>
            <w:tcMar>
              <w:top w:w="60" w:type="dxa"/>
              <w:left w:w="80" w:type="dxa"/>
              <w:bottom w:w="60" w:type="dxa"/>
              <w:right w:w="80" w:type="dxa"/>
            </w:tcMar>
            <w:vAlign w:val="center"/>
          </w:tcPr>
          <w:p w14:paraId="52A1591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B197F6B">
            <w:pPr>
              <w:jc w:val="center"/>
            </w:pPr>
            <w:r>
              <w:rPr>
                <w:rFonts w:ascii="Calibri" w:hAnsi="Calibri" w:eastAsia="Calibri" w:cs="Calibri"/>
                <w:color w:val="000000"/>
                <w:sz w:val="19"/>
                <w:szCs w:val="19"/>
              </w:rPr>
              <w:t>Technical Security Standards</w:t>
            </w:r>
          </w:p>
        </w:tc>
      </w:tr>
      <w:tr w14:paraId="0DE1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96C6AB4">
            <w:pPr>
              <w:jc w:val="center"/>
            </w:pPr>
            <w:r>
              <w:rPr>
                <w:rFonts w:ascii="Calibri" w:hAnsi="Calibri" w:eastAsia="Calibri" w:cs="Calibri"/>
                <w:color w:val="000000"/>
                <w:sz w:val="19"/>
                <w:szCs w:val="19"/>
              </w:rPr>
              <w:t>8.20</w:t>
            </w:r>
          </w:p>
        </w:tc>
        <w:tc>
          <w:tcPr>
            <w:tcW w:w="2900" w:type="dxa"/>
            <w:tcMar>
              <w:top w:w="60" w:type="dxa"/>
              <w:left w:w="80" w:type="dxa"/>
              <w:bottom w:w="60" w:type="dxa"/>
              <w:right w:w="80" w:type="dxa"/>
            </w:tcMar>
            <w:vAlign w:val="center"/>
          </w:tcPr>
          <w:p w14:paraId="60D57E6F">
            <w:pPr>
              <w:jc w:val="center"/>
            </w:pPr>
            <w:r>
              <w:rPr>
                <w:rFonts w:ascii="Calibri" w:hAnsi="Calibri" w:eastAsia="Calibri" w:cs="Calibri"/>
                <w:color w:val="000000"/>
                <w:sz w:val="19"/>
                <w:szCs w:val="19"/>
              </w:rPr>
              <w:t>Networks security</w:t>
            </w:r>
          </w:p>
        </w:tc>
        <w:tc>
          <w:tcPr>
            <w:tcW w:w="1100" w:type="dxa"/>
            <w:tcMar>
              <w:top w:w="60" w:type="dxa"/>
              <w:left w:w="80" w:type="dxa"/>
              <w:bottom w:w="60" w:type="dxa"/>
              <w:right w:w="80" w:type="dxa"/>
            </w:tcMar>
            <w:vAlign w:val="center"/>
          </w:tcPr>
          <w:p w14:paraId="17C721C8">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60C6DF9">
            <w:pPr>
              <w:jc w:val="center"/>
            </w:pPr>
            <w:r>
              <w:rPr>
                <w:rFonts w:ascii="Calibri" w:hAnsi="Calibri" w:eastAsia="Calibri" w:cs="Calibri"/>
                <w:color w:val="000000"/>
                <w:sz w:val="19"/>
                <w:szCs w:val="19"/>
              </w:rPr>
              <w:t>Applicable — addresses a technology security gap identified during risk assessment: firewall rule review not performed on a set schedule.</w:t>
            </w:r>
          </w:p>
        </w:tc>
        <w:tc>
          <w:tcPr>
            <w:tcW w:w="1900" w:type="dxa"/>
            <w:tcMar>
              <w:top w:w="60" w:type="dxa"/>
              <w:left w:w="80" w:type="dxa"/>
              <w:bottom w:w="60" w:type="dxa"/>
              <w:right w:w="80" w:type="dxa"/>
            </w:tcMar>
            <w:vAlign w:val="center"/>
          </w:tcPr>
          <w:p w14:paraId="0CA3A1FA">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0F36B3A0">
            <w:pPr>
              <w:jc w:val="center"/>
            </w:pPr>
            <w:r>
              <w:rPr>
                <w:rFonts w:ascii="Calibri" w:hAnsi="Calibri" w:eastAsia="Calibri" w:cs="Calibri"/>
                <w:color w:val="000000"/>
                <w:sz w:val="19"/>
                <w:szCs w:val="19"/>
              </w:rPr>
              <w:t>Technical Security Standards</w:t>
            </w:r>
          </w:p>
        </w:tc>
      </w:tr>
      <w:tr w14:paraId="12A2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A2824C6">
            <w:pPr>
              <w:jc w:val="center"/>
            </w:pPr>
            <w:r>
              <w:rPr>
                <w:rFonts w:ascii="Calibri" w:hAnsi="Calibri" w:eastAsia="Calibri" w:cs="Calibri"/>
                <w:color w:val="000000"/>
                <w:sz w:val="19"/>
                <w:szCs w:val="19"/>
              </w:rPr>
              <w:t>8.21</w:t>
            </w:r>
          </w:p>
        </w:tc>
        <w:tc>
          <w:tcPr>
            <w:tcW w:w="2900" w:type="dxa"/>
            <w:tcMar>
              <w:top w:w="60" w:type="dxa"/>
              <w:left w:w="80" w:type="dxa"/>
              <w:bottom w:w="60" w:type="dxa"/>
              <w:right w:w="80" w:type="dxa"/>
            </w:tcMar>
            <w:vAlign w:val="center"/>
          </w:tcPr>
          <w:p w14:paraId="39D7B4B5">
            <w:pPr>
              <w:jc w:val="center"/>
            </w:pPr>
            <w:r>
              <w:rPr>
                <w:rFonts w:ascii="Calibri" w:hAnsi="Calibri" w:eastAsia="Calibri" w:cs="Calibri"/>
                <w:color w:val="000000"/>
                <w:sz w:val="19"/>
                <w:szCs w:val="19"/>
              </w:rPr>
              <w:t>Security of network services</w:t>
            </w:r>
          </w:p>
        </w:tc>
        <w:tc>
          <w:tcPr>
            <w:tcW w:w="1100" w:type="dxa"/>
            <w:tcMar>
              <w:top w:w="60" w:type="dxa"/>
              <w:left w:w="80" w:type="dxa"/>
              <w:bottom w:w="60" w:type="dxa"/>
              <w:right w:w="80" w:type="dxa"/>
            </w:tcMar>
            <w:vAlign w:val="center"/>
          </w:tcPr>
          <w:p w14:paraId="71E029EA">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5C78E7F">
            <w:pPr>
              <w:jc w:val="center"/>
            </w:pPr>
            <w:r>
              <w:rPr>
                <w:rFonts w:ascii="Calibri" w:hAnsi="Calibri" w:eastAsia="Calibri" w:cs="Calibri"/>
                <w:color w:val="000000"/>
                <w:sz w:val="19"/>
                <w:szCs w:val="19"/>
              </w:rPr>
              <w:t>Applicable — addresses a technology security gap identified during risk assessment: no formal, maintained network services inventory.</w:t>
            </w:r>
          </w:p>
        </w:tc>
        <w:tc>
          <w:tcPr>
            <w:tcW w:w="1900" w:type="dxa"/>
            <w:tcMar>
              <w:top w:w="60" w:type="dxa"/>
              <w:left w:w="80" w:type="dxa"/>
              <w:bottom w:w="60" w:type="dxa"/>
              <w:right w:w="80" w:type="dxa"/>
            </w:tcMar>
            <w:vAlign w:val="center"/>
          </w:tcPr>
          <w:p w14:paraId="5C7451A4">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5F559030">
            <w:pPr>
              <w:jc w:val="center"/>
            </w:pPr>
            <w:r>
              <w:rPr>
                <w:rFonts w:ascii="Calibri" w:hAnsi="Calibri" w:eastAsia="Calibri" w:cs="Calibri"/>
                <w:color w:val="000000"/>
                <w:sz w:val="19"/>
                <w:szCs w:val="19"/>
              </w:rPr>
              <w:t>Technical Security Standards</w:t>
            </w:r>
          </w:p>
        </w:tc>
      </w:tr>
      <w:tr w14:paraId="1E6B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7004AA9A">
            <w:pPr>
              <w:jc w:val="center"/>
            </w:pPr>
            <w:r>
              <w:rPr>
                <w:rFonts w:ascii="Calibri" w:hAnsi="Calibri" w:eastAsia="Calibri" w:cs="Calibri"/>
                <w:color w:val="000000"/>
                <w:sz w:val="19"/>
                <w:szCs w:val="19"/>
              </w:rPr>
              <w:t>8.22</w:t>
            </w:r>
          </w:p>
        </w:tc>
        <w:tc>
          <w:tcPr>
            <w:tcW w:w="2900" w:type="dxa"/>
            <w:tcMar>
              <w:top w:w="60" w:type="dxa"/>
              <w:left w:w="80" w:type="dxa"/>
              <w:bottom w:w="60" w:type="dxa"/>
              <w:right w:w="80" w:type="dxa"/>
            </w:tcMar>
            <w:vAlign w:val="center"/>
          </w:tcPr>
          <w:p w14:paraId="4C31FD63">
            <w:pPr>
              <w:jc w:val="center"/>
            </w:pPr>
            <w:r>
              <w:rPr>
                <w:rFonts w:ascii="Calibri" w:hAnsi="Calibri" w:eastAsia="Calibri" w:cs="Calibri"/>
                <w:color w:val="000000"/>
                <w:sz w:val="19"/>
                <w:szCs w:val="19"/>
              </w:rPr>
              <w:t>Segregation of networks</w:t>
            </w:r>
          </w:p>
        </w:tc>
        <w:tc>
          <w:tcPr>
            <w:tcW w:w="1100" w:type="dxa"/>
            <w:tcMar>
              <w:top w:w="60" w:type="dxa"/>
              <w:left w:w="80" w:type="dxa"/>
              <w:bottom w:w="60" w:type="dxa"/>
              <w:right w:w="80" w:type="dxa"/>
            </w:tcMar>
            <w:vAlign w:val="center"/>
          </w:tcPr>
          <w:p w14:paraId="31C61FD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207AF78B">
            <w:pPr>
              <w:jc w:val="center"/>
            </w:pPr>
            <w:r>
              <w:rPr>
                <w:rFonts w:ascii="Calibri" w:hAnsi="Calibri" w:eastAsia="Calibri" w:cs="Calibri"/>
                <w:color w:val="000000"/>
                <w:sz w:val="19"/>
                <w:szCs w:val="19"/>
              </w:rPr>
              <w:t>Applicable — addresses a technology security gap identified during risk assessment: guest and branch network segmentation is inconsistent.</w:t>
            </w:r>
          </w:p>
        </w:tc>
        <w:tc>
          <w:tcPr>
            <w:tcW w:w="1900" w:type="dxa"/>
            <w:tcMar>
              <w:top w:w="60" w:type="dxa"/>
              <w:left w:w="80" w:type="dxa"/>
              <w:bottom w:w="60" w:type="dxa"/>
              <w:right w:w="80" w:type="dxa"/>
            </w:tcMar>
            <w:vAlign w:val="center"/>
          </w:tcPr>
          <w:p w14:paraId="0405AC7A">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92D37AC">
            <w:pPr>
              <w:jc w:val="center"/>
            </w:pPr>
            <w:r>
              <w:rPr>
                <w:rFonts w:ascii="Calibri" w:hAnsi="Calibri" w:eastAsia="Calibri" w:cs="Calibri"/>
                <w:color w:val="000000"/>
                <w:sz w:val="19"/>
                <w:szCs w:val="19"/>
              </w:rPr>
              <w:t>Technical Security Standards</w:t>
            </w:r>
          </w:p>
        </w:tc>
      </w:tr>
      <w:tr w14:paraId="7AB7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32A40C71">
            <w:pPr>
              <w:jc w:val="center"/>
            </w:pPr>
            <w:r>
              <w:rPr>
                <w:rFonts w:ascii="Calibri" w:hAnsi="Calibri" w:eastAsia="Calibri" w:cs="Calibri"/>
                <w:color w:val="000000"/>
                <w:sz w:val="19"/>
                <w:szCs w:val="19"/>
              </w:rPr>
              <w:t>8.23</w:t>
            </w:r>
          </w:p>
        </w:tc>
        <w:tc>
          <w:tcPr>
            <w:tcW w:w="2900" w:type="dxa"/>
            <w:tcMar>
              <w:top w:w="60" w:type="dxa"/>
              <w:left w:w="80" w:type="dxa"/>
              <w:bottom w:w="60" w:type="dxa"/>
              <w:right w:w="80" w:type="dxa"/>
            </w:tcMar>
            <w:vAlign w:val="center"/>
          </w:tcPr>
          <w:p w14:paraId="1679490E">
            <w:pPr>
              <w:jc w:val="center"/>
            </w:pPr>
            <w:r>
              <w:rPr>
                <w:rFonts w:ascii="Calibri" w:hAnsi="Calibri" w:eastAsia="Calibri" w:cs="Calibri"/>
                <w:color w:val="000000"/>
                <w:sz w:val="19"/>
                <w:szCs w:val="19"/>
              </w:rPr>
              <w:t>Web filtering</w:t>
            </w:r>
          </w:p>
        </w:tc>
        <w:tc>
          <w:tcPr>
            <w:tcW w:w="1100" w:type="dxa"/>
            <w:tcMar>
              <w:top w:w="60" w:type="dxa"/>
              <w:left w:w="80" w:type="dxa"/>
              <w:bottom w:w="60" w:type="dxa"/>
              <w:right w:w="80" w:type="dxa"/>
            </w:tcMar>
            <w:vAlign w:val="center"/>
          </w:tcPr>
          <w:p w14:paraId="19ECFFE5">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7F410E9">
            <w:pPr>
              <w:jc w:val="center"/>
            </w:pPr>
            <w:r>
              <w:rPr>
                <w:rFonts w:ascii="Calibri" w:hAnsi="Calibri" w:eastAsia="Calibri" w:cs="Calibri"/>
                <w:color w:val="000000"/>
                <w:sz w:val="19"/>
                <w:szCs w:val="19"/>
              </w:rPr>
              <w:t>Applicable — addresses a technology security gap identified during risk assessment: filtering policy not reviewed on a periodic basis.</w:t>
            </w:r>
          </w:p>
        </w:tc>
        <w:tc>
          <w:tcPr>
            <w:tcW w:w="1900" w:type="dxa"/>
            <w:tcMar>
              <w:top w:w="60" w:type="dxa"/>
              <w:left w:w="80" w:type="dxa"/>
              <w:bottom w:w="60" w:type="dxa"/>
              <w:right w:w="80" w:type="dxa"/>
            </w:tcMar>
            <w:vAlign w:val="center"/>
          </w:tcPr>
          <w:p w14:paraId="213F3169">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6D6D33DD">
            <w:pPr>
              <w:jc w:val="center"/>
            </w:pPr>
            <w:r>
              <w:rPr>
                <w:rFonts w:ascii="Calibri" w:hAnsi="Calibri" w:eastAsia="Calibri" w:cs="Calibri"/>
                <w:color w:val="000000"/>
                <w:sz w:val="19"/>
                <w:szCs w:val="19"/>
              </w:rPr>
              <w:t>Technical Security Standards</w:t>
            </w:r>
          </w:p>
        </w:tc>
      </w:tr>
      <w:tr w14:paraId="6A43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4010298">
            <w:pPr>
              <w:jc w:val="center"/>
            </w:pPr>
            <w:r>
              <w:rPr>
                <w:rFonts w:ascii="Calibri" w:hAnsi="Calibri" w:eastAsia="Calibri" w:cs="Calibri"/>
                <w:color w:val="000000"/>
                <w:sz w:val="19"/>
                <w:szCs w:val="19"/>
              </w:rPr>
              <w:t>8.24</w:t>
            </w:r>
          </w:p>
        </w:tc>
        <w:tc>
          <w:tcPr>
            <w:tcW w:w="2900" w:type="dxa"/>
            <w:tcMar>
              <w:top w:w="60" w:type="dxa"/>
              <w:left w:w="80" w:type="dxa"/>
              <w:bottom w:w="60" w:type="dxa"/>
              <w:right w:w="80" w:type="dxa"/>
            </w:tcMar>
            <w:vAlign w:val="center"/>
          </w:tcPr>
          <w:p w14:paraId="7438D7F8">
            <w:pPr>
              <w:jc w:val="center"/>
            </w:pPr>
            <w:r>
              <w:rPr>
                <w:rFonts w:ascii="Calibri" w:hAnsi="Calibri" w:eastAsia="Calibri" w:cs="Calibri"/>
                <w:color w:val="000000"/>
                <w:sz w:val="19"/>
                <w:szCs w:val="19"/>
              </w:rPr>
              <w:t>Use of cryptography</w:t>
            </w:r>
          </w:p>
        </w:tc>
        <w:tc>
          <w:tcPr>
            <w:tcW w:w="1100" w:type="dxa"/>
            <w:tcMar>
              <w:top w:w="60" w:type="dxa"/>
              <w:left w:w="80" w:type="dxa"/>
              <w:bottom w:w="60" w:type="dxa"/>
              <w:right w:w="80" w:type="dxa"/>
            </w:tcMar>
            <w:vAlign w:val="center"/>
          </w:tcPr>
          <w:p w14:paraId="682BFF85">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A18B2F9">
            <w:pPr>
              <w:jc w:val="center"/>
            </w:pPr>
            <w:r>
              <w:rPr>
                <w:rFonts w:ascii="Calibri" w:hAnsi="Calibri" w:eastAsia="Calibri" w:cs="Calibri"/>
                <w:color w:val="000000"/>
                <w:sz w:val="19"/>
                <w:szCs w:val="19"/>
              </w:rPr>
              <w:t>Applicable — addresses a technology security gap identified during risk assessment: no formal, documented cryptographic policy.</w:t>
            </w:r>
          </w:p>
        </w:tc>
        <w:tc>
          <w:tcPr>
            <w:tcW w:w="1900" w:type="dxa"/>
            <w:tcMar>
              <w:top w:w="60" w:type="dxa"/>
              <w:left w:w="80" w:type="dxa"/>
              <w:bottom w:w="60" w:type="dxa"/>
              <w:right w:w="80" w:type="dxa"/>
            </w:tcMar>
            <w:vAlign w:val="center"/>
          </w:tcPr>
          <w:p w14:paraId="705073AD">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85A68DF">
            <w:pPr>
              <w:jc w:val="center"/>
            </w:pPr>
            <w:r>
              <w:rPr>
                <w:rFonts w:ascii="Calibri" w:hAnsi="Calibri" w:eastAsia="Calibri" w:cs="Calibri"/>
                <w:color w:val="000000"/>
                <w:sz w:val="19"/>
                <w:szCs w:val="19"/>
              </w:rPr>
              <w:t>Technical Security Standards</w:t>
            </w:r>
          </w:p>
        </w:tc>
      </w:tr>
      <w:tr w14:paraId="7E15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734E80B">
            <w:pPr>
              <w:jc w:val="center"/>
            </w:pPr>
            <w:r>
              <w:rPr>
                <w:rFonts w:ascii="Calibri" w:hAnsi="Calibri" w:eastAsia="Calibri" w:cs="Calibri"/>
                <w:color w:val="000000"/>
                <w:sz w:val="19"/>
                <w:szCs w:val="19"/>
              </w:rPr>
              <w:t>8.25</w:t>
            </w:r>
          </w:p>
        </w:tc>
        <w:tc>
          <w:tcPr>
            <w:tcW w:w="2900" w:type="dxa"/>
            <w:tcMar>
              <w:top w:w="60" w:type="dxa"/>
              <w:left w:w="80" w:type="dxa"/>
              <w:bottom w:w="60" w:type="dxa"/>
              <w:right w:w="80" w:type="dxa"/>
            </w:tcMar>
            <w:vAlign w:val="center"/>
          </w:tcPr>
          <w:p w14:paraId="47D29F05">
            <w:pPr>
              <w:jc w:val="center"/>
            </w:pPr>
            <w:r>
              <w:rPr>
                <w:rFonts w:ascii="Calibri" w:hAnsi="Calibri" w:eastAsia="Calibri" w:cs="Calibri"/>
                <w:color w:val="000000"/>
                <w:sz w:val="19"/>
                <w:szCs w:val="19"/>
              </w:rPr>
              <w:t>Secure development life cycle</w:t>
            </w:r>
          </w:p>
        </w:tc>
        <w:tc>
          <w:tcPr>
            <w:tcW w:w="1100" w:type="dxa"/>
            <w:tcMar>
              <w:top w:w="60" w:type="dxa"/>
              <w:left w:w="80" w:type="dxa"/>
              <w:bottom w:w="60" w:type="dxa"/>
              <w:right w:w="80" w:type="dxa"/>
            </w:tcMar>
            <w:vAlign w:val="center"/>
          </w:tcPr>
          <w:p w14:paraId="25A1783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7E398DCA">
            <w:pPr>
              <w:jc w:val="center"/>
            </w:pPr>
            <w:r>
              <w:rPr>
                <w:rFonts w:ascii="Calibri" w:hAnsi="Calibri" w:eastAsia="Calibri" w:cs="Calibri"/>
                <w:color w:val="000000"/>
                <w:sz w:val="19"/>
                <w:szCs w:val="19"/>
              </w:rPr>
              <w:t>Applicable — addresses a technology security gap identified during risk assessment: no formal, documented SDLC security policy.</w:t>
            </w:r>
          </w:p>
        </w:tc>
        <w:tc>
          <w:tcPr>
            <w:tcW w:w="1900" w:type="dxa"/>
            <w:tcMar>
              <w:top w:w="60" w:type="dxa"/>
              <w:left w:w="80" w:type="dxa"/>
              <w:bottom w:w="60" w:type="dxa"/>
              <w:right w:w="80" w:type="dxa"/>
            </w:tcMar>
            <w:vAlign w:val="center"/>
          </w:tcPr>
          <w:p w14:paraId="0A91CC6E">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7372FA4">
            <w:pPr>
              <w:jc w:val="center"/>
            </w:pPr>
            <w:r>
              <w:rPr>
                <w:rFonts w:ascii="Calibri" w:hAnsi="Calibri" w:eastAsia="Calibri" w:cs="Calibri"/>
                <w:color w:val="000000"/>
                <w:sz w:val="19"/>
                <w:szCs w:val="19"/>
              </w:rPr>
              <w:t>Technical Security Standards</w:t>
            </w:r>
          </w:p>
        </w:tc>
      </w:tr>
      <w:tr w14:paraId="2D061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C990EC7">
            <w:pPr>
              <w:jc w:val="center"/>
            </w:pPr>
            <w:r>
              <w:rPr>
                <w:rFonts w:ascii="Calibri" w:hAnsi="Calibri" w:eastAsia="Calibri" w:cs="Calibri"/>
                <w:color w:val="000000"/>
                <w:sz w:val="19"/>
                <w:szCs w:val="19"/>
              </w:rPr>
              <w:t>8.26</w:t>
            </w:r>
          </w:p>
        </w:tc>
        <w:tc>
          <w:tcPr>
            <w:tcW w:w="2900" w:type="dxa"/>
            <w:tcMar>
              <w:top w:w="60" w:type="dxa"/>
              <w:left w:w="80" w:type="dxa"/>
              <w:bottom w:w="60" w:type="dxa"/>
              <w:right w:w="80" w:type="dxa"/>
            </w:tcMar>
            <w:vAlign w:val="center"/>
          </w:tcPr>
          <w:p w14:paraId="463E7B7E">
            <w:pPr>
              <w:jc w:val="center"/>
            </w:pPr>
            <w:r>
              <w:rPr>
                <w:rFonts w:ascii="Calibri" w:hAnsi="Calibri" w:eastAsia="Calibri" w:cs="Calibri"/>
                <w:color w:val="000000"/>
                <w:sz w:val="19"/>
                <w:szCs w:val="19"/>
              </w:rPr>
              <w:t>Application security requirements</w:t>
            </w:r>
          </w:p>
        </w:tc>
        <w:tc>
          <w:tcPr>
            <w:tcW w:w="1100" w:type="dxa"/>
            <w:tcMar>
              <w:top w:w="60" w:type="dxa"/>
              <w:left w:w="80" w:type="dxa"/>
              <w:bottom w:w="60" w:type="dxa"/>
              <w:right w:w="80" w:type="dxa"/>
            </w:tcMar>
            <w:vAlign w:val="center"/>
          </w:tcPr>
          <w:p w14:paraId="5DC482DA">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CCDCE02">
            <w:pPr>
              <w:jc w:val="center"/>
            </w:pPr>
            <w:r>
              <w:rPr>
                <w:rFonts w:ascii="Calibri" w:hAnsi="Calibri" w:eastAsia="Calibri" w:cs="Calibri"/>
                <w:color w:val="000000"/>
                <w:sz w:val="19"/>
                <w:szCs w:val="19"/>
              </w:rPr>
              <w:t>Applicable — addresses a technology security gap identified during risk assessment: no standardized security requirements template.</w:t>
            </w:r>
          </w:p>
        </w:tc>
        <w:tc>
          <w:tcPr>
            <w:tcW w:w="1900" w:type="dxa"/>
            <w:tcMar>
              <w:top w:w="60" w:type="dxa"/>
              <w:left w:w="80" w:type="dxa"/>
              <w:bottom w:w="60" w:type="dxa"/>
              <w:right w:w="80" w:type="dxa"/>
            </w:tcMar>
            <w:vAlign w:val="center"/>
          </w:tcPr>
          <w:p w14:paraId="1A4E46B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4FB8565B">
            <w:pPr>
              <w:jc w:val="center"/>
            </w:pPr>
            <w:r>
              <w:rPr>
                <w:rFonts w:ascii="Calibri" w:hAnsi="Calibri" w:eastAsia="Calibri" w:cs="Calibri"/>
                <w:color w:val="000000"/>
                <w:sz w:val="19"/>
                <w:szCs w:val="19"/>
              </w:rPr>
              <w:t>Technical Security Standards</w:t>
            </w:r>
          </w:p>
        </w:tc>
      </w:tr>
      <w:tr w14:paraId="164D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2F70B36">
            <w:pPr>
              <w:jc w:val="center"/>
            </w:pPr>
            <w:r>
              <w:rPr>
                <w:rFonts w:ascii="Calibri" w:hAnsi="Calibri" w:eastAsia="Calibri" w:cs="Calibri"/>
                <w:color w:val="000000"/>
                <w:sz w:val="19"/>
                <w:szCs w:val="19"/>
              </w:rPr>
              <w:t>8.27</w:t>
            </w:r>
          </w:p>
        </w:tc>
        <w:tc>
          <w:tcPr>
            <w:tcW w:w="2900" w:type="dxa"/>
            <w:tcMar>
              <w:top w:w="60" w:type="dxa"/>
              <w:left w:w="80" w:type="dxa"/>
              <w:bottom w:w="60" w:type="dxa"/>
              <w:right w:w="80" w:type="dxa"/>
            </w:tcMar>
            <w:vAlign w:val="center"/>
          </w:tcPr>
          <w:p w14:paraId="66E4DA3B">
            <w:pPr>
              <w:jc w:val="center"/>
            </w:pPr>
            <w:r>
              <w:rPr>
                <w:rFonts w:ascii="Calibri" w:hAnsi="Calibri" w:eastAsia="Calibri" w:cs="Calibri"/>
                <w:color w:val="000000"/>
                <w:sz w:val="19"/>
                <w:szCs w:val="19"/>
              </w:rPr>
              <w:t>Secure system architecture and engineering principles</w:t>
            </w:r>
          </w:p>
        </w:tc>
        <w:tc>
          <w:tcPr>
            <w:tcW w:w="1100" w:type="dxa"/>
            <w:tcMar>
              <w:top w:w="60" w:type="dxa"/>
              <w:left w:w="80" w:type="dxa"/>
              <w:bottom w:w="60" w:type="dxa"/>
              <w:right w:w="80" w:type="dxa"/>
            </w:tcMar>
            <w:vAlign w:val="center"/>
          </w:tcPr>
          <w:p w14:paraId="0BEC81F6">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6C2463DF">
            <w:pPr>
              <w:jc w:val="center"/>
            </w:pPr>
            <w:r>
              <w:rPr>
                <w:rFonts w:ascii="Calibri" w:hAnsi="Calibri" w:eastAsia="Calibri" w:cs="Calibri"/>
                <w:color w:val="000000"/>
                <w:sz w:val="19"/>
                <w:szCs w:val="19"/>
              </w:rPr>
              <w:t>Applicable — addresses a technology security gap identified during risk assessment: no formal architecture review board or gate.</w:t>
            </w:r>
          </w:p>
        </w:tc>
        <w:tc>
          <w:tcPr>
            <w:tcW w:w="1900" w:type="dxa"/>
            <w:tcMar>
              <w:top w:w="60" w:type="dxa"/>
              <w:left w:w="80" w:type="dxa"/>
              <w:bottom w:w="60" w:type="dxa"/>
              <w:right w:w="80" w:type="dxa"/>
            </w:tcMar>
            <w:vAlign w:val="center"/>
          </w:tcPr>
          <w:p w14:paraId="033596DF">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A25217E">
            <w:pPr>
              <w:jc w:val="center"/>
            </w:pPr>
            <w:r>
              <w:rPr>
                <w:rFonts w:ascii="Calibri" w:hAnsi="Calibri" w:eastAsia="Calibri" w:cs="Calibri"/>
                <w:color w:val="000000"/>
                <w:sz w:val="19"/>
                <w:szCs w:val="19"/>
              </w:rPr>
              <w:t>Technical Security Standards</w:t>
            </w:r>
          </w:p>
        </w:tc>
      </w:tr>
      <w:tr w14:paraId="0C67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1006E1DB">
            <w:pPr>
              <w:jc w:val="center"/>
            </w:pPr>
            <w:r>
              <w:rPr>
                <w:rFonts w:ascii="Calibri" w:hAnsi="Calibri" w:eastAsia="Calibri" w:cs="Calibri"/>
                <w:color w:val="000000"/>
                <w:sz w:val="19"/>
                <w:szCs w:val="19"/>
              </w:rPr>
              <w:t>8.28</w:t>
            </w:r>
          </w:p>
        </w:tc>
        <w:tc>
          <w:tcPr>
            <w:tcW w:w="2900" w:type="dxa"/>
            <w:tcMar>
              <w:top w:w="60" w:type="dxa"/>
              <w:left w:w="80" w:type="dxa"/>
              <w:bottom w:w="60" w:type="dxa"/>
              <w:right w:w="80" w:type="dxa"/>
            </w:tcMar>
            <w:vAlign w:val="center"/>
          </w:tcPr>
          <w:p w14:paraId="3EBBE010">
            <w:pPr>
              <w:jc w:val="center"/>
            </w:pPr>
            <w:r>
              <w:rPr>
                <w:rFonts w:ascii="Calibri" w:hAnsi="Calibri" w:eastAsia="Calibri" w:cs="Calibri"/>
                <w:color w:val="000000"/>
                <w:sz w:val="19"/>
                <w:szCs w:val="19"/>
              </w:rPr>
              <w:t>Secure coding</w:t>
            </w:r>
          </w:p>
        </w:tc>
        <w:tc>
          <w:tcPr>
            <w:tcW w:w="1100" w:type="dxa"/>
            <w:tcMar>
              <w:top w:w="60" w:type="dxa"/>
              <w:left w:w="80" w:type="dxa"/>
              <w:bottom w:w="60" w:type="dxa"/>
              <w:right w:w="80" w:type="dxa"/>
            </w:tcMar>
            <w:vAlign w:val="center"/>
          </w:tcPr>
          <w:p w14:paraId="1967DC9F">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48CC855C">
            <w:pPr>
              <w:jc w:val="center"/>
            </w:pPr>
            <w:r>
              <w:rPr>
                <w:rFonts w:ascii="Calibri" w:hAnsi="Calibri" w:eastAsia="Calibri" w:cs="Calibri"/>
                <w:color w:val="000000"/>
                <w:sz w:val="19"/>
                <w:szCs w:val="19"/>
              </w:rPr>
              <w:t>Applicable — addresses a technology security gap identified during risk assessment: no secure coding guideline or developer training.</w:t>
            </w:r>
          </w:p>
        </w:tc>
        <w:tc>
          <w:tcPr>
            <w:tcW w:w="1900" w:type="dxa"/>
            <w:tcMar>
              <w:top w:w="60" w:type="dxa"/>
              <w:left w:w="80" w:type="dxa"/>
              <w:bottom w:w="60" w:type="dxa"/>
              <w:right w:w="80" w:type="dxa"/>
            </w:tcMar>
            <w:vAlign w:val="center"/>
          </w:tcPr>
          <w:p w14:paraId="6D67996E">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25449CE2">
            <w:pPr>
              <w:jc w:val="center"/>
            </w:pPr>
            <w:r>
              <w:rPr>
                <w:rFonts w:ascii="Calibri" w:hAnsi="Calibri" w:eastAsia="Calibri" w:cs="Calibri"/>
                <w:color w:val="000000"/>
                <w:sz w:val="19"/>
                <w:szCs w:val="19"/>
              </w:rPr>
              <w:t>Technical Security Standards</w:t>
            </w:r>
          </w:p>
        </w:tc>
      </w:tr>
      <w:tr w14:paraId="2E37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A0BD29C">
            <w:pPr>
              <w:jc w:val="center"/>
            </w:pPr>
            <w:r>
              <w:rPr>
                <w:rFonts w:ascii="Calibri" w:hAnsi="Calibri" w:eastAsia="Calibri" w:cs="Calibri"/>
                <w:color w:val="000000"/>
                <w:sz w:val="19"/>
                <w:szCs w:val="19"/>
              </w:rPr>
              <w:t>8.29</w:t>
            </w:r>
          </w:p>
        </w:tc>
        <w:tc>
          <w:tcPr>
            <w:tcW w:w="2900" w:type="dxa"/>
            <w:tcMar>
              <w:top w:w="60" w:type="dxa"/>
              <w:left w:w="80" w:type="dxa"/>
              <w:bottom w:w="60" w:type="dxa"/>
              <w:right w:w="80" w:type="dxa"/>
            </w:tcMar>
            <w:vAlign w:val="center"/>
          </w:tcPr>
          <w:p w14:paraId="77D66153">
            <w:pPr>
              <w:jc w:val="center"/>
            </w:pPr>
            <w:r>
              <w:rPr>
                <w:rFonts w:ascii="Calibri" w:hAnsi="Calibri" w:eastAsia="Calibri" w:cs="Calibri"/>
                <w:color w:val="000000"/>
                <w:sz w:val="19"/>
                <w:szCs w:val="19"/>
              </w:rPr>
              <w:t>Security testing in development and acceptance</w:t>
            </w:r>
          </w:p>
        </w:tc>
        <w:tc>
          <w:tcPr>
            <w:tcW w:w="1100" w:type="dxa"/>
            <w:tcMar>
              <w:top w:w="60" w:type="dxa"/>
              <w:left w:w="80" w:type="dxa"/>
              <w:bottom w:w="60" w:type="dxa"/>
              <w:right w:w="80" w:type="dxa"/>
            </w:tcMar>
            <w:vAlign w:val="center"/>
          </w:tcPr>
          <w:p w14:paraId="0460FFDB">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A7F6DF0">
            <w:pPr>
              <w:jc w:val="center"/>
            </w:pPr>
            <w:r>
              <w:rPr>
                <w:rFonts w:ascii="Calibri" w:hAnsi="Calibri" w:eastAsia="Calibri" w:cs="Calibri"/>
                <w:color w:val="000000"/>
                <w:sz w:val="19"/>
                <w:szCs w:val="19"/>
              </w:rPr>
              <w:t>Applicable — addresses a technology security gap identified during risk assessment: no dedicated security or penetration testing phase.</w:t>
            </w:r>
          </w:p>
        </w:tc>
        <w:tc>
          <w:tcPr>
            <w:tcW w:w="1900" w:type="dxa"/>
            <w:tcMar>
              <w:top w:w="60" w:type="dxa"/>
              <w:left w:w="80" w:type="dxa"/>
              <w:bottom w:w="60" w:type="dxa"/>
              <w:right w:w="80" w:type="dxa"/>
            </w:tcMar>
            <w:vAlign w:val="center"/>
          </w:tcPr>
          <w:p w14:paraId="69E71526">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7CB7D35">
            <w:pPr>
              <w:jc w:val="center"/>
            </w:pPr>
            <w:r>
              <w:rPr>
                <w:rFonts w:ascii="Calibri" w:hAnsi="Calibri" w:eastAsia="Calibri" w:cs="Calibri"/>
                <w:color w:val="000000"/>
                <w:sz w:val="19"/>
                <w:szCs w:val="19"/>
              </w:rPr>
              <w:t>Technical Security Standards</w:t>
            </w:r>
          </w:p>
        </w:tc>
      </w:tr>
      <w:tr w14:paraId="6477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5FB8E41">
            <w:pPr>
              <w:jc w:val="center"/>
            </w:pPr>
            <w:r>
              <w:rPr>
                <w:rFonts w:ascii="Calibri" w:hAnsi="Calibri" w:eastAsia="Calibri" w:cs="Calibri"/>
                <w:color w:val="000000"/>
                <w:sz w:val="19"/>
                <w:szCs w:val="19"/>
              </w:rPr>
              <w:t>8.30</w:t>
            </w:r>
          </w:p>
        </w:tc>
        <w:tc>
          <w:tcPr>
            <w:tcW w:w="2900" w:type="dxa"/>
            <w:tcMar>
              <w:top w:w="60" w:type="dxa"/>
              <w:left w:w="80" w:type="dxa"/>
              <w:bottom w:w="60" w:type="dxa"/>
              <w:right w:w="80" w:type="dxa"/>
            </w:tcMar>
            <w:vAlign w:val="center"/>
          </w:tcPr>
          <w:p w14:paraId="61909E51">
            <w:pPr>
              <w:jc w:val="center"/>
            </w:pPr>
            <w:r>
              <w:rPr>
                <w:rFonts w:ascii="Calibri" w:hAnsi="Calibri" w:eastAsia="Calibri" w:cs="Calibri"/>
                <w:color w:val="000000"/>
                <w:sz w:val="19"/>
                <w:szCs w:val="19"/>
              </w:rPr>
              <w:t>Outsourced development</w:t>
            </w:r>
          </w:p>
        </w:tc>
        <w:tc>
          <w:tcPr>
            <w:tcW w:w="1100" w:type="dxa"/>
            <w:tcMar>
              <w:top w:w="60" w:type="dxa"/>
              <w:left w:w="80" w:type="dxa"/>
              <w:bottom w:w="60" w:type="dxa"/>
              <w:right w:w="80" w:type="dxa"/>
            </w:tcMar>
            <w:vAlign w:val="center"/>
          </w:tcPr>
          <w:p w14:paraId="0A1BEF44">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3A201B7B">
            <w:pPr>
              <w:jc w:val="center"/>
            </w:pPr>
            <w:r>
              <w:rPr>
                <w:rFonts w:ascii="Calibri" w:hAnsi="Calibri" w:eastAsia="Calibri" w:cs="Calibri"/>
                <w:color w:val="000000"/>
                <w:sz w:val="19"/>
                <w:szCs w:val="19"/>
              </w:rPr>
              <w:t>Applicable — addresses a technology security gap identified during risk assessment: no security requirements embedded in outsourcing contracts.</w:t>
            </w:r>
          </w:p>
        </w:tc>
        <w:tc>
          <w:tcPr>
            <w:tcW w:w="1900" w:type="dxa"/>
            <w:tcMar>
              <w:top w:w="60" w:type="dxa"/>
              <w:left w:w="80" w:type="dxa"/>
              <w:bottom w:w="60" w:type="dxa"/>
              <w:right w:w="80" w:type="dxa"/>
            </w:tcMar>
            <w:vAlign w:val="center"/>
          </w:tcPr>
          <w:p w14:paraId="6F7CF52E">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F09ACE5">
            <w:pPr>
              <w:jc w:val="center"/>
            </w:pPr>
            <w:r>
              <w:rPr>
                <w:rFonts w:ascii="Calibri" w:hAnsi="Calibri" w:eastAsia="Calibri" w:cs="Calibri"/>
                <w:color w:val="000000"/>
                <w:sz w:val="19"/>
                <w:szCs w:val="19"/>
              </w:rPr>
              <w:t>Technical Security Standards</w:t>
            </w:r>
          </w:p>
        </w:tc>
      </w:tr>
      <w:tr w14:paraId="7A6A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25AD8AA4">
            <w:pPr>
              <w:jc w:val="center"/>
            </w:pPr>
            <w:r>
              <w:rPr>
                <w:rFonts w:ascii="Calibri" w:hAnsi="Calibri" w:eastAsia="Calibri" w:cs="Calibri"/>
                <w:color w:val="000000"/>
                <w:sz w:val="19"/>
                <w:szCs w:val="19"/>
              </w:rPr>
              <w:t>8.31</w:t>
            </w:r>
          </w:p>
        </w:tc>
        <w:tc>
          <w:tcPr>
            <w:tcW w:w="2900" w:type="dxa"/>
            <w:tcMar>
              <w:top w:w="60" w:type="dxa"/>
              <w:left w:w="80" w:type="dxa"/>
              <w:bottom w:w="60" w:type="dxa"/>
              <w:right w:w="80" w:type="dxa"/>
            </w:tcMar>
            <w:vAlign w:val="center"/>
          </w:tcPr>
          <w:p w14:paraId="3E998064">
            <w:pPr>
              <w:jc w:val="center"/>
            </w:pPr>
            <w:r>
              <w:rPr>
                <w:rFonts w:ascii="Calibri" w:hAnsi="Calibri" w:eastAsia="Calibri" w:cs="Calibri"/>
                <w:color w:val="000000"/>
                <w:sz w:val="19"/>
                <w:szCs w:val="19"/>
              </w:rPr>
              <w:t>Separation of development, test and production environments</w:t>
            </w:r>
          </w:p>
        </w:tc>
        <w:tc>
          <w:tcPr>
            <w:tcW w:w="1100" w:type="dxa"/>
            <w:tcMar>
              <w:top w:w="60" w:type="dxa"/>
              <w:left w:w="80" w:type="dxa"/>
              <w:bottom w:w="60" w:type="dxa"/>
              <w:right w:w="80" w:type="dxa"/>
            </w:tcMar>
            <w:vAlign w:val="center"/>
          </w:tcPr>
          <w:p w14:paraId="6AC9AB7B">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7C10B6C">
            <w:pPr>
              <w:jc w:val="center"/>
            </w:pPr>
            <w:r>
              <w:rPr>
                <w:rFonts w:ascii="Calibri" w:hAnsi="Calibri" w:eastAsia="Calibri" w:cs="Calibri"/>
                <w:color w:val="000000"/>
                <w:sz w:val="19"/>
                <w:szCs w:val="19"/>
              </w:rPr>
              <w:t>Applicable — addresses a technology security gap identified during risk assessment: access boundaries between environments not periodically audited.</w:t>
            </w:r>
          </w:p>
        </w:tc>
        <w:tc>
          <w:tcPr>
            <w:tcW w:w="1900" w:type="dxa"/>
            <w:tcMar>
              <w:top w:w="60" w:type="dxa"/>
              <w:left w:w="80" w:type="dxa"/>
              <w:bottom w:w="60" w:type="dxa"/>
              <w:right w:w="80" w:type="dxa"/>
            </w:tcMar>
            <w:vAlign w:val="center"/>
          </w:tcPr>
          <w:p w14:paraId="2E4649E3">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10881880">
            <w:pPr>
              <w:jc w:val="center"/>
            </w:pPr>
            <w:r>
              <w:rPr>
                <w:rFonts w:ascii="Calibri" w:hAnsi="Calibri" w:eastAsia="Calibri" w:cs="Calibri"/>
                <w:color w:val="000000"/>
                <w:sz w:val="19"/>
                <w:szCs w:val="19"/>
              </w:rPr>
              <w:t>Technical Security Standards</w:t>
            </w:r>
          </w:p>
        </w:tc>
      </w:tr>
      <w:tr w14:paraId="5A87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53941B4F">
            <w:pPr>
              <w:jc w:val="center"/>
            </w:pPr>
            <w:r>
              <w:rPr>
                <w:rFonts w:ascii="Calibri" w:hAnsi="Calibri" w:eastAsia="Calibri" w:cs="Calibri"/>
                <w:color w:val="000000"/>
                <w:sz w:val="19"/>
                <w:szCs w:val="19"/>
              </w:rPr>
              <w:t>8.32</w:t>
            </w:r>
          </w:p>
        </w:tc>
        <w:tc>
          <w:tcPr>
            <w:tcW w:w="2900" w:type="dxa"/>
            <w:tcMar>
              <w:top w:w="60" w:type="dxa"/>
              <w:left w:w="80" w:type="dxa"/>
              <w:bottom w:w="60" w:type="dxa"/>
              <w:right w:w="80" w:type="dxa"/>
            </w:tcMar>
            <w:vAlign w:val="center"/>
          </w:tcPr>
          <w:p w14:paraId="36A1517B">
            <w:pPr>
              <w:jc w:val="center"/>
            </w:pPr>
            <w:r>
              <w:rPr>
                <w:rFonts w:ascii="Calibri" w:hAnsi="Calibri" w:eastAsia="Calibri" w:cs="Calibri"/>
                <w:color w:val="000000"/>
                <w:sz w:val="19"/>
                <w:szCs w:val="19"/>
              </w:rPr>
              <w:t>Change management</w:t>
            </w:r>
          </w:p>
        </w:tc>
        <w:tc>
          <w:tcPr>
            <w:tcW w:w="1100" w:type="dxa"/>
            <w:tcMar>
              <w:top w:w="60" w:type="dxa"/>
              <w:left w:w="80" w:type="dxa"/>
              <w:bottom w:w="60" w:type="dxa"/>
              <w:right w:w="80" w:type="dxa"/>
            </w:tcMar>
            <w:vAlign w:val="center"/>
          </w:tcPr>
          <w:p w14:paraId="141D5BC2">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91975F1">
            <w:pPr>
              <w:jc w:val="center"/>
            </w:pPr>
            <w:r>
              <w:rPr>
                <w:rFonts w:ascii="Calibri" w:hAnsi="Calibri" w:eastAsia="Calibri" w:cs="Calibri"/>
                <w:color w:val="000000"/>
                <w:sz w:val="19"/>
                <w:szCs w:val="19"/>
              </w:rPr>
              <w:t>Applicable — addresses a technology security gap identified during risk assessment: not consistently applied to minor system changes.</w:t>
            </w:r>
          </w:p>
        </w:tc>
        <w:tc>
          <w:tcPr>
            <w:tcW w:w="1900" w:type="dxa"/>
            <w:tcMar>
              <w:top w:w="60" w:type="dxa"/>
              <w:left w:w="80" w:type="dxa"/>
              <w:bottom w:w="60" w:type="dxa"/>
              <w:right w:w="80" w:type="dxa"/>
            </w:tcMar>
            <w:vAlign w:val="center"/>
          </w:tcPr>
          <w:p w14:paraId="79522134">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A80C7F8">
            <w:pPr>
              <w:jc w:val="center"/>
            </w:pPr>
            <w:r>
              <w:rPr>
                <w:rFonts w:ascii="Calibri" w:hAnsi="Calibri" w:eastAsia="Calibri" w:cs="Calibri"/>
                <w:color w:val="000000"/>
                <w:sz w:val="19"/>
                <w:szCs w:val="19"/>
              </w:rPr>
              <w:t>Technical Security Standards</w:t>
            </w:r>
          </w:p>
        </w:tc>
      </w:tr>
      <w:tr w14:paraId="57D7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49D7C4EE">
            <w:pPr>
              <w:jc w:val="center"/>
            </w:pPr>
            <w:r>
              <w:rPr>
                <w:rFonts w:ascii="Calibri" w:hAnsi="Calibri" w:eastAsia="Calibri" w:cs="Calibri"/>
                <w:color w:val="000000"/>
                <w:sz w:val="19"/>
                <w:szCs w:val="19"/>
              </w:rPr>
              <w:t>8.33</w:t>
            </w:r>
          </w:p>
        </w:tc>
        <w:tc>
          <w:tcPr>
            <w:tcW w:w="2900" w:type="dxa"/>
            <w:tcMar>
              <w:top w:w="60" w:type="dxa"/>
              <w:left w:w="80" w:type="dxa"/>
              <w:bottom w:w="60" w:type="dxa"/>
              <w:right w:w="80" w:type="dxa"/>
            </w:tcMar>
            <w:vAlign w:val="center"/>
          </w:tcPr>
          <w:p w14:paraId="189B7A68">
            <w:pPr>
              <w:jc w:val="center"/>
            </w:pPr>
            <w:r>
              <w:rPr>
                <w:rFonts w:ascii="Calibri" w:hAnsi="Calibri" w:eastAsia="Calibri" w:cs="Calibri"/>
                <w:color w:val="000000"/>
                <w:sz w:val="19"/>
                <w:szCs w:val="19"/>
              </w:rPr>
              <w:t>Test information</w:t>
            </w:r>
          </w:p>
        </w:tc>
        <w:tc>
          <w:tcPr>
            <w:tcW w:w="1100" w:type="dxa"/>
            <w:tcMar>
              <w:top w:w="60" w:type="dxa"/>
              <w:left w:w="80" w:type="dxa"/>
              <w:bottom w:w="60" w:type="dxa"/>
              <w:right w:w="80" w:type="dxa"/>
            </w:tcMar>
            <w:vAlign w:val="center"/>
          </w:tcPr>
          <w:p w14:paraId="33905C91">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5C0D08DA">
            <w:pPr>
              <w:jc w:val="center"/>
            </w:pPr>
            <w:r>
              <w:rPr>
                <w:rFonts w:ascii="Calibri" w:hAnsi="Calibri" w:eastAsia="Calibri" w:cs="Calibri"/>
                <w:color w:val="000000"/>
                <w:sz w:val="19"/>
                <w:szCs w:val="19"/>
              </w:rPr>
              <w:t>Applicable — addresses a technology security gap identified during risk assessment: no data masking standard defined for test data.</w:t>
            </w:r>
          </w:p>
        </w:tc>
        <w:tc>
          <w:tcPr>
            <w:tcW w:w="1900" w:type="dxa"/>
            <w:tcMar>
              <w:top w:w="60" w:type="dxa"/>
              <w:left w:w="80" w:type="dxa"/>
              <w:bottom w:w="60" w:type="dxa"/>
              <w:right w:w="80" w:type="dxa"/>
            </w:tcMar>
            <w:vAlign w:val="center"/>
          </w:tcPr>
          <w:p w14:paraId="7A46A01D">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3BF03DD1">
            <w:pPr>
              <w:jc w:val="center"/>
            </w:pPr>
            <w:r>
              <w:rPr>
                <w:rFonts w:ascii="Calibri" w:hAnsi="Calibri" w:eastAsia="Calibri" w:cs="Calibri"/>
                <w:color w:val="000000"/>
                <w:sz w:val="19"/>
                <w:szCs w:val="19"/>
              </w:rPr>
              <w:t>Technical Security Standards</w:t>
            </w:r>
          </w:p>
        </w:tc>
      </w:tr>
      <w:tr w14:paraId="0345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850" w:type="dxa"/>
            <w:tcMar>
              <w:top w:w="60" w:type="dxa"/>
              <w:left w:w="80" w:type="dxa"/>
              <w:bottom w:w="60" w:type="dxa"/>
              <w:right w:w="80" w:type="dxa"/>
            </w:tcMar>
            <w:vAlign w:val="center"/>
          </w:tcPr>
          <w:p w14:paraId="610C8B59">
            <w:pPr>
              <w:jc w:val="center"/>
            </w:pPr>
            <w:r>
              <w:rPr>
                <w:rFonts w:ascii="Calibri" w:hAnsi="Calibri" w:eastAsia="Calibri" w:cs="Calibri"/>
                <w:color w:val="000000"/>
                <w:sz w:val="19"/>
                <w:szCs w:val="19"/>
              </w:rPr>
              <w:t>8.34</w:t>
            </w:r>
          </w:p>
        </w:tc>
        <w:tc>
          <w:tcPr>
            <w:tcW w:w="2900" w:type="dxa"/>
            <w:tcMar>
              <w:top w:w="60" w:type="dxa"/>
              <w:left w:w="80" w:type="dxa"/>
              <w:bottom w:w="60" w:type="dxa"/>
              <w:right w:w="80" w:type="dxa"/>
            </w:tcMar>
            <w:vAlign w:val="center"/>
          </w:tcPr>
          <w:p w14:paraId="05A7A15A">
            <w:pPr>
              <w:jc w:val="center"/>
            </w:pPr>
            <w:r>
              <w:rPr>
                <w:rFonts w:ascii="Calibri" w:hAnsi="Calibri" w:eastAsia="Calibri" w:cs="Calibri"/>
                <w:color w:val="000000"/>
                <w:sz w:val="19"/>
                <w:szCs w:val="19"/>
              </w:rPr>
              <w:t>Protection of information systems during audit testing</w:t>
            </w:r>
          </w:p>
        </w:tc>
        <w:tc>
          <w:tcPr>
            <w:tcW w:w="1100" w:type="dxa"/>
            <w:tcMar>
              <w:top w:w="60" w:type="dxa"/>
              <w:left w:w="80" w:type="dxa"/>
              <w:bottom w:w="60" w:type="dxa"/>
              <w:right w:w="80" w:type="dxa"/>
            </w:tcMar>
            <w:vAlign w:val="center"/>
          </w:tcPr>
          <w:p w14:paraId="3B4AA46B">
            <w:pPr>
              <w:jc w:val="center"/>
            </w:pPr>
            <w:r>
              <w:rPr>
                <w:rFonts w:ascii="Calibri" w:hAnsi="Calibri" w:eastAsia="Calibri" w:cs="Calibri"/>
                <w:b/>
                <w:bCs/>
                <w:color w:val="375623"/>
                <w:sz w:val="19"/>
                <w:szCs w:val="19"/>
              </w:rPr>
              <w:t>Yes</w:t>
            </w:r>
          </w:p>
        </w:tc>
        <w:tc>
          <w:tcPr>
            <w:tcW w:w="4500" w:type="dxa"/>
            <w:tcMar>
              <w:top w:w="60" w:type="dxa"/>
              <w:left w:w="80" w:type="dxa"/>
              <w:bottom w:w="60" w:type="dxa"/>
              <w:right w:w="80" w:type="dxa"/>
            </w:tcMar>
            <w:vAlign w:val="center"/>
          </w:tcPr>
          <w:p w14:paraId="116A661D">
            <w:pPr>
              <w:jc w:val="center"/>
            </w:pPr>
            <w:r>
              <w:rPr>
                <w:rFonts w:ascii="Calibri" w:hAnsi="Calibri" w:eastAsia="Calibri" w:cs="Calibri"/>
                <w:color w:val="000000"/>
                <w:sz w:val="19"/>
                <w:szCs w:val="19"/>
              </w:rPr>
              <w:t>Applicable — addresses a technology security gap identified during risk assessment: no formal protection procedure for systems under audit.</w:t>
            </w:r>
          </w:p>
        </w:tc>
        <w:tc>
          <w:tcPr>
            <w:tcW w:w="1900" w:type="dxa"/>
            <w:tcMar>
              <w:top w:w="60" w:type="dxa"/>
              <w:left w:w="80" w:type="dxa"/>
              <w:bottom w:w="60" w:type="dxa"/>
              <w:right w:w="80" w:type="dxa"/>
            </w:tcMar>
            <w:vAlign w:val="center"/>
          </w:tcPr>
          <w:p w14:paraId="1096AB40">
            <w:pPr>
              <w:jc w:val="center"/>
            </w:pPr>
            <w:r>
              <w:rPr>
                <w:rFonts w:ascii="Calibri" w:hAnsi="Calibri" w:eastAsia="Calibri" w:cs="Calibri"/>
                <w:b/>
                <w:bCs/>
                <w:color w:val="9C6500"/>
                <w:sz w:val="19"/>
                <w:szCs w:val="19"/>
              </w:rPr>
              <w:t>Partially Implemented</w:t>
            </w:r>
          </w:p>
        </w:tc>
        <w:tc>
          <w:tcPr>
            <w:tcW w:w="3050" w:type="dxa"/>
            <w:tcMar>
              <w:top w:w="60" w:type="dxa"/>
              <w:left w:w="80" w:type="dxa"/>
              <w:bottom w:w="60" w:type="dxa"/>
              <w:right w:w="80" w:type="dxa"/>
            </w:tcMar>
            <w:vAlign w:val="center"/>
          </w:tcPr>
          <w:p w14:paraId="7BA1A43A">
            <w:pPr>
              <w:jc w:val="center"/>
            </w:pPr>
            <w:r>
              <w:rPr>
                <w:rFonts w:ascii="Calibri" w:hAnsi="Calibri" w:eastAsia="Calibri" w:cs="Calibri"/>
                <w:color w:val="000000"/>
                <w:sz w:val="19"/>
                <w:szCs w:val="19"/>
              </w:rPr>
              <w:t>Technical Security Standards</w:t>
            </w:r>
          </w:p>
        </w:tc>
      </w:tr>
    </w:tbl>
    <w:p w14:paraId="2C5CFCBF">
      <w:pPr>
        <w:spacing w:after="200"/>
      </w:pPr>
    </w:p>
    <w:p w14:paraId="140897B8">
      <w:pPr>
        <w:pBdr>
          <w:bottom w:val="single" w:color="000000" w:sz="6" w:space="4"/>
        </w:pBdr>
        <w:spacing w:before="320" w:after="60"/>
        <w:rPr>
          <w:rFonts w:ascii="Times New Roman" w:hAnsi="Times New Roman" w:eastAsia="Times New Roman" w:cs="Times New Roman"/>
          <w:b/>
          <w:bCs/>
          <w:color w:val="000000"/>
          <w:sz w:val="26"/>
          <w:szCs w:val="26"/>
        </w:rPr>
      </w:pPr>
    </w:p>
    <w:p w14:paraId="0574CB22">
      <w:pPr>
        <w:pBdr>
          <w:bottom w:val="single" w:color="000000" w:sz="6" w:space="4"/>
        </w:pBdr>
        <w:spacing w:before="320" w:after="60"/>
        <w:rPr>
          <w:rFonts w:ascii="Times New Roman" w:hAnsi="Times New Roman" w:eastAsia="Times New Roman" w:cs="Times New Roman"/>
          <w:b/>
          <w:bCs/>
          <w:color w:val="000000"/>
          <w:sz w:val="26"/>
          <w:szCs w:val="26"/>
        </w:rPr>
      </w:pPr>
    </w:p>
    <w:p w14:paraId="75CC2B29">
      <w:pPr>
        <w:pBdr>
          <w:bottom w:val="single" w:color="000000" w:sz="6" w:space="4"/>
        </w:pBdr>
        <w:spacing w:before="320" w:after="60"/>
      </w:pPr>
      <w:r>
        <w:rPr>
          <w:rFonts w:ascii="Times New Roman" w:hAnsi="Times New Roman" w:eastAsia="Times New Roman" w:cs="Times New Roman"/>
          <w:b/>
          <w:bCs/>
          <w:color w:val="000000"/>
          <w:sz w:val="26"/>
          <w:szCs w:val="26"/>
        </w:rPr>
        <w:t>4. Conclusion</w:t>
      </w:r>
    </w:p>
    <w:p w14:paraId="62074020">
      <w:pPr>
        <w:spacing w:after="160"/>
      </w:pPr>
      <w:r>
        <w:rPr>
          <w:rFonts w:ascii="Calibri" w:hAnsi="Calibri" w:eastAsia="Calibri" w:cs="Calibri"/>
          <w:color w:val="000000"/>
          <w:sz w:val="20"/>
          <w:szCs w:val="20"/>
        </w:rPr>
        <w:t>This Statement of Applicability confirms that all 93 ISO/IEC 27001:2022 Annex A controls are applicable to UnityTrust Bank's ISMS scope. Controls that are currently Partially Implemented or Not Implemented are being addressed through the mitigating actions defined in the Risk Treatment Plan, prioritized by risk level and assigned to accountable control owners.</w:t>
      </w:r>
    </w:p>
    <w:p w14:paraId="3B9D29F0">
      <w:pPr>
        <w:spacing w:after="160"/>
      </w:pPr>
      <w:r>
        <w:rPr>
          <w:rFonts w:ascii="Calibri" w:hAnsi="Calibri" w:eastAsia="Calibri" w:cs="Calibri"/>
          <w:color w:val="000000"/>
          <w:sz w:val="20"/>
          <w:szCs w:val="20"/>
        </w:rPr>
        <w:t>This document, together with the Gap Analysis Report, the Asset Identification &amp; Threat Register, and the Risk Treatment Plan, forms the complete set of deliverables for UnityTrust Bank's ISO/IEC 27001:2022 ISMS implementation project.</w:t>
      </w:r>
    </w:p>
    <w:sectPr>
      <w:headerReference r:id="rId3" w:type="default"/>
      <w:footerReference r:id="rId4" w:type="default"/>
      <w:pgSz w:w="16838" w:h="11906" w:orient="landscape"/>
      <w:pgMar w:top="900" w:right="720" w:bottom="90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98B8F">
    <w:pPr>
      <w:pBdr>
        <w:top w:val="single" w:color="000000" w:sz="4" w:space="4"/>
      </w:pBdr>
      <w:tabs>
        <w:tab w:val="right" w:pos="14400"/>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EA6AC">
    <w:pP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0F1A6721"/>
    <w:rsid w:val="0F2D5415"/>
    <w:rsid w:val="1DDF06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3220</Words>
  <Characters>22074</Characters>
  <TotalTime>33</TotalTime>
  <ScaleCrop>false</ScaleCrop>
  <LinksUpToDate>false</LinksUpToDate>
  <CharactersWithSpaces>24684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2026-08-11T02:22:00Z</dcterms:created>
  <dc:creator>Un-named</dc:creator>
  <cp:lastModifiedBy>NAWAB SHEHZAD</cp:lastModifiedBy>
  <dcterms:modified xsi:type="dcterms:W3CDTF">2026-08-11T03:13:58Z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eyJoZGlkIjoiY2Y0NDYyMDg5MTE5YjYzYmQ2OTVmNmE4MDE4YTUwZDciLCJ1c2VySWQiOiI4ODEzODU4NjAzNTQyIn0=</vt:lpwstr>
  </property>
  <property fmtid="{D5CDD505-2E9C-101B-9397-08002B2CF9AE}" pid="3" name="KSOProductBuildVer">
    <vt:lpwstr>1033-12.1.0.28032</vt:lpwstr>
  </property>
  <property fmtid="{D5CDD505-2E9C-101B-9397-08002B2CF9AE}" pid="4" name="ICV">
    <vt:lpwstr>6FC36DF85A4C464F9E878E2312711A95_13</vt:lpwstr>
  </property>
</Properties>
</file>