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line="276"/>
        <w:jc w:val="left"/>
      </w:pPr>
    </w:p>
    <w:p>
      <w:pPr>
        <w:spacing w:before="600" w:after="120" w:line="276"/>
        <w:jc w:val="center"/>
      </w:pPr>
      <w:r>
        <w:rPr>
          <w:rFonts w:ascii="Arial" w:cs="Arial" w:eastAsia="Arial" w:hAnsi="Arial"/>
          <w:b/>
          <w:bCs/>
          <w:i w:val="false"/>
          <w:iCs w:val="false"/>
          <w:color w:val="1F4E79"/>
          <w:sz w:val="48"/>
          <w:szCs w:val="48"/>
        </w:rPr>
        <w:t xml:space="preserve">SUSTAINABLE OPERATIONS MODEL</w:t>
      </w:r>
    </w:p>
    <w:p>
      <w:pPr>
        <w:spacing w:before="200" w:after="120" w:line="276"/>
        <w:jc w:val="center"/>
      </w:pPr>
      <w:r>
        <w:rPr>
          <w:rFonts w:ascii="Arial" w:cs="Arial" w:eastAsia="Arial" w:hAnsi="Arial"/>
          <w:b w:val="false"/>
          <w:bCs w:val="false"/>
          <w:i w:val="false"/>
          <w:iCs w:val="false"/>
          <w:color w:val="2E75B6"/>
          <w:sz w:val="28"/>
          <w:szCs w:val="28"/>
        </w:rPr>
        <w:t xml:space="preserve">SOM-001 Final</w:t>
      </w:r>
    </w:p>
    <w:p>
      <w:pPr>
        <w:spacing w:before="400" w:after="120" w:line="276"/>
        <w:jc w:val="left"/>
      </w:pPr>
    </w:p>
    <w:p>
      <w:pPr>
        <w:spacing w:before="120" w:after="120" w:line="276"/>
        <w:jc w:val="center"/>
      </w:pPr>
      <w:r>
        <w:rPr>
          <w:rFonts w:ascii="Arial" w:cs="Arial" w:eastAsia="Arial" w:hAnsi="Arial"/>
          <w:b w:val="false"/>
          <w:bCs w:val="false"/>
          <w:i w:val="false"/>
          <w:iCs w:val="false"/>
          <w:color w:val="2D2D2D"/>
          <w:sz w:val="24"/>
          <w:szCs w:val="24"/>
        </w:rPr>
        <w:t xml:space="preserve">PHV Day Shift Operations</w:t>
      </w:r>
    </w:p>
    <w:p>
      <w:pPr>
        <w:spacing w:before="120" w:after="120" w:line="276"/>
        <w:jc w:val="center"/>
      </w:pPr>
      <w:r>
        <w:rPr>
          <w:rFonts w:ascii="Arial" w:cs="Arial" w:eastAsia="Arial" w:hAnsi="Arial"/>
          <w:b w:val="false"/>
          <w:bCs w:val="false"/>
          <w:i w:val="false"/>
          <w:iCs w:val="false"/>
          <w:color w:val="2E75B6"/>
          <w:sz w:val="22"/>
          <w:szCs w:val="22"/>
        </w:rPr>
        <w:t xml:space="preserve">Kia e-Niro  •  Uber London  •  2:1 Cycle Pattern</w:t>
      </w:r>
    </w:p>
    <w:p>
      <w:pPr>
        <w:spacing w:before="600" w:after="120" w:line="276"/>
        <w:jc w:val="left"/>
      </w:pPr>
    </w:p>
    <w:p>
      <w:pPr>
        <w:spacing w:before="120" w:after="120" w:line="276"/>
        <w:jc w:val="center"/>
      </w:pPr>
      <w:r>
        <w:rPr>
          <w:rFonts w:ascii="Arial" w:cs="Arial" w:eastAsia="Arial" w:hAnsi="Arial"/>
          <w:b w:val="false"/>
          <w:bCs w:val="false"/>
          <w:i w:val="false"/>
          <w:iCs w:val="false"/>
          <w:color w:val="2D2D2D"/>
          <w:sz w:val="22"/>
          <w:szCs w:val="22"/>
        </w:rPr>
        <w:t xml:space="preserve">Author: Shehzad Qayum</w:t>
      </w:r>
    </w:p>
    <w:p>
      <w:pPr>
        <w:spacing w:before="120" w:after="120" w:line="276"/>
        <w:jc w:val="center"/>
      </w:pPr>
      <w:r>
        <w:rPr>
          <w:rFonts w:ascii="Arial" w:cs="Arial" w:eastAsia="Arial" w:hAnsi="Arial"/>
          <w:b w:val="false"/>
          <w:bCs w:val="false"/>
          <w:i w:val="false"/>
          <w:iCs w:val="false"/>
          <w:color w:val="2D2D2D"/>
          <w:sz w:val="22"/>
          <w:szCs w:val="22"/>
        </w:rPr>
        <w:t xml:space="preserve">Date: March 2026</w:t>
      </w:r>
    </w:p>
    <w:p>
      <w:pPr>
        <w:spacing w:before="200" w:after="120" w:line="276"/>
        <w:jc w:val="center"/>
      </w:pPr>
      <w:r>
        <w:rPr>
          <w:rFonts w:ascii="Arial" w:cs="Arial" w:eastAsia="Arial" w:hAnsi="Arial"/>
          <w:b w:val="false"/>
          <w:bCs w:val="false"/>
          <w:i/>
          <w:iCs/>
          <w:color w:val="2E75B6"/>
          <w:sz w:val="18"/>
          <w:szCs w:val="18"/>
        </w:rPr>
        <w:t xml:space="preserve">Classification: Operational  •  Derived from CNHR-MNHR Dashboard v2.3</w:t>
      </w:r>
    </w:p>
    <w:p>
      <w:pPr>
        <w:spacing w:before="120" w:after="120" w:line="276"/>
        <w:jc w:val="center"/>
      </w:pPr>
      <w:r>
        <w:rPr>
          <w:rFonts w:ascii="Arial" w:cs="Arial" w:eastAsia="Arial" w:hAnsi="Arial"/>
          <w:b w:val="false"/>
          <w:bCs w:val="false"/>
          <w:i/>
          <w:iCs/>
          <w:color w:val="2E75B6"/>
          <w:sz w:val="18"/>
          <w:szCs w:val="18"/>
        </w:rPr>
        <w:t xml:space="preserve">Based on 735 trips across 13 weeks (Nov 2025 – Feb 2026)</w:t>
      </w:r>
    </w:p>
    <w:p>
      <w:r>
        <w:br w:type="page"/>
      </w:r>
    </w:p>
    <w:p>
      <w:pPr>
        <w:pStyle w:val="Heading1"/>
        <w:spacing w:before="360" w:after="120"/>
      </w:pPr>
      <w:r>
        <w:rPr>
          <w:rFonts w:ascii="Arial" w:cs="Arial" w:eastAsia="Arial" w:hAnsi="Arial"/>
          <w:b/>
          <w:bCs/>
          <w:i w:val="false"/>
          <w:iCs w:val="false"/>
          <w:color w:val="1F4E79"/>
          <w:sz w:val="32"/>
          <w:szCs w:val="32"/>
        </w:rPr>
        <w:t xml:space="preserve">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226"/>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Date</w:t>
            </w:r>
          </w:p>
        </w:tc>
        <w:tc>
          <w:tcPr>
            <w:tcW w:type="dxa" w:w="6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Change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v1.0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Mar 2026</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Initial release. Night shift model (23:00–09:00).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v2.0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Mar 2026</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Transition to day shift model (04:00–14:00). Revised shift window, rest day alignment to demand, sleep/health optimisation, updated financial projections. Added trial protocol.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v2.1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Mar 2026</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Rest days revised from Wed+Sat to Wed+Sun based on structural demand analysis. Night-shift carry-over artefact identified inflating weekend morning rho. Sunday 04:00–08:00 confirmed as structurally dead. Added Section 5 (Structural Demand Analysis).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v2.2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Mar 2026</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Financial model rebuilt from first principles. Section 7 now decomposes £430/week into fixed vehicle (£220), variable non-charging (£166), and charging (£44). Added gross/net earnings at floor and expected levels, charging sensitivity table, and £1-earned retention analysis (53.5p net per £1 gross).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Final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Mar 2026</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Consolidated self-contained edition. Added Section 2 (Data Basis and Analytical Framework): CNHR-MNHR definitions, 735-trip data source, binding constraint analysis. Expanded Section 10 (Mathematical Foundation): full CNHR derivative derivation, attractor/inertia/gap framework, closed-form solution, operational implications. Expanded Section 7 (Monitoring): added rationale for linear target and why projection methods fail. All prior-version cross-references resolved.</w:t>
            </w:r>
          </w:p>
        </w:tc>
      </w:tr>
    </w:tbl>
    <w:p>
      <w:r>
        <w:br w:type="page"/>
      </w:r>
    </w:p>
    <w:p>
      <w:pPr>
        <w:pStyle w:val="Heading1"/>
        <w:spacing w:before="360" w:after="120"/>
      </w:pPr>
      <w:r>
        <w:rPr>
          <w:rFonts w:ascii="Arial" w:cs="Arial" w:eastAsia="Arial" w:hAnsi="Arial"/>
          <w:b/>
          <w:bCs/>
          <w:i w:val="false"/>
          <w:iCs w:val="false"/>
          <w:color w:val="1F4E79"/>
          <w:sz w:val="32"/>
          <w:szCs w:val="32"/>
        </w:rPr>
        <w:t xml:space="preserve">1. Executive Summary</w:t>
      </w:r>
    </w:p>
    <w:p>
      <w:pPr>
        <w:spacing w:before="120" w:after="120" w:line="276"/>
        <w:jc w:val="left"/>
      </w:pPr>
      <w:r>
        <w:rPr>
          <w:rFonts w:ascii="Arial" w:cs="Arial" w:eastAsia="Arial" w:hAnsi="Arial"/>
          <w:b w:val="false"/>
          <w:bCs w:val="false"/>
          <w:i w:val="false"/>
          <w:iCs w:val="false"/>
          <w:color w:val="2D2D2D"/>
          <w:sz w:val="22"/>
          <w:szCs w:val="22"/>
        </w:rPr>
        <w:t xml:space="preserve">This document is the consolidated, self-contained Sustainable Operations Model for PHV day shift operations on the Uber platform. It supersedes the v1.0 night model and all interim versions (v2.0–v2.2) by combining operational design, financial analysis, mathematical theory, and monitoring protocol into a single reference.</w:t>
      </w:r>
    </w:p>
    <w:p>
      <w:pPr>
        <w:spacing w:before="120" w:after="120" w:line="276"/>
        <w:jc w:val="left"/>
      </w:pPr>
      <w:r>
        <w:rPr>
          <w:rFonts w:ascii="Arial" w:cs="Arial" w:eastAsia="Arial" w:hAnsi="Arial"/>
          <w:b w:val="false"/>
          <w:bCs w:val="false"/>
          <w:i w:val="false"/>
          <w:iCs w:val="false"/>
          <w:color w:val="2D2D2D"/>
          <w:sz w:val="22"/>
          <w:szCs w:val="22"/>
        </w:rPr>
        <w:t xml:space="preserve">All quantitative findings derive from 735 trips across 13 weeks of verified data (Section 2). The fundamental insight is that hours worked—not trip quality—is the binding constraint on earnings, which drives the model’s emphasis on sustainable structure over trip optimisation.</w:t>
      </w:r>
    </w:p>
    <w:p>
      <w:pPr>
        <w:spacing w:before="120" w:after="120" w:line="276"/>
        <w:jc w:val="left"/>
      </w:pPr>
      <w:r>
        <w:rPr>
          <w:rFonts w:ascii="Arial" w:cs="Arial" w:eastAsia="Arial" w:hAnsi="Arial"/>
          <w:b w:val="false"/>
          <w:bCs w:val="false"/>
          <w:i w:val="false"/>
          <w:iCs w:val="false"/>
          <w:color w:val="2D2D2D"/>
          <w:sz w:val="22"/>
          <w:szCs w:val="22"/>
        </w:rPr>
        <w:t xml:space="preserve">The core design principle: structure eliminates decision fatigue. The monitoring system reduces to a single number: </w:t>
      </w:r>
      <w:r>
        <w:rPr>
          <w:rFonts w:ascii="Arial" w:cs="Arial" w:eastAsia="Arial" w:hAnsi="Arial"/>
          <w:b/>
          <w:bCs/>
          <w:i w:val="false"/>
          <w:iCs w:val="false"/>
          <w:color w:val="2D2D2D"/>
          <w:sz w:val="22"/>
          <w:szCs w:val="22"/>
        </w:rPr>
        <w:t xml:space="preserve">£192 per working day.</w:t>
      </w:r>
      <w:r>
        <w:rPr>
          <w:rFonts w:ascii="Arial" w:cs="Arial" w:eastAsia="Arial" w:hAnsi="Arial"/>
          <w:b w:val="false"/>
          <w:bCs w:val="false"/>
          <w:i w:val="false"/>
          <w:iCs w:val="false"/>
          <w:color w:val="2D2D2D"/>
          <w:sz w:val="22"/>
          <w:szCs w:val="22"/>
        </w:rPr>
        <w:t xml:space="preserve"> The shift window moves from 23:00–09:00 to </w:t>
      </w:r>
      <w:r>
        <w:rPr>
          <w:rFonts w:ascii="Arial" w:cs="Arial" w:eastAsia="Arial" w:hAnsi="Arial"/>
          <w:b/>
          <w:bCs/>
          <w:i w:val="false"/>
          <w:iCs w:val="false"/>
          <w:color w:val="2D2D2D"/>
          <w:sz w:val="22"/>
          <w:szCs w:val="22"/>
        </w:rPr>
        <w:t xml:space="preserve">04:00–14:00</w:t>
      </w:r>
      <w:r>
        <w:rPr>
          <w:rFonts w:ascii="Arial" w:cs="Arial" w:eastAsia="Arial" w:hAnsi="Arial"/>
          <w:b w:val="false"/>
          <w:bCs w:val="false"/>
          <w:i w:val="false"/>
          <w:iCs w:val="false"/>
          <w:color w:val="2D2D2D"/>
          <w:sz w:val="22"/>
          <w:szCs w:val="22"/>
        </w:rPr>
        <w:t xml:space="preserve">, rest days are Wednesday and Sunday (calibrated to structural demand, not historical rates), and the driver sleeps 20:00–04:00 every night.</w:t>
      </w:r>
    </w:p>
    <w:p>
      <w:pPr>
        <w:spacing w:before="120" w:after="120" w:line="276"/>
        <w:jc w:val="left"/>
      </w:pPr>
      <w:r>
        <w:rPr>
          <w:rFonts w:ascii="Arial" w:cs="Arial" w:eastAsia="Arial" w:hAnsi="Arial"/>
          <w:b w:val="false"/>
          <w:bCs w:val="false"/>
          <w:i w:val="false"/>
          <w:iCs w:val="false"/>
          <w:color w:val="2D2D2D"/>
          <w:sz w:val="22"/>
          <w:szCs w:val="22"/>
        </w:rPr>
        <w:t xml:space="preserve">The financial model shows a 53.5p net retention rate per £1 earned. Fixed vehicle costs (£953/month) dominate; charging is just 3.8% of gross. The transition from nights costs approximately £336/month (15.9% of night model profit) in exchange for circadian health, reduced accident risk, and a 50% increase in study capacity.</w:t>
      </w:r>
    </w:p>
    <w:p>
      <w:pPr>
        <w:spacing w:before="80" w:after="120" w:line="276"/>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Value</w:t>
            </w:r>
          </w:p>
        </w:tc>
        <w:tc>
          <w:tcPr>
            <w:tcW w:type="dxa" w:w="3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Basis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Daily earnings target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£192 (floor)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18"/>
                <w:szCs w:val="18"/>
              </w:rPr>
              <w:t xml:space="preserve">NLW × engaged ratio × shift hours + fixed cost ÷ 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Daily earnings (expected)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£231</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18"/>
                <w:szCs w:val="18"/>
              </w:rPr>
              <w:t xml:space="preserve">04:00–14:00 window at ρ = £33.69/hr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Weekly earnings target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£958</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18"/>
                <w:szCs w:val="18"/>
              </w:rPr>
              <w:t xml:space="preserve">5 × £192 (NLW floor)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Weekly earnings (expected)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£1,157</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18"/>
                <w:szCs w:val="18"/>
              </w:rPr>
              <w:t xml:space="preserve">5 × £231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Annual net income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£21,400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18"/>
                <w:szCs w:val="18"/>
              </w:rPr>
              <w:t xml:space="preserve">Expected ρ, 2:1 cycle, 35 working weeks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Monthly net income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£1,783</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18"/>
                <w:szCs w:val="18"/>
              </w:rPr>
              <w:t xml:space="preserve">Annual ÷ 12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CNHR (engaged hours)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£16.80/hr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18"/>
                <w:szCs w:val="18"/>
              </w:rPr>
              <w:t xml:space="preserve">37.5% above NLW (£12.21)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Study hours to Nov 2026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872+</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18"/>
                <w:szCs w:val="18"/>
              </w:rPr>
              <w:t xml:space="preserve">Afternoons free; exceeds night model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Shift window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04:00–14:00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18"/>
                <w:szCs w:val="18"/>
              </w:rPr>
              <w:t xml:space="preserve">Captures 04–08 premium; avoids afternoon trough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Sleep window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20:00–04:00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18"/>
                <w:szCs w:val="18"/>
              </w:rPr>
              <w:t xml:space="preserve">8 hours, circadian-aligned</w:t>
            </w:r>
          </w:p>
        </w:tc>
      </w:tr>
    </w:tbl>
    <w:p>
      <w:r>
        <w:br w:type="page"/>
      </w:r>
    </w:p>
    <w:p>
      <w:pPr>
        <w:pStyle w:val="Heading1"/>
        <w:spacing w:before="360" w:after="120"/>
      </w:pPr>
      <w:r>
        <w:rPr>
          <w:rFonts w:ascii="Arial" w:cs="Arial" w:eastAsia="Arial" w:hAnsi="Arial"/>
          <w:b/>
          <w:bCs/>
          <w:i w:val="false"/>
          <w:iCs w:val="false"/>
          <w:color w:val="1F4E79"/>
          <w:sz w:val="32"/>
          <w:szCs w:val="32"/>
        </w:rPr>
        <w:t xml:space="preserve">2. Data Basis and Analytical Framework</w:t>
      </w:r>
    </w:p>
    <w:p>
      <w:pPr>
        <w:pStyle w:val="Heading2"/>
        <w:spacing w:before="240" w:after="120"/>
      </w:pPr>
      <w:r>
        <w:rPr>
          <w:rFonts w:ascii="Arial" w:cs="Arial" w:eastAsia="Arial" w:hAnsi="Arial"/>
          <w:b/>
          <w:bCs/>
          <w:i w:val="false"/>
          <w:iCs w:val="false"/>
          <w:color w:val="1F4E79"/>
          <w:sz w:val="26"/>
          <w:szCs w:val="26"/>
        </w:rPr>
        <w:t xml:space="preserve">2.1 Data Source</w:t>
      </w:r>
    </w:p>
    <w:p>
      <w:pPr>
        <w:spacing w:before="120" w:after="120" w:line="276"/>
        <w:jc w:val="left"/>
      </w:pPr>
      <w:r>
        <w:rPr>
          <w:rFonts w:ascii="Arial" w:cs="Arial" w:eastAsia="Arial" w:hAnsi="Arial"/>
          <w:b w:val="false"/>
          <w:bCs w:val="false"/>
          <w:i w:val="false"/>
          <w:iCs w:val="false"/>
          <w:color w:val="2D2D2D"/>
          <w:sz w:val="22"/>
          <w:szCs w:val="22"/>
        </w:rPr>
        <w:t xml:space="preserve">All quantitative findings in this document derive from the </w:t>
      </w:r>
      <w:r>
        <w:rPr>
          <w:rFonts w:ascii="Arial" w:cs="Arial" w:eastAsia="Arial" w:hAnsi="Arial"/>
          <w:b/>
          <w:bCs/>
          <w:i w:val="false"/>
          <w:iCs w:val="false"/>
          <w:color w:val="2D2D2D"/>
          <w:sz w:val="22"/>
          <w:szCs w:val="22"/>
        </w:rPr>
        <w:t xml:space="preserve">CNHR-MNHR Dashboard v2.3</w:t>
      </w:r>
      <w:r>
        <w:rPr>
          <w:rFonts w:ascii="Arial" w:cs="Arial" w:eastAsia="Arial" w:hAnsi="Arial"/>
          <w:b w:val="false"/>
          <w:bCs w:val="false"/>
          <w:i w:val="false"/>
          <w:iCs w:val="false"/>
          <w:color w:val="2D2D2D"/>
          <w:sz w:val="22"/>
          <w:szCs w:val="22"/>
        </w:rPr>
        <w:t xml:space="preserve">, which contains 735 trips recorded across 13 consecutive weekly cycles (1 December 2024 – 2 March 2025). The data was collected during predominantly night-shift operations (23:00–09:00) and includes GPS-verified trip durations, fare breakdowns, deadhead time, and charging costs. The dashboard was subjected to a full audit confirming all calculations are correct and internally consistent.</w:t>
      </w:r>
    </w:p>
    <w:p>
      <w:pPr>
        <w:pStyle w:val="Heading2"/>
        <w:spacing w:before="240" w:after="120"/>
      </w:pPr>
      <w:r>
        <w:rPr>
          <w:rFonts w:ascii="Arial" w:cs="Arial" w:eastAsia="Arial" w:hAnsi="Arial"/>
          <w:b/>
          <w:bCs/>
          <w:i w:val="false"/>
          <w:iCs w:val="false"/>
          <w:color w:val="1F4E79"/>
          <w:sz w:val="26"/>
          <w:szCs w:val="26"/>
        </w:rPr>
        <w:t xml:space="preserve">2.2 CNHR and MNHR Defined</w:t>
      </w:r>
    </w:p>
    <w:p>
      <w:pPr>
        <w:spacing w:before="120" w:after="120" w:line="276"/>
        <w:jc w:val="left"/>
      </w:pPr>
      <w:r>
        <w:rPr>
          <w:rFonts w:ascii="Arial" w:cs="Arial" w:eastAsia="Arial" w:hAnsi="Arial"/>
          <w:b/>
          <w:bCs/>
          <w:i w:val="false"/>
          <w:iCs w:val="false"/>
          <w:color w:val="2D2D2D"/>
          <w:sz w:val="22"/>
          <w:szCs w:val="22"/>
        </w:rPr>
        <w:t xml:space="preserve">Cumulative Net Hourly Rate (CNHR)</w:t>
      </w:r>
      <w:r>
        <w:rPr>
          <w:rFonts w:ascii="Arial" w:cs="Arial" w:eastAsia="Arial" w:hAnsi="Arial"/>
          <w:b w:val="false"/>
          <w:bCs w:val="false"/>
          <w:i w:val="false"/>
          <w:iCs w:val="false"/>
          <w:color w:val="2D2D2D"/>
          <w:sz w:val="22"/>
          <w:szCs w:val="22"/>
        </w:rPr>
        <w:t xml:space="preserve"> is the rolling net earnings per trip hour from the start of a weekly cycle, after deducting the fixed weekly cost (C</w:t>
      </w:r>
      <w:r>
        <w:rPr>
          <w:rFonts w:ascii="Arial" w:cs="Arial" w:eastAsia="Arial" w:hAnsi="Arial"/>
          <w:b w:val="false"/>
          <w:bCs w:val="false"/>
          <w:i w:val="false"/>
          <w:iCs w:val="false"/>
          <w:color w:val="2D2D2D"/>
          <w:sz w:val="18"/>
          <w:szCs w:val="18"/>
        </w:rPr>
        <w:t xml:space="preserve">W</w:t>
      </w:r>
      <w:r>
        <w:rPr>
          <w:rFonts w:ascii="Arial" w:cs="Arial" w:eastAsia="Arial" w:hAnsi="Arial"/>
          <w:b w:val="false"/>
          <w:bCs w:val="false"/>
          <w:i w:val="false"/>
          <w:iCs w:val="false"/>
          <w:color w:val="2D2D2D"/>
          <w:sz w:val="22"/>
          <w:szCs w:val="22"/>
        </w:rPr>
        <w:t xml:space="preserve"> = £430). At trip </w:t>
      </w:r>
      <w:r>
        <w:rPr>
          <w:rFonts w:ascii="Arial" w:cs="Arial" w:eastAsia="Arial" w:hAnsi="Arial"/>
          <w:b w:val="false"/>
          <w:bCs w:val="false"/>
          <w:i/>
          <w:iCs/>
          <w:color w:val="2D2D2D"/>
          <w:sz w:val="22"/>
          <w:szCs w:val="22"/>
        </w:rPr>
        <w:t xml:space="preserve">n</w:t>
      </w:r>
      <w:r>
        <w:rPr>
          <w:rFonts w:ascii="Arial" w:cs="Arial" w:eastAsia="Arial" w:hAnsi="Arial"/>
          <w:b w:val="false"/>
          <w:bCs w:val="false"/>
          <w:i w:val="false"/>
          <w:iCs w:val="false"/>
          <w:color w:val="2D2D2D"/>
          <w:sz w:val="22"/>
          <w:szCs w:val="22"/>
        </w:rPr>
        <w:t xml:space="preserve">:</w:t>
      </w:r>
    </w:p>
    <w:p>
      <w:pPr>
        <w:spacing w:before="120" w:after="120" w:line="276"/>
        <w:ind w:left="720"/>
        <w:jc w:val="left"/>
      </w:pPr>
      <w:r>
        <w:rPr>
          <w:rFonts w:ascii="Arial" w:cs="Arial" w:eastAsia="Arial" w:hAnsi="Arial"/>
          <w:b w:val="false"/>
          <w:bCs w:val="false"/>
          <w:i w:val="false"/>
          <w:iCs w:val="false"/>
          <w:color w:val="2D2D2D"/>
          <w:sz w:val="22"/>
          <w:szCs w:val="22"/>
        </w:rPr>
        <w:t xml:space="preserve">CNHR(n) = (cumulative earnings − C</w:t>
      </w:r>
      <w:r>
        <w:rPr>
          <w:rFonts w:ascii="Arial" w:cs="Arial" w:eastAsia="Arial" w:hAnsi="Arial"/>
          <w:b w:val="false"/>
          <w:bCs w:val="false"/>
          <w:i w:val="false"/>
          <w:iCs w:val="false"/>
          <w:color w:val="2D2D2D"/>
          <w:sz w:val="18"/>
          <w:szCs w:val="18"/>
        </w:rPr>
        <w:t xml:space="preserve">W</w:t>
      </w:r>
      <w:r>
        <w:rPr>
          <w:rFonts w:ascii="Arial" w:cs="Arial" w:eastAsia="Arial" w:hAnsi="Arial"/>
          <w:b w:val="false"/>
          <w:bCs w:val="false"/>
          <w:i w:val="false"/>
          <w:iCs w:val="false"/>
          <w:color w:val="2D2D2D"/>
          <w:sz w:val="22"/>
          <w:szCs w:val="22"/>
        </w:rPr>
        <w:t xml:space="preserve">) / cumulative trip hours</w:t>
      </w:r>
    </w:p>
    <w:p>
      <w:pPr>
        <w:spacing w:before="120" w:after="120" w:line="276"/>
        <w:jc w:val="left"/>
      </w:pPr>
      <w:r>
        <w:rPr>
          <w:rFonts w:ascii="Arial" w:cs="Arial" w:eastAsia="Arial" w:hAnsi="Arial"/>
          <w:b/>
          <w:bCs/>
          <w:i w:val="false"/>
          <w:iCs w:val="false"/>
          <w:color w:val="2D2D2D"/>
          <w:sz w:val="22"/>
          <w:szCs w:val="22"/>
        </w:rPr>
        <w:t xml:space="preserve">Marginal Net Hourly Rate (MNHR)</w:t>
      </w:r>
      <w:r>
        <w:rPr>
          <w:rFonts w:ascii="Arial" w:cs="Arial" w:eastAsia="Arial" w:hAnsi="Arial"/>
          <w:b w:val="false"/>
          <w:bCs w:val="false"/>
          <w:i w:val="false"/>
          <w:iCs w:val="false"/>
          <w:color w:val="2D2D2D"/>
          <w:sz w:val="22"/>
          <w:szCs w:val="22"/>
        </w:rPr>
        <w:t xml:space="preserve"> is the instantaneous rate of a single trip: fare divided by trip duration. MNHR is volatile (ranging from £10 to £80 across individual trips). CNHR is stable (locked within ±£2 of its final value after 30 shift hours).</w:t>
      </w:r>
    </w:p>
    <w:p>
      <w:pPr>
        <w:spacing w:before="120" w:after="120" w:line="276"/>
        <w:jc w:val="left"/>
      </w:pPr>
      <w:r>
        <w:rPr>
          <w:rFonts w:ascii="Arial" w:cs="Arial" w:eastAsia="Arial" w:hAnsi="Arial"/>
          <w:b w:val="false"/>
          <w:bCs w:val="false"/>
          <w:i w:val="false"/>
          <w:iCs w:val="false"/>
          <w:color w:val="2D2D2D"/>
          <w:sz w:val="22"/>
          <w:szCs w:val="22"/>
        </w:rPr>
        <w:t xml:space="preserve">The engaged-hours variant CNHR(e) adjusts for unpaid time between trips by applying an engagement multiplier α = 1.26. This yields the net rate per hour of platform availability, which is the correct comparator against the National Living Wage (NLW, £12.21/hr as of April 2025).</w:t>
      </w:r>
    </w:p>
    <w:p>
      <w:pPr>
        <w:pStyle w:val="Heading2"/>
        <w:spacing w:before="240" w:after="120"/>
      </w:pPr>
      <w:r>
        <w:rPr>
          <w:rFonts w:ascii="Arial" w:cs="Arial" w:eastAsia="Arial" w:hAnsi="Arial"/>
          <w:b/>
          <w:bCs/>
          <w:i w:val="false"/>
          <w:iCs w:val="false"/>
          <w:color w:val="1F4E79"/>
          <w:sz w:val="26"/>
          <w:szCs w:val="26"/>
        </w:rPr>
        <w:t xml:space="preserve">2.3 The Binding Constraint</w:t>
      </w:r>
    </w:p>
    <w:p>
      <w:pPr>
        <w:spacing w:before="120" w:after="120" w:line="276"/>
        <w:jc w:val="left"/>
      </w:pPr>
      <w:r>
        <w:rPr>
          <w:rFonts w:ascii="Arial" w:cs="Arial" w:eastAsia="Arial" w:hAnsi="Arial"/>
          <w:b w:val="false"/>
          <w:bCs w:val="false"/>
          <w:i w:val="false"/>
          <w:iCs w:val="false"/>
          <w:color w:val="2D2D2D"/>
          <w:sz w:val="22"/>
          <w:szCs w:val="22"/>
        </w:rPr>
        <w:t xml:space="preserve">The 13-week audit established a fundamental finding: </w:t>
      </w:r>
      <w:r>
        <w:rPr>
          <w:rFonts w:ascii="Arial" w:cs="Arial" w:eastAsia="Arial" w:hAnsi="Arial"/>
          <w:b/>
          <w:bCs/>
          <w:i w:val="false"/>
          <w:iCs w:val="false"/>
          <w:color w:val="2D2D2D"/>
          <w:sz w:val="22"/>
          <w:szCs w:val="22"/>
        </w:rPr>
        <w:t xml:space="preserve">hours worked, not trip quality, is the binding constraint on earnings.</w:t>
      </w:r>
      <w:r>
        <w:rPr>
          <w:rFonts w:ascii="Arial" w:cs="Arial" w:eastAsia="Arial" w:hAnsi="Arial"/>
          <w:b w:val="false"/>
          <w:bCs w:val="false"/>
          <w:i w:val="false"/>
          <w:iCs w:val="false"/>
          <w:color w:val="2D2D2D"/>
          <w:sz w:val="22"/>
          <w:szCs w:val="22"/>
        </w:rPr>
        <w:t xml:space="preserve"> Trip rate ρ varies by ±10–15% week-to-week, but total shift hours vary by 2–3× (from 20h to 55h per week). A regression of weekly CNHR(e) against shift hours shows that approximately 90% of the variation in net earnings is attributable to hours worked. Trip-by-trip selection contributes the remainder.</w:t>
      </w:r>
    </w:p>
    <w:p>
      <w:pPr>
        <w:spacing w:before="120" w:after="120" w:line="276"/>
        <w:jc w:val="left"/>
      </w:pPr>
      <w:r>
        <w:rPr>
          <w:rFonts w:ascii="Arial" w:cs="Arial" w:eastAsia="Arial" w:hAnsi="Arial"/>
          <w:b w:val="false"/>
          <w:bCs w:val="false"/>
          <w:i w:val="false"/>
          <w:iCs w:val="false"/>
          <w:color w:val="2D2D2D"/>
          <w:sz w:val="22"/>
          <w:szCs w:val="22"/>
        </w:rPr>
        <w:t xml:space="preserve">This means the model must optimise for sustainable hours above all else. Trip rate improvements (surge-chasing, area selection) offer diminishing returns compared to maintaining consistent 50h weeks. The 2:1 cycle, rest day structure, and sleep protocol all serve this principle.</w:t>
      </w:r>
    </w:p>
    <w:p>
      <w:pPr>
        <w:pStyle w:val="Heading2"/>
        <w:spacing w:before="240" w:after="120"/>
      </w:pPr>
      <w:r>
        <w:rPr>
          <w:rFonts w:ascii="Arial" w:cs="Arial" w:eastAsia="Arial" w:hAnsi="Arial"/>
          <w:b/>
          <w:bCs/>
          <w:i w:val="false"/>
          <w:iCs w:val="false"/>
          <w:color w:val="1F4E79"/>
          <w:sz w:val="26"/>
          <w:szCs w:val="26"/>
        </w:rPr>
        <w:t xml:space="preserve">2.4 Key Constants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0"/>
        <w:gridCol w:w="4226"/>
      </w:tblGrid>
      <w:tr>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Constant</w:t>
            </w:r>
          </w:p>
        </w:tc>
        <w:tc>
          <w:tcPr>
            <w:tcW w:type="dxa" w:w="4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Value</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Cᵂ (fixed weekly cost)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£430 working / £220 off</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NLW (National Living Wage)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£12.21/hr</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α (engagement multiplier: engaged hours / trip hours)</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1.26</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r (trip ratio: trip hours / shift hours)</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0.687</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k (composite: r × α)</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0.866</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Target shift hours per working week</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50h (5 × 10h)</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NLW-compliant minimum weekly earnings</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£958</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NLW-compliant minimum daily earnings</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£192</w:t>
            </w:r>
          </w:p>
        </w:tc>
      </w:tr>
    </w:tbl>
    <w:p>
      <w:r>
        <w:br w:type="page"/>
      </w:r>
    </w:p>
    <w:p>
      <w:pPr>
        <w:pStyle w:val="Heading1"/>
        <w:spacing w:before="360" w:after="120"/>
      </w:pPr>
      <w:r>
        <w:rPr>
          <w:rFonts w:ascii="Arial" w:cs="Arial" w:eastAsia="Arial" w:hAnsi="Arial"/>
          <w:b/>
          <w:bCs/>
          <w:i w:val="false"/>
          <w:iCs w:val="false"/>
          <w:color w:val="1F4E79"/>
          <w:sz w:val="32"/>
          <w:szCs w:val="32"/>
        </w:rPr>
        <w:t xml:space="preserve">3. Design Rationale: Why Day Shifts</w:t>
      </w:r>
    </w:p>
    <w:p>
      <w:pPr>
        <w:spacing w:before="120" w:after="120" w:line="276"/>
        <w:jc w:val="left"/>
      </w:pPr>
      <w:r>
        <w:rPr>
          <w:rFonts w:ascii="Arial" w:cs="Arial" w:eastAsia="Arial" w:hAnsi="Arial"/>
          <w:b w:val="false"/>
          <w:bCs w:val="false"/>
          <w:i w:val="false"/>
          <w:iCs w:val="false"/>
          <w:color w:val="2D2D2D"/>
          <w:sz w:val="22"/>
          <w:szCs w:val="22"/>
        </w:rPr>
        <w:t xml:space="preserve">The prior night model (23:00–09:00) optimised for peak ρ at £37.08/hr. The day model accepts a lower ρ of £33.69/hr in exchange for structural benefits that the financial model cannot capture.</w:t>
      </w:r>
    </w:p>
    <w:p>
      <w:pPr>
        <w:pStyle w:val="Heading2"/>
        <w:spacing w:before="240" w:after="120"/>
      </w:pPr>
      <w:r>
        <w:rPr>
          <w:rFonts w:ascii="Arial" w:cs="Arial" w:eastAsia="Arial" w:hAnsi="Arial"/>
          <w:b/>
          <w:bCs/>
          <w:i w:val="false"/>
          <w:iCs w:val="false"/>
          <w:color w:val="1F4E79"/>
          <w:sz w:val="26"/>
          <w:szCs w:val="26"/>
        </w:rPr>
        <w:t xml:space="preserve">3.1 Health and Safety</w:t>
      </w:r>
    </w:p>
    <w:p>
      <w:pPr>
        <w:spacing w:before="120" w:after="120" w:line="276"/>
        <w:jc w:val="left"/>
      </w:pPr>
      <w:r>
        <w:rPr>
          <w:rFonts w:ascii="Arial" w:cs="Arial" w:eastAsia="Arial" w:hAnsi="Arial"/>
          <w:b w:val="false"/>
          <w:bCs w:val="false"/>
          <w:i w:val="false"/>
          <w:iCs w:val="false"/>
          <w:color w:val="2D2D2D"/>
          <w:sz w:val="22"/>
          <w:szCs w:val="22"/>
        </w:rPr>
        <w:t xml:space="preserve">Night shift driving between 02:00–05:00 carries the highest accident risk in the TfL PHV data. Chronic circadian disruption is linked to cardiovascular disease, metabolic disorders, and cognitive impairment. The day model eliminates all driving during the 02:00–05:00 fatigue window and restores a natural sleep–wake cycle.</w:t>
      </w:r>
    </w:p>
    <w:p>
      <w:pPr>
        <w:pStyle w:val="Heading2"/>
        <w:spacing w:before="240" w:after="120"/>
      </w:pPr>
      <w:r>
        <w:rPr>
          <w:rFonts w:ascii="Arial" w:cs="Arial" w:eastAsia="Arial" w:hAnsi="Arial"/>
          <w:b/>
          <w:bCs/>
          <w:i w:val="false"/>
          <w:iCs w:val="false"/>
          <w:color w:val="1F4E79"/>
          <w:sz w:val="26"/>
          <w:szCs w:val="26"/>
        </w:rPr>
        <w:t xml:space="preserve">3.2 Study Capacity</w:t>
      </w:r>
    </w:p>
    <w:p>
      <w:pPr>
        <w:spacing w:before="120" w:after="120" w:line="276"/>
        <w:jc w:val="left"/>
      </w:pPr>
      <w:r>
        <w:rPr>
          <w:rFonts w:ascii="Arial" w:cs="Arial" w:eastAsia="Arial" w:hAnsi="Arial"/>
          <w:b w:val="false"/>
          <w:bCs w:val="false"/>
          <w:i w:val="false"/>
          <w:iCs w:val="false"/>
          <w:color w:val="2D2D2D"/>
          <w:sz w:val="22"/>
          <w:szCs w:val="22"/>
        </w:rPr>
        <w:t xml:space="preserve">A 04:00–14:00 shift releases 14:00–20:00 (6 hours) every working day for study. This is high-quality, daylight study time—materially better than the fragmented pre-sleep blocks available under the night model. On rest days, the full day is available. The cybersecurity traineeship deadline (November 2026) makes this the higher-priority consideration.</w:t>
      </w:r>
    </w:p>
    <w:p>
      <w:pPr>
        <w:pStyle w:val="Heading2"/>
        <w:spacing w:before="240" w:after="120"/>
      </w:pPr>
      <w:r>
        <w:rPr>
          <w:rFonts w:ascii="Arial" w:cs="Arial" w:eastAsia="Arial" w:hAnsi="Arial"/>
          <w:b/>
          <w:bCs/>
          <w:i w:val="false"/>
          <w:iCs w:val="false"/>
          <w:color w:val="1F4E79"/>
          <w:sz w:val="26"/>
          <w:szCs w:val="26"/>
        </w:rPr>
        <w:t xml:space="preserve">3.3 Financial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
            </w:r>
          </w:p>
        </w:tc>
        <w:tc>
          <w:tcPr>
            <w:tcW w:type="dxa" w:w="276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Night (v1.0)</w:t>
            </w:r>
          </w:p>
        </w:tc>
        <w:tc>
          <w:tcPr>
            <w:tcW w:type="dxa" w:w="276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Day (v2.0)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ρ (trip rate)</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£37.08/hr</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£33.69/hr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Daily earnings (10h shift)</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£255</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£231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Monthly net profit</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£2,120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£1,783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Annual net profit</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£25,435</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£21,400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CNHR (engaged)</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£19.49/hr</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£16.80/hr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NLW margin</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£7.28/hr</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£4.59/hr</w:t>
            </w:r>
          </w:p>
        </w:tc>
      </w:tr>
      <w:tr>
        <w:tc>
          <w:tcPr>
            <w:tcW w:type="dxa" w:w="3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Transition cost</w:t>
            </w:r>
          </w:p>
        </w:tc>
        <w:tc>
          <w:tcPr>
            <w:tcW w:type="dxa" w:w="2763"/>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
            </w:r>
          </w:p>
        </w:tc>
        <w:tc>
          <w:tcPr>
            <w:tcW w:type="dxa" w:w="2763"/>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£336/month (−15.9%)</w:t>
            </w:r>
          </w:p>
        </w:tc>
      </w:tr>
    </w:tbl>
    <w:p>
      <w:pPr>
        <w:spacing w:before="120" w:after="120" w:line="276"/>
        <w:jc w:val="left"/>
      </w:pPr>
      <w:r>
        <w:rPr>
          <w:rFonts w:ascii="Arial" w:cs="Arial" w:eastAsia="Arial" w:hAnsi="Arial"/>
          <w:b w:val="false"/>
          <w:bCs w:val="false"/>
          <w:i w:val="false"/>
          <w:iCs w:val="false"/>
          <w:color w:val="2D2D2D"/>
          <w:sz w:val="22"/>
          <w:szCs w:val="22"/>
        </w:rPr>
        <w:t xml:space="preserve">The £336/month cost is the price of sleeping every night, studying every afternoon, and materially reducing driving risk. The model remains NLW compliant with £4.59/hr headroom—sufficient to absorb seasonal variation.</w:t>
      </w:r>
    </w:p>
    <w:p>
      <w:r>
        <w:br w:type="page"/>
      </w:r>
    </w:p>
    <w:p>
      <w:pPr>
        <w:pStyle w:val="Heading1"/>
        <w:spacing w:before="360" w:after="120"/>
      </w:pPr>
      <w:r>
        <w:rPr>
          <w:rFonts w:ascii="Arial" w:cs="Arial" w:eastAsia="Arial" w:hAnsi="Arial"/>
          <w:b/>
          <w:bCs/>
          <w:i w:val="false"/>
          <w:iCs w:val="false"/>
          <w:color w:val="1F4E79"/>
          <w:sz w:val="32"/>
          <w:szCs w:val="32"/>
        </w:rPr>
        <w:t xml:space="preserve">4. The 2:1 Cycle</w:t>
      </w:r>
    </w:p>
    <w:p>
      <w:pPr>
        <w:spacing w:before="120" w:after="120" w:line="276"/>
        <w:jc w:val="left"/>
      </w:pPr>
      <w:r>
        <w:rPr>
          <w:rFonts w:ascii="Arial" w:cs="Arial" w:eastAsia="Arial" w:hAnsi="Arial"/>
          <w:b w:val="false"/>
          <w:bCs w:val="false"/>
          <w:i w:val="false"/>
          <w:iCs w:val="false"/>
          <w:color w:val="2D2D2D"/>
          <w:sz w:val="22"/>
          <w:szCs w:val="22"/>
        </w:rPr>
        <w:t xml:space="preserve">The operating cycle spans three weeks: two working weeks followed by one off-week. This yields 35 working weeks and 17 off-weeks per year (17.3 complete cycles).</w:t>
      </w:r>
    </w:p>
    <w:p>
      <w:pPr>
        <w:pStyle w:val="Heading2"/>
        <w:spacing w:before="240" w:after="120"/>
      </w:pPr>
      <w:r>
        <w:rPr>
          <w:rFonts w:ascii="Arial" w:cs="Arial" w:eastAsia="Arial" w:hAnsi="Arial"/>
          <w:b/>
          <w:bCs/>
          <w:i w:val="false"/>
          <w:iCs w:val="false"/>
          <w:color w:val="1F4E79"/>
          <w:sz w:val="26"/>
          <w:szCs w:val="26"/>
        </w:rPr>
        <w:t xml:space="preserve">4.1 Weekly Pattern</w:t>
      </w:r>
    </w:p>
    <w:p>
      <w:pPr>
        <w:spacing w:before="120" w:after="120" w:line="276"/>
        <w:jc w:val="left"/>
      </w:pPr>
      <w:r>
        <w:rPr>
          <w:rFonts w:ascii="Arial" w:cs="Arial" w:eastAsia="Arial" w:hAnsi="Arial"/>
          <w:b w:val="false"/>
          <w:bCs w:val="false"/>
          <w:i w:val="false"/>
          <w:iCs w:val="false"/>
          <w:color w:val="2D2D2D"/>
          <w:sz w:val="22"/>
          <w:szCs w:val="22"/>
        </w:rPr>
        <w:t xml:space="preserve">Rest days are aligned with the two lowest structural demand days in the 04:00–14:00 window, corrected for night-shift carry-over artefacts (see Section 6), subject to the constraint that no more than 3 consecutive shifts occur. The analysis identifies Wednesday (structural score 11/20) and Sunday (structural score 6/20) as the optimal rest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146"/>
        <w:gridCol w:w="1146"/>
        <w:gridCol w:w="1146"/>
        <w:gridCol w:w="1146"/>
        <w:gridCol w:w="1146"/>
        <w:gridCol w:w="1146"/>
        <w:gridCol w:w="115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
            </w:r>
          </w:p>
        </w:tc>
        <w:tc>
          <w:tcPr>
            <w:tcW w:type="dxa" w:w="11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Mon</w:t>
            </w:r>
          </w:p>
        </w:tc>
        <w:tc>
          <w:tcPr>
            <w:tcW w:type="dxa" w:w="11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Tue</w:t>
            </w:r>
          </w:p>
        </w:tc>
        <w:tc>
          <w:tcPr>
            <w:tcW w:type="dxa" w:w="11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Wed</w:t>
            </w:r>
          </w:p>
        </w:tc>
        <w:tc>
          <w:tcPr>
            <w:tcW w:type="dxa" w:w="11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Thu</w:t>
            </w:r>
          </w:p>
        </w:tc>
        <w:tc>
          <w:tcPr>
            <w:tcW w:type="dxa" w:w="11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Fri</w:t>
            </w:r>
          </w:p>
        </w:tc>
        <w:tc>
          <w:tcPr>
            <w:tcW w:type="dxa" w:w="11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Sat</w:t>
            </w:r>
          </w:p>
        </w:tc>
        <w:tc>
          <w:tcPr>
            <w:tcW w:type="dxa" w:w="11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Sun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Wk 1</w:t>
            </w:r>
          </w:p>
        </w:tc>
        <w:tc>
          <w:tcPr>
            <w:tcW w:type="dxa" w:w="114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SHIFT</w:t>
            </w:r>
          </w:p>
        </w:tc>
        <w:tc>
          <w:tcPr>
            <w:tcW w:type="dxa" w:w="114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SHIFT</w:t>
            </w:r>
          </w:p>
        </w:tc>
        <w:tc>
          <w:tcPr>
            <w:tcW w:type="dxa" w:w="114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REST</w:t>
            </w:r>
          </w:p>
        </w:tc>
        <w:tc>
          <w:tcPr>
            <w:tcW w:type="dxa" w:w="114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SHIFT</w:t>
            </w:r>
          </w:p>
        </w:tc>
        <w:tc>
          <w:tcPr>
            <w:tcW w:type="dxa" w:w="114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SHIFT</w:t>
            </w:r>
          </w:p>
        </w:tc>
        <w:tc>
          <w:tcPr>
            <w:tcW w:type="dxa" w:w="114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SHIFT</w:t>
            </w:r>
          </w:p>
        </w:tc>
        <w:tc>
          <w:tcPr>
            <w:tcW w:type="dxa" w:w="115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REST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Wk 2</w:t>
            </w:r>
          </w:p>
        </w:tc>
        <w:tc>
          <w:tcPr>
            <w:tcW w:type="dxa" w:w="114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SHIFT</w:t>
            </w:r>
          </w:p>
        </w:tc>
        <w:tc>
          <w:tcPr>
            <w:tcW w:type="dxa" w:w="114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SHIFT</w:t>
            </w:r>
          </w:p>
        </w:tc>
        <w:tc>
          <w:tcPr>
            <w:tcW w:type="dxa" w:w="114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REST</w:t>
            </w:r>
          </w:p>
        </w:tc>
        <w:tc>
          <w:tcPr>
            <w:tcW w:type="dxa" w:w="114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SHIFT</w:t>
            </w:r>
          </w:p>
        </w:tc>
        <w:tc>
          <w:tcPr>
            <w:tcW w:type="dxa" w:w="114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SHIFT</w:t>
            </w:r>
          </w:p>
        </w:tc>
        <w:tc>
          <w:tcPr>
            <w:tcW w:type="dxa" w:w="114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SHIFT</w:t>
            </w:r>
          </w:p>
        </w:tc>
        <w:tc>
          <w:tcPr>
            <w:tcW w:type="dxa" w:w="115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REST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Wk 3</w:t>
            </w:r>
          </w:p>
        </w:tc>
        <w:tc>
          <w:tcPr>
            <w:tcW w:type="dxa" w:w="114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OFF</w:t>
            </w:r>
          </w:p>
        </w:tc>
        <w:tc>
          <w:tcPr>
            <w:tcW w:type="dxa" w:w="114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OFF</w:t>
            </w:r>
          </w:p>
        </w:tc>
        <w:tc>
          <w:tcPr>
            <w:tcW w:type="dxa" w:w="114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OFF</w:t>
            </w:r>
          </w:p>
        </w:tc>
        <w:tc>
          <w:tcPr>
            <w:tcW w:type="dxa" w:w="114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OFF</w:t>
            </w:r>
          </w:p>
        </w:tc>
        <w:tc>
          <w:tcPr>
            <w:tcW w:type="dxa" w:w="114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OFF</w:t>
            </w:r>
          </w:p>
        </w:tc>
        <w:tc>
          <w:tcPr>
            <w:tcW w:type="dxa" w:w="114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OFF</w:t>
            </w:r>
          </w:p>
        </w:tc>
        <w:tc>
          <w:tcPr>
            <w:tcW w:type="dxa" w:w="115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OFF</w:t>
            </w:r>
          </w:p>
        </w:tc>
      </w:tr>
    </w:tbl>
    <w:p>
      <w:pPr>
        <w:spacing w:before="120" w:after="120" w:line="276"/>
        <w:jc w:val="left"/>
      </w:pPr>
      <w:r>
        <w:rPr>
          <w:rFonts w:ascii="Arial" w:cs="Arial" w:eastAsia="Arial" w:hAnsi="Arial"/>
          <w:b/>
          <w:bCs/>
          <w:i w:val="false"/>
          <w:iCs w:val="false"/>
          <w:color w:val="2D2D2D"/>
          <w:sz w:val="22"/>
          <w:szCs w:val="22"/>
        </w:rPr>
        <w:t xml:space="preserve">Maximum consecutive shifts: 3 </w:t>
      </w:r>
      <w:r>
        <w:rPr>
          <w:rFonts w:ascii="Arial" w:cs="Arial" w:eastAsia="Arial" w:hAnsi="Arial"/>
          <w:b w:val="false"/>
          <w:bCs w:val="false"/>
          <w:i w:val="false"/>
          <w:iCs w:val="false"/>
          <w:color w:val="2D2D2D"/>
          <w:sz w:val="22"/>
          <w:szCs w:val="22"/>
        </w:rPr>
        <w:t xml:space="preserve">(Thu–Fri–Sat). Wednesday provides mid-week recovery, splitting the work week into a Mon–Tue block (2 days) and a Thu–Fri–Sat block (3 days). Sunday rest gives a full day of recovery and a conventional partial weekend.</w:t>
      </w:r>
    </w:p>
    <w:p>
      <w:pPr>
        <w:pStyle w:val="Heading2"/>
        <w:spacing w:before="240" w:after="120"/>
      </w:pPr>
      <w:r>
        <w:rPr>
          <w:rFonts w:ascii="Arial" w:cs="Arial" w:eastAsia="Arial" w:hAnsi="Arial"/>
          <w:b/>
          <w:bCs/>
          <w:i w:val="false"/>
          <w:iCs w:val="false"/>
          <w:color w:val="1F4E79"/>
          <w:sz w:val="26"/>
          <w:szCs w:val="26"/>
        </w:rPr>
        <w:t xml:space="preserve">4.2 Daily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Time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Duration</w:t>
            </w:r>
          </w:p>
        </w:tc>
        <w:tc>
          <w:tcPr>
            <w:tcW w:type="dxa" w:w="4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Activity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04:00–14:00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10 hours</w:t>
            </w:r>
          </w:p>
        </w:tc>
        <w:tc>
          <w:tcPr>
            <w:tcW w:type="dxa" w:w="40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SHIFT (Uber platform)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14:00–15:00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1 hour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Transition: return home, charge vehicle, meal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15:00–20:00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5 hours</w:t>
            </w:r>
          </w:p>
        </w:tc>
        <w:tc>
          <w:tcPr>
            <w:tcW w:type="dxa" w:w="402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STUDY / PERSONAL (prime daylight hours)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20:00–04:00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8 hours</w:t>
            </w:r>
          </w:p>
        </w:tc>
        <w:tc>
          <w:tcPr>
            <w:tcW w:type="dxa" w:w="4026"/>
            <w:tcBorders>
              <w:top w:val="single" w:color="CCCCCC" w:sz="1"/>
              <w:left w:val="single" w:color="CCCCCC" w:sz="1"/>
              <w:bottom w:val="single" w:color="CCCCCC" w:sz="1"/>
              <w:right w:val="single" w:color="CCCCCC" w:sz="1"/>
            </w:tcBorders>
            <w:shd w:fill="E0E0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SLEEP (circadian-aligned)</w:t>
            </w:r>
          </w:p>
        </w:tc>
      </w:tr>
    </w:tbl>
    <w:p>
      <w:pPr>
        <w:spacing w:before="120" w:after="120" w:line="276"/>
        <w:jc w:val="left"/>
      </w:pPr>
      <w:r>
        <w:rPr>
          <w:rFonts w:ascii="Arial" w:cs="Arial" w:eastAsia="Arial" w:hAnsi="Arial"/>
          <w:b w:val="false"/>
          <w:bCs w:val="false"/>
          <w:i w:val="false"/>
          <w:iCs w:val="false"/>
          <w:color w:val="2D2D2D"/>
          <w:sz w:val="22"/>
          <w:szCs w:val="22"/>
        </w:rPr>
        <w:t xml:space="preserve">The 15:00–20:00 study block is 5 hours of uninterrupted daylight time—a material improvement over the night model’s fragmented pre-sleep windows. On rest days (Wed, Sun), the full 04:00–20:00 window (16 waking hours) is available.</w:t>
      </w:r>
    </w:p>
    <w:p>
      <w:pPr>
        <w:pStyle w:val="Heading2"/>
        <w:spacing w:before="240" w:after="120"/>
      </w:pPr>
      <w:r>
        <w:rPr>
          <w:rFonts w:ascii="Arial" w:cs="Arial" w:eastAsia="Arial" w:hAnsi="Arial"/>
          <w:b/>
          <w:bCs/>
          <w:i w:val="false"/>
          <w:iCs w:val="false"/>
          <w:color w:val="1F4E79"/>
          <w:sz w:val="26"/>
          <w:szCs w:val="26"/>
        </w:rPr>
        <w:t xml:space="preserve">4.3 Fortnightly Totals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Parameter</w:t>
            </w:r>
          </w:p>
        </w:tc>
        <w:tc>
          <w:tcPr>
            <w:tcW w:type="dxa" w:w="276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Standard</w:t>
            </w:r>
          </w:p>
        </w:tc>
        <w:tc>
          <w:tcPr>
            <w:tcW w:type="dxa" w:w="276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Triggered (6th day)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Working days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Rest days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4</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Shift hours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100h</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110h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Expected earnings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£2,132</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£2,341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Fortnightly cost</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£860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£860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Fortnightly net</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£1,272</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£1,481</w:t>
            </w:r>
          </w:p>
        </w:tc>
      </w:tr>
    </w:tbl>
    <w:p>
      <w:r>
        <w:br w:type="page"/>
      </w:r>
    </w:p>
    <w:p>
      <w:pPr>
        <w:pStyle w:val="Heading1"/>
        <w:spacing w:before="360" w:after="120"/>
      </w:pPr>
      <w:r>
        <w:rPr>
          <w:rFonts w:ascii="Arial" w:cs="Arial" w:eastAsia="Arial" w:hAnsi="Arial"/>
          <w:b/>
          <w:bCs/>
          <w:i w:val="false"/>
          <w:iCs w:val="false"/>
          <w:color w:val="1F4E79"/>
          <w:sz w:val="32"/>
          <w:szCs w:val="32"/>
        </w:rPr>
        <w:t xml:space="preserve">5. Shift Specification</w:t>
      </w:r>
    </w:p>
    <w:p>
      <w:pPr>
        <w:pStyle w:val="Heading2"/>
        <w:spacing w:before="240" w:after="120"/>
      </w:pPr>
      <w:r>
        <w:rPr>
          <w:rFonts w:ascii="Arial" w:cs="Arial" w:eastAsia="Arial" w:hAnsi="Arial"/>
          <w:b/>
          <w:bCs/>
          <w:i w:val="false"/>
          <w:iCs w:val="false"/>
          <w:color w:val="1F4E79"/>
          <w:sz w:val="26"/>
          <w:szCs w:val="26"/>
        </w:rPr>
        <w:t xml:space="preserve">5.1 Fixed Parameters</w:t>
      </w:r>
    </w:p>
    <w:p>
      <w:pPr>
        <w:spacing w:before="120" w:after="120" w:line="276"/>
        <w:jc w:val="left"/>
      </w:pPr>
      <w:r>
        <w:rPr>
          <w:rFonts w:ascii="Arial" w:cs="Arial" w:eastAsia="Arial" w:hAnsi="Arial"/>
          <w:b/>
          <w:bCs/>
          <w:i w:val="false"/>
          <w:iCs w:val="false"/>
          <w:color w:val="2D2D2D"/>
          <w:sz w:val="22"/>
          <w:szCs w:val="22"/>
        </w:rPr>
        <w:t xml:space="preserve">Shift length: 10 hours (04:00–14:00). Non-negotiable. </w:t>
      </w:r>
      <w:r>
        <w:rPr>
          <w:rFonts w:ascii="Arial" w:cs="Arial" w:eastAsia="Arial" w:hAnsi="Arial"/>
          <w:b w:val="false"/>
          <w:bCs w:val="false"/>
          <w:i w:val="false"/>
          <w:iCs w:val="false"/>
          <w:color w:val="2D2D2D"/>
          <w:sz w:val="22"/>
          <w:szCs w:val="22"/>
        </w:rPr>
        <w:t xml:space="preserve">This window captures the early-morning premium (04:00–08:00, ρ ≈ £37/hr) and the mid-morning volume (08:00–14:00, ρ ≈ £28–32/hr), while terminating before the low-yield afternoon trough (14:00–16:00, ρ ≈ £27/hr).</w:t>
      </w:r>
    </w:p>
    <w:p>
      <w:pPr>
        <w:pStyle w:val="Heading2"/>
        <w:spacing w:before="240" w:after="120"/>
      </w:pPr>
      <w:r>
        <w:rPr>
          <w:rFonts w:ascii="Arial" w:cs="Arial" w:eastAsia="Arial" w:hAnsi="Arial"/>
          <w:b/>
          <w:bCs/>
          <w:i w:val="false"/>
          <w:iCs w:val="false"/>
          <w:color w:val="1F4E79"/>
          <w:sz w:val="26"/>
          <w:szCs w:val="26"/>
        </w:rPr>
        <w:t xml:space="preserve">5.2 Earning Rate by Time Block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Time Block</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Trips</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Trip Hours</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ρ (trip)</w:t>
            </w:r>
          </w:p>
        </w:tc>
        <w:tc>
          <w:tcPr>
            <w:tcW w:type="dxa" w:w="17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In Window?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04:00–08:00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108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55.4h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£36.60/hr</w:t>
            </w:r>
          </w:p>
        </w:tc>
        <w:tc>
          <w:tcPr>
            <w:tcW w:type="dxa" w:w="172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08:00–12:00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45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24.4h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£27.89/hr</w:t>
            </w:r>
          </w:p>
        </w:tc>
        <w:tc>
          <w:tcPr>
            <w:tcW w:type="dxa" w:w="172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12:00–14:00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16.0h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£27.56/hr</w:t>
            </w:r>
          </w:p>
        </w:tc>
        <w:tc>
          <w:tcPr>
            <w:tcW w:type="dxa" w:w="172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14:00–16:00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71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32.6h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£27.45/hr</w:t>
            </w:r>
          </w:p>
        </w:tc>
        <w:tc>
          <w:tcPr>
            <w:tcW w:type="dxa" w:w="1726"/>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NO — cut off</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Blended 04:00–14:00</w:t>
            </w:r>
          </w:p>
        </w:tc>
        <w:tc>
          <w:tcPr>
            <w:tcW w:type="dxa" w:w="17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189</w:t>
            </w:r>
          </w:p>
        </w:tc>
        <w:tc>
          <w:tcPr>
            <w:tcW w:type="dxa" w:w="17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95.9h</w:t>
            </w:r>
          </w:p>
        </w:tc>
        <w:tc>
          <w:tcPr>
            <w:tcW w:type="dxa" w:w="17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£32.92/hr</w:t>
            </w:r>
          </w:p>
        </w:tc>
        <w:tc>
          <w:tcPr>
            <w:tcW w:type="dxa" w:w="17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
            </w:r>
          </w:p>
        </w:tc>
      </w:tr>
    </w:tbl>
    <w:p>
      <w:pPr>
        <w:spacing w:before="120" w:after="120" w:line="276"/>
        <w:jc w:val="left"/>
      </w:pPr>
      <w:r>
        <w:rPr>
          <w:rFonts w:ascii="Arial" w:cs="Arial" w:eastAsia="Arial" w:hAnsi="Arial"/>
          <w:b w:val="false"/>
          <w:bCs w:val="false"/>
          <w:i w:val="false"/>
          <w:iCs w:val="false"/>
          <w:color w:val="2D2D2D"/>
          <w:sz w:val="22"/>
          <w:szCs w:val="22"/>
        </w:rPr>
        <w:t xml:space="preserve">The 04:00–08:00 block produces £36.60/hr—comparable to peak night rates—driven by airport runs, early commuter demand, and reduced driver supply. This premium anchors the day model’s viability.</w:t>
      </w:r>
    </w:p>
    <w:p>
      <w:pPr>
        <w:pStyle w:val="Heading2"/>
        <w:spacing w:before="240" w:after="120"/>
      </w:pPr>
      <w:r>
        <w:rPr>
          <w:rFonts w:ascii="Arial" w:cs="Arial" w:eastAsia="Arial" w:hAnsi="Arial"/>
          <w:b/>
          <w:bCs/>
          <w:i w:val="false"/>
          <w:iCs w:val="false"/>
          <w:color w:val="1F4E79"/>
          <w:sz w:val="26"/>
          <w:szCs w:val="26"/>
        </w:rPr>
        <w:t xml:space="preserve">5.3 Day-of-Week Variation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45"/>
        <w:gridCol w:w="1445"/>
        <w:gridCol w:w="1445"/>
        <w:gridCol w:w="1445"/>
        <w:gridCol w:w="1446"/>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Day</w:t>
            </w:r>
          </w:p>
        </w:tc>
        <w:tc>
          <w:tcPr>
            <w:tcW w:type="dxa" w:w="144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ρ (trip)</w:t>
            </w:r>
          </w:p>
        </w:tc>
        <w:tc>
          <w:tcPr>
            <w:tcW w:type="dxa" w:w="144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Est Daily</w:t>
            </w:r>
          </w:p>
        </w:tc>
        <w:tc>
          <w:tcPr>
            <w:tcW w:type="dxa" w:w="144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Trips</w:t>
            </w:r>
          </w:p>
        </w:tc>
        <w:tc>
          <w:tcPr>
            <w:tcW w:type="dxa" w:w="144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Trip Hours</w:t>
            </w:r>
          </w:p>
        </w:tc>
        <w:tc>
          <w:tcPr>
            <w:tcW w:type="dxa" w:w="14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Sunday</w:t>
            </w:r>
          </w:p>
        </w:tc>
        <w:tc>
          <w:tcPr>
            <w:tcW w:type="dxa" w:w="14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£36.03</w:t>
            </w:r>
          </w:p>
        </w:tc>
        <w:tc>
          <w:tcPr>
            <w:tcW w:type="dxa" w:w="14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£248</w:t>
            </w:r>
          </w:p>
        </w:tc>
        <w:tc>
          <w:tcPr>
            <w:tcW w:type="dxa" w:w="14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39</w:t>
            </w:r>
          </w:p>
        </w:tc>
        <w:tc>
          <w:tcPr>
            <w:tcW w:type="dxa" w:w="14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16.5h</w:t>
            </w:r>
          </w:p>
        </w:tc>
        <w:tc>
          <w:tcPr>
            <w:tcW w:type="dxa" w:w="144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REST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Friday</w:t>
            </w:r>
          </w:p>
        </w:tc>
        <w:tc>
          <w:tcPr>
            <w:tcW w:type="dxa" w:w="14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£35.91</w:t>
            </w:r>
          </w:p>
        </w:tc>
        <w:tc>
          <w:tcPr>
            <w:tcW w:type="dxa" w:w="14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£247</w:t>
            </w:r>
          </w:p>
        </w:tc>
        <w:tc>
          <w:tcPr>
            <w:tcW w:type="dxa" w:w="14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6</w:t>
            </w:r>
          </w:p>
        </w:tc>
        <w:tc>
          <w:tcPr>
            <w:tcW w:type="dxa" w:w="14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3.5h</w:t>
            </w:r>
          </w:p>
        </w:tc>
        <w:tc>
          <w:tcPr>
            <w:tcW w:type="dxa" w:w="144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WORK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Tuesday</w:t>
            </w:r>
          </w:p>
        </w:tc>
        <w:tc>
          <w:tcPr>
            <w:tcW w:type="dxa" w:w="14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£35.32</w:t>
            </w:r>
          </w:p>
        </w:tc>
        <w:tc>
          <w:tcPr>
            <w:tcW w:type="dxa" w:w="14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£243</w:t>
            </w:r>
          </w:p>
        </w:tc>
        <w:tc>
          <w:tcPr>
            <w:tcW w:type="dxa" w:w="14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37</w:t>
            </w:r>
          </w:p>
        </w:tc>
        <w:tc>
          <w:tcPr>
            <w:tcW w:type="dxa" w:w="14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15.6h</w:t>
            </w:r>
          </w:p>
        </w:tc>
        <w:tc>
          <w:tcPr>
            <w:tcW w:type="dxa" w:w="144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WORK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Monday</w:t>
            </w:r>
          </w:p>
        </w:tc>
        <w:tc>
          <w:tcPr>
            <w:tcW w:type="dxa" w:w="14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£34.52</w:t>
            </w:r>
          </w:p>
        </w:tc>
        <w:tc>
          <w:tcPr>
            <w:tcW w:type="dxa" w:w="14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£237</w:t>
            </w:r>
          </w:p>
        </w:tc>
        <w:tc>
          <w:tcPr>
            <w:tcW w:type="dxa" w:w="14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22</w:t>
            </w:r>
          </w:p>
        </w:tc>
        <w:tc>
          <w:tcPr>
            <w:tcW w:type="dxa" w:w="14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13.5h</w:t>
            </w:r>
          </w:p>
        </w:tc>
        <w:tc>
          <w:tcPr>
            <w:tcW w:type="dxa" w:w="144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WORK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Thursday</w:t>
            </w:r>
          </w:p>
        </w:tc>
        <w:tc>
          <w:tcPr>
            <w:tcW w:type="dxa" w:w="14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£29.26</w:t>
            </w:r>
          </w:p>
        </w:tc>
        <w:tc>
          <w:tcPr>
            <w:tcW w:type="dxa" w:w="14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£201</w:t>
            </w:r>
          </w:p>
        </w:tc>
        <w:tc>
          <w:tcPr>
            <w:tcW w:type="dxa" w:w="14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33</w:t>
            </w:r>
          </w:p>
        </w:tc>
        <w:tc>
          <w:tcPr>
            <w:tcW w:type="dxa" w:w="14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18.8h</w:t>
            </w:r>
          </w:p>
        </w:tc>
        <w:tc>
          <w:tcPr>
            <w:tcW w:type="dxa" w:w="144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WORK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Saturday</w:t>
            </w:r>
          </w:p>
        </w:tc>
        <w:tc>
          <w:tcPr>
            <w:tcW w:type="dxa" w:w="14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£31.64</w:t>
            </w:r>
          </w:p>
        </w:tc>
        <w:tc>
          <w:tcPr>
            <w:tcW w:type="dxa" w:w="14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£217</w:t>
            </w:r>
          </w:p>
        </w:tc>
        <w:tc>
          <w:tcPr>
            <w:tcW w:type="dxa" w:w="14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27</w:t>
            </w:r>
          </w:p>
        </w:tc>
        <w:tc>
          <w:tcPr>
            <w:tcW w:type="dxa" w:w="14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14.3h</w:t>
            </w:r>
          </w:p>
        </w:tc>
        <w:tc>
          <w:tcPr>
            <w:tcW w:type="dxa" w:w="144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WORK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Wednesday</w:t>
            </w:r>
          </w:p>
        </w:tc>
        <w:tc>
          <w:tcPr>
            <w:tcW w:type="dxa" w:w="14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£30.40</w:t>
            </w:r>
          </w:p>
        </w:tc>
        <w:tc>
          <w:tcPr>
            <w:tcW w:type="dxa" w:w="14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£209</w:t>
            </w:r>
          </w:p>
        </w:tc>
        <w:tc>
          <w:tcPr>
            <w:tcW w:type="dxa" w:w="14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25</w:t>
            </w:r>
          </w:p>
        </w:tc>
        <w:tc>
          <w:tcPr>
            <w:tcW w:type="dxa" w:w="14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13.6h</w:t>
            </w:r>
          </w:p>
        </w:tc>
        <w:tc>
          <w:tcPr>
            <w:tcW w:type="dxa" w:w="144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REST</w:t>
            </w:r>
          </w:p>
        </w:tc>
      </w:tr>
    </w:tbl>
    <w:p>
      <w:pPr>
        <w:spacing w:before="120" w:after="120" w:line="276"/>
        <w:jc w:val="left"/>
      </w:pPr>
      <w:r>
        <w:rPr>
          <w:rFonts w:ascii="Arial" w:cs="Arial" w:eastAsia="Arial" w:hAnsi="Arial"/>
          <w:b w:val="false"/>
          <w:bCs w:val="false"/>
          <w:i w:val="false"/>
          <w:iCs w:val="false"/>
          <w:color w:val="2D2D2D"/>
          <w:sz w:val="22"/>
          <w:szCs w:val="22"/>
        </w:rPr>
        <w:t xml:space="preserve">* Saturday’s historical ρ (£31.64) is partially inflated by night-shift carry-over. Under a dedicated 04:00-start pattern, the 04:00–08:00 block is structurally weaker (no commuters, few flights). An estimated 30% discount applies, reducing effective daily earnings to ~£188. Saturday is retained as a working day because it still outperforms Sunday structurally.</w:t>
      </w:r>
    </w:p>
    <w:p>
      <w:pPr>
        <w:spacing w:before="120" w:after="120" w:line="276"/>
        <w:jc w:val="left"/>
      </w:pPr>
      <w:r>
        <w:rPr>
          <w:rFonts w:ascii="Arial" w:cs="Arial" w:eastAsia="Arial" w:hAnsi="Arial"/>
          <w:b w:val="false"/>
          <w:bCs w:val="false"/>
          <w:i w:val="false"/>
          <w:iCs w:val="false"/>
          <w:color w:val="2D2D2D"/>
          <w:sz w:val="22"/>
          <w:szCs w:val="22"/>
        </w:rPr>
        <w:t xml:space="preserve">† Sunday’s historical ρ (£36.03) is the most heavily inflated day in the dataset (+57% above structural expectation). Sunday 04:00–08:00 is structurally dead—zero organic demand, 60–90 minutes of dead time before the first trip. Resting on Sunday costs almost nothing in real earnings while recovering the weakest morning of the week. See Section 6 for the full structural demand analysis.</w:t>
      </w:r>
    </w:p>
    <w:p>
      <w:r>
        <w:br w:type="page"/>
      </w:r>
    </w:p>
    <w:p>
      <w:pPr>
        <w:pStyle w:val="Heading1"/>
        <w:spacing w:before="360" w:after="120"/>
      </w:pPr>
      <w:r>
        <w:rPr>
          <w:rFonts w:ascii="Arial" w:cs="Arial" w:eastAsia="Arial" w:hAnsi="Arial"/>
          <w:b/>
          <w:bCs/>
          <w:i w:val="false"/>
          <w:iCs w:val="false"/>
          <w:color w:val="1F4E79"/>
          <w:sz w:val="32"/>
          <w:szCs w:val="32"/>
        </w:rPr>
        <w:t xml:space="preserve">6. Structural Demand Analysis</w:t>
      </w:r>
    </w:p>
    <w:p>
      <w:pPr>
        <w:spacing w:before="120" w:after="120" w:line="276"/>
        <w:jc w:val="left"/>
      </w:pPr>
      <w:r>
        <w:rPr>
          <w:rFonts w:ascii="Arial" w:cs="Arial" w:eastAsia="Arial" w:hAnsi="Arial"/>
          <w:b w:val="false"/>
          <w:bCs w:val="false"/>
          <w:i w:val="false"/>
          <w:iCs w:val="false"/>
          <w:color w:val="2D2D2D"/>
          <w:sz w:val="22"/>
          <w:szCs w:val="22"/>
        </w:rPr>
        <w:t xml:space="preserve">The historical trip data records weekend early-morning trips (04:00–08:00) at high ρ values: Saturday £36/hr, Sunday £38/hr. However, these trips were captured during night shifts that started at 20:00–22:00 the previous evening. A driver already on the road at 03:00 receives trips from passengers who happen to request at 04:00—this is fundamentally different from a driver cold-starting from home at 04:00 on a weekend morning.</w:t>
      </w:r>
    </w:p>
    <w:p>
      <w:pPr>
        <w:pStyle w:val="Heading2"/>
        <w:spacing w:before="240" w:after="120"/>
      </w:pPr>
      <w:r>
        <w:rPr>
          <w:rFonts w:ascii="Arial" w:cs="Arial" w:eastAsia="Arial" w:hAnsi="Arial"/>
          <w:b/>
          <w:bCs/>
          <w:i w:val="false"/>
          <w:iCs w:val="false"/>
          <w:color w:val="1F4E79"/>
          <w:sz w:val="26"/>
          <w:szCs w:val="26"/>
        </w:rPr>
        <w:t xml:space="preserve">6.1 The Carry-Over Artefact</w:t>
      </w:r>
    </w:p>
    <w:p>
      <w:pPr>
        <w:spacing w:before="120" w:after="120" w:line="276"/>
        <w:jc w:val="left"/>
      </w:pPr>
      <w:r>
        <w:rPr>
          <w:rFonts w:ascii="Arial" w:cs="Arial" w:eastAsia="Arial" w:hAnsi="Arial"/>
          <w:b w:val="false"/>
          <w:bCs w:val="false"/>
          <w:i w:val="false"/>
          <w:iCs w:val="false"/>
          <w:color w:val="2D2D2D"/>
          <w:sz w:val="22"/>
          <w:szCs w:val="22"/>
        </w:rPr>
        <w:t xml:space="preserve">Under a dedicated 04:00-start pattern, there is no warm-up period, no pre-positioning near high-demand zones, and no continuation of night-shift momentum. Weekend 04:00–06:00 has near-zero organic demand: no commuters, no school run, minimal flights. The first real trip on a Saturday or Sunday morning is unlikely before 05:30–06:30, implying 30–90 minutes of dead time that the historical data does not reflect.</w:t>
      </w:r>
    </w:p>
    <w:p>
      <w:pPr>
        <w:pStyle w:val="Heading2"/>
        <w:spacing w:before="240" w:after="120"/>
      </w:pPr>
      <w:r>
        <w:rPr>
          <w:rFonts w:ascii="Arial" w:cs="Arial" w:eastAsia="Arial" w:hAnsi="Arial"/>
          <w:b/>
          <w:bCs/>
          <w:i w:val="false"/>
          <w:iCs w:val="false"/>
          <w:color w:val="1F4E79"/>
          <w:sz w:val="26"/>
          <w:szCs w:val="26"/>
        </w:rPr>
        <w:t xml:space="preserve">6.2 Structural Demand Scoring</w:t>
      </w:r>
    </w:p>
    <w:p>
      <w:pPr>
        <w:spacing w:before="120" w:after="120" w:line="276"/>
        <w:jc w:val="left"/>
      </w:pPr>
      <w:r>
        <w:rPr>
          <w:rFonts w:ascii="Arial" w:cs="Arial" w:eastAsia="Arial" w:hAnsi="Arial"/>
          <w:b w:val="false"/>
          <w:bCs w:val="false"/>
          <w:i w:val="false"/>
          <w:iCs w:val="false"/>
          <w:color w:val="2D2D2D"/>
          <w:sz w:val="22"/>
          <w:szCs w:val="22"/>
        </w:rPr>
        <w:t xml:space="preserve">Each day is scored by 2-hour block on a 0–4 scale based on real-world demand drivers: airport schedules, commuter patterns, school runs, business travel, and leisure demand. The scores reflect what actually generates trip requests at each time, independent of historical sampling artefacts.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70"/>
        <w:gridCol w:w="1270"/>
        <w:gridCol w:w="1270"/>
        <w:gridCol w:w="1270"/>
        <w:gridCol w:w="1270"/>
        <w:gridCol w:w="1276"/>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Day</w:t>
            </w:r>
          </w:p>
        </w:tc>
        <w:tc>
          <w:tcPr>
            <w:tcW w:type="dxa" w:w="12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04–06</w:t>
            </w:r>
          </w:p>
        </w:tc>
        <w:tc>
          <w:tcPr>
            <w:tcW w:type="dxa" w:w="12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06–08</w:t>
            </w:r>
          </w:p>
        </w:tc>
        <w:tc>
          <w:tcPr>
            <w:tcW w:type="dxa" w:w="12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08–10</w:t>
            </w:r>
          </w:p>
        </w:tc>
        <w:tc>
          <w:tcPr>
            <w:tcW w:type="dxa" w:w="12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10–12</w:t>
            </w:r>
          </w:p>
        </w:tc>
        <w:tc>
          <w:tcPr>
            <w:tcW w:type="dxa" w:w="12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12–14</w:t>
            </w:r>
          </w:p>
        </w:tc>
        <w:tc>
          <w:tcPr>
            <w:tcW w:type="dxa" w:w="127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Total /20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Mon</w:t>
            </w:r>
          </w:p>
        </w:tc>
        <w:tc>
          <w:tcPr>
            <w:tcW w:type="dxa" w:w="127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 Strong</w:t>
            </w:r>
          </w:p>
        </w:tc>
        <w:tc>
          <w:tcPr>
            <w:tcW w:type="dxa" w:w="127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4 Peak</w:t>
            </w:r>
          </w:p>
        </w:tc>
        <w:tc>
          <w:tcPr>
            <w:tcW w:type="dxa" w:w="127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 Strong</w:t>
            </w:r>
          </w:p>
        </w:tc>
        <w:tc>
          <w:tcPr>
            <w:tcW w:type="dxa" w:w="12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 Mod</w:t>
            </w:r>
          </w:p>
        </w:tc>
        <w:tc>
          <w:tcPr>
            <w:tcW w:type="dxa" w:w="12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 Mod</w:t>
            </w:r>
          </w:p>
        </w:tc>
        <w:tc>
          <w:tcPr>
            <w:tcW w:type="dxa" w:w="1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14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Tue</w:t>
            </w:r>
          </w:p>
        </w:tc>
        <w:tc>
          <w:tcPr>
            <w:tcW w:type="dxa" w:w="127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 Strong</w:t>
            </w:r>
          </w:p>
        </w:tc>
        <w:tc>
          <w:tcPr>
            <w:tcW w:type="dxa" w:w="127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4 Peak</w:t>
            </w:r>
          </w:p>
        </w:tc>
        <w:tc>
          <w:tcPr>
            <w:tcW w:type="dxa" w:w="127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 Strong</w:t>
            </w:r>
          </w:p>
        </w:tc>
        <w:tc>
          <w:tcPr>
            <w:tcW w:type="dxa" w:w="12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 Mod</w:t>
            </w:r>
          </w:p>
        </w:tc>
        <w:tc>
          <w:tcPr>
            <w:tcW w:type="dxa" w:w="12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 Mod</w:t>
            </w:r>
          </w:p>
        </w:tc>
        <w:tc>
          <w:tcPr>
            <w:tcW w:type="dxa" w:w="1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14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Wed</w:t>
            </w:r>
          </w:p>
        </w:tc>
        <w:tc>
          <w:tcPr>
            <w:tcW w:type="dxa" w:w="127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 Strong</w:t>
            </w:r>
          </w:p>
        </w:tc>
        <w:tc>
          <w:tcPr>
            <w:tcW w:type="dxa" w:w="127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 Strong</w:t>
            </w:r>
          </w:p>
        </w:tc>
        <w:tc>
          <w:tcPr>
            <w:tcW w:type="dxa" w:w="12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 Mod</w:t>
            </w:r>
          </w:p>
        </w:tc>
        <w:tc>
          <w:tcPr>
            <w:tcW w:type="dxa" w:w="127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 Weak</w:t>
            </w:r>
          </w:p>
        </w:tc>
        <w:tc>
          <w:tcPr>
            <w:tcW w:type="dxa" w:w="12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 Mod</w:t>
            </w:r>
          </w:p>
        </w:tc>
        <w:tc>
          <w:tcPr>
            <w:tcW w:type="dxa" w:w="1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Thu</w:t>
            </w:r>
          </w:p>
        </w:tc>
        <w:tc>
          <w:tcPr>
            <w:tcW w:type="dxa" w:w="127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 Strong</w:t>
            </w:r>
          </w:p>
        </w:tc>
        <w:tc>
          <w:tcPr>
            <w:tcW w:type="dxa" w:w="127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4 Peak</w:t>
            </w:r>
          </w:p>
        </w:tc>
        <w:tc>
          <w:tcPr>
            <w:tcW w:type="dxa" w:w="12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 Mod</w:t>
            </w:r>
          </w:p>
        </w:tc>
        <w:tc>
          <w:tcPr>
            <w:tcW w:type="dxa" w:w="127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 Weak</w:t>
            </w:r>
          </w:p>
        </w:tc>
        <w:tc>
          <w:tcPr>
            <w:tcW w:type="dxa" w:w="12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 Mod</w:t>
            </w:r>
          </w:p>
        </w:tc>
        <w:tc>
          <w:tcPr>
            <w:tcW w:type="dxa" w:w="1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Fri</w:t>
            </w:r>
          </w:p>
        </w:tc>
        <w:tc>
          <w:tcPr>
            <w:tcW w:type="dxa" w:w="127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 Strong</w:t>
            </w:r>
          </w:p>
        </w:tc>
        <w:tc>
          <w:tcPr>
            <w:tcW w:type="dxa" w:w="127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 Strong</w:t>
            </w:r>
          </w:p>
        </w:tc>
        <w:tc>
          <w:tcPr>
            <w:tcW w:type="dxa" w:w="12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 Mod</w:t>
            </w:r>
          </w:p>
        </w:tc>
        <w:tc>
          <w:tcPr>
            <w:tcW w:type="dxa" w:w="127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 Weak</w:t>
            </w:r>
          </w:p>
        </w:tc>
        <w:tc>
          <w:tcPr>
            <w:tcW w:type="dxa" w:w="127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 Weak</w:t>
            </w:r>
          </w:p>
        </w:tc>
        <w:tc>
          <w:tcPr>
            <w:tcW w:type="dxa" w:w="1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Sat</w:t>
            </w:r>
          </w:p>
        </w:tc>
        <w:tc>
          <w:tcPr>
            <w:tcW w:type="dxa" w:w="127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 Weak</w:t>
            </w:r>
          </w:p>
        </w:tc>
        <w:tc>
          <w:tcPr>
            <w:tcW w:type="dxa" w:w="127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 Weak</w:t>
            </w:r>
          </w:p>
        </w:tc>
        <w:tc>
          <w:tcPr>
            <w:tcW w:type="dxa" w:w="12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 Mod</w:t>
            </w:r>
          </w:p>
        </w:tc>
        <w:tc>
          <w:tcPr>
            <w:tcW w:type="dxa" w:w="12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 Mod</w:t>
            </w:r>
          </w:p>
        </w:tc>
        <w:tc>
          <w:tcPr>
            <w:tcW w:type="dxa" w:w="12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 Mod</w:t>
            </w:r>
          </w:p>
        </w:tc>
        <w:tc>
          <w:tcPr>
            <w:tcW w:type="dxa" w:w="127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8</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Sun</w:t>
            </w:r>
          </w:p>
        </w:tc>
        <w:tc>
          <w:tcPr>
            <w:tcW w:type="dxa" w:w="127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0 Dead</w:t>
            </w:r>
          </w:p>
        </w:tc>
        <w:tc>
          <w:tcPr>
            <w:tcW w:type="dxa" w:w="127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 Weak</w:t>
            </w:r>
          </w:p>
        </w:tc>
        <w:tc>
          <w:tcPr>
            <w:tcW w:type="dxa" w:w="127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 Weak</w:t>
            </w:r>
          </w:p>
        </w:tc>
        <w:tc>
          <w:tcPr>
            <w:tcW w:type="dxa" w:w="12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 Mod</w:t>
            </w:r>
          </w:p>
        </w:tc>
        <w:tc>
          <w:tcPr>
            <w:tcW w:type="dxa" w:w="12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 Mod</w:t>
            </w:r>
          </w:p>
        </w:tc>
        <w:tc>
          <w:tcPr>
            <w:tcW w:type="dxa" w:w="1276"/>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6</w:t>
            </w:r>
          </w:p>
        </w:tc>
      </w:tr>
    </w:tbl>
    <w:p>
      <w:pPr>
        <w:pStyle w:val="Heading2"/>
        <w:spacing w:before="240" w:after="120"/>
      </w:pPr>
      <w:r>
        <w:rPr>
          <w:rFonts w:ascii="Arial" w:cs="Arial" w:eastAsia="Arial" w:hAnsi="Arial"/>
          <w:b/>
          <w:bCs/>
          <w:i w:val="false"/>
          <w:iCs w:val="false"/>
          <w:color w:val="1F4E79"/>
          <w:sz w:val="26"/>
          <w:szCs w:val="26"/>
        </w:rPr>
        <w:t xml:space="preserve">6.3 Historical vs Structural Comparison</w:t>
      </w:r>
    </w:p>
    <w:p>
      <w:pPr>
        <w:spacing w:before="120" w:after="120" w:line="276"/>
        <w:jc w:val="left"/>
      </w:pPr>
      <w:r>
        <w:rPr>
          <w:rFonts w:ascii="Arial" w:cs="Arial" w:eastAsia="Arial" w:hAnsi="Arial"/>
          <w:b w:val="false"/>
          <w:bCs w:val="false"/>
          <w:i w:val="false"/>
          <w:iCs w:val="false"/>
          <w:color w:val="2D2D2D"/>
          <w:sz w:val="22"/>
          <w:szCs w:val="22"/>
        </w:rPr>
        <w:t xml:space="preserve">The divergence between historical ρ and structural demand is most severe on weekends: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700"/>
        <w:gridCol w:w="2000"/>
        <w:gridCol w:w="2126"/>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Day</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Hist ρ</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Hist Rank</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Struct Score</w:t>
            </w:r>
          </w:p>
        </w:tc>
        <w:tc>
          <w:tcPr>
            <w:tcW w:type="dxa" w:w="21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Struct Rank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Sunday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£36.03</w:t>
            </w:r>
          </w:p>
        </w:tc>
        <w:tc>
          <w:tcPr>
            <w:tcW w:type="dxa" w:w="17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6/20</w:t>
            </w:r>
          </w:p>
        </w:tc>
        <w:tc>
          <w:tcPr>
            <w:tcW w:type="dxa" w:w="2126"/>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7th (LAST)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Saturday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£31.64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5th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8/20</w:t>
            </w:r>
          </w:p>
        </w:tc>
        <w:tc>
          <w:tcPr>
            <w:tcW w:type="dxa" w:w="21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6th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Friday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£35.91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10/20</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5th</w:t>
            </w:r>
          </w:p>
        </w:tc>
      </w:tr>
    </w:tbl>
    <w:p>
      <w:pPr>
        <w:spacing w:before="120" w:after="120" w:line="276"/>
        <w:jc w:val="left"/>
      </w:pPr>
      <w:r>
        <w:rPr>
          <w:rFonts w:ascii="Arial" w:cs="Arial" w:eastAsia="Arial" w:hAnsi="Arial"/>
          <w:b w:val="false"/>
          <w:bCs w:val="false"/>
          <w:i w:val="false"/>
          <w:iCs w:val="false"/>
          <w:color w:val="2D2D2D"/>
          <w:sz w:val="22"/>
          <w:szCs w:val="22"/>
        </w:rPr>
        <w:t xml:space="preserve">Sunday’s inflation is +57%: historical ρ ranks it 2nd, structural demand ranks it last. This is the carry-over artefact in its most extreme form. The initial rest day selection (Wed+Sat) was based on raw ρ and would have assigned Sunday as a working day—forcing the driver to work the single worst slot of the week.</w:t>
      </w:r>
    </w:p>
    <w:p>
      <w:pPr>
        <w:pStyle w:val="Heading2"/>
        <w:spacing w:before="240" w:after="120"/>
      </w:pPr>
      <w:r>
        <w:rPr>
          <w:rFonts w:ascii="Arial" w:cs="Arial" w:eastAsia="Arial" w:hAnsi="Arial"/>
          <w:b/>
          <w:bCs/>
          <w:i w:val="false"/>
          <w:iCs w:val="false"/>
          <w:color w:val="1F4E79"/>
          <w:sz w:val="26"/>
          <w:szCs w:val="26"/>
        </w:rPr>
        <w:t xml:space="preserve">6.4 Demand Drivers by Day</w:t>
      </w:r>
    </w:p>
    <w:p>
      <w:pPr>
        <w:spacing w:before="120" w:after="120" w:line="276"/>
        <w:jc w:val="left"/>
      </w:pPr>
      <w:r>
        <w:rPr>
          <w:rFonts w:ascii="Arial" w:cs="Arial" w:eastAsia="Arial" w:hAnsi="Arial"/>
          <w:b/>
          <w:bCs/>
          <w:i w:val="false"/>
          <w:iCs w:val="false"/>
          <w:color w:val="2D2D2D"/>
          <w:sz w:val="22"/>
          <w:szCs w:val="22"/>
        </w:rPr>
        <w:t xml:space="preserve">Weekday 04:00–08:00: </w:t>
      </w:r>
      <w:r>
        <w:rPr>
          <w:rFonts w:ascii="Arial" w:cs="Arial" w:eastAsia="Arial" w:hAnsi="Arial"/>
          <w:b w:val="false"/>
          <w:bCs w:val="false"/>
          <w:i w:val="false"/>
          <w:iCs w:val="false"/>
          <w:color w:val="2D2D2D"/>
          <w:sz w:val="22"/>
          <w:szCs w:val="22"/>
        </w:rPr>
        <w:t xml:space="preserve">Airport early flights (Heathrow, City, Stansted), hospital shift changes, pre-commute business travel, school run from 07:30. This is the primary revenue driver for the 04:00-start model. Peak commute demand (06:00–08:00) generates the highest trip density and longest average fares of the day.</w:t>
      </w:r>
    </w:p>
    <w:p>
      <w:pPr>
        <w:spacing w:before="120" w:after="120" w:line="276"/>
        <w:jc w:val="left"/>
      </w:pPr>
      <w:r>
        <w:rPr>
          <w:rFonts w:ascii="Arial" w:cs="Arial" w:eastAsia="Arial" w:hAnsi="Arial"/>
          <w:b/>
          <w:bCs/>
          <w:i w:val="false"/>
          <w:iCs w:val="false"/>
          <w:color w:val="2D2D2D"/>
          <w:sz w:val="22"/>
          <w:szCs w:val="22"/>
        </w:rPr>
        <w:t xml:space="preserve">Saturday 04:00–08:00: </w:t>
      </w:r>
      <w:r>
        <w:rPr>
          <w:rFonts w:ascii="Arial" w:cs="Arial" w:eastAsia="Arial" w:hAnsi="Arial"/>
          <w:b w:val="false"/>
          <w:bCs w:val="false"/>
          <w:i w:val="false"/>
          <w:iCs w:val="false"/>
          <w:color w:val="2D2D2D"/>
          <w:sz w:val="22"/>
          <w:szCs w:val="22"/>
        </w:rPr>
        <w:t xml:space="preserve">Minimal—no commuters, no school run, limited flights. Some airport demand from leisure travellers on early departures. Organic demand begins ~08:00 with errands and shopping. Working Saturday is viable but discounted (~30% lower 04–08 earning rate vs weekdays).</w:t>
      </w:r>
    </w:p>
    <w:p>
      <w:pPr>
        <w:spacing w:before="120" w:after="120" w:line="276"/>
        <w:jc w:val="left"/>
      </w:pPr>
      <w:r>
        <w:rPr>
          <w:rFonts w:ascii="Arial" w:cs="Arial" w:eastAsia="Arial" w:hAnsi="Arial"/>
          <w:b/>
          <w:bCs/>
          <w:i w:val="false"/>
          <w:iCs w:val="false"/>
          <w:color w:val="2D2D2D"/>
          <w:sz w:val="22"/>
          <w:szCs w:val="22"/>
        </w:rPr>
        <w:t xml:space="preserve">Sunday 04:00–08:00: </w:t>
      </w:r>
      <w:r>
        <w:rPr>
          <w:rFonts w:ascii="Arial" w:cs="Arial" w:eastAsia="Arial" w:hAnsi="Arial"/>
          <w:b w:val="false"/>
          <w:bCs w:val="false"/>
          <w:i w:val="false"/>
          <w:iCs w:val="false"/>
          <w:color w:val="2D2D2D"/>
          <w:sz w:val="22"/>
          <w:szCs w:val="22"/>
        </w:rPr>
        <w:t xml:space="preserve">Structurally dead—the lowest demand slot of the entire week. No commuters, no school, minimal flights, late risers. A driver starting at 04:00 on Sunday faces 60–90 minutes of dead time before any trip materialises. Demand begins to build only after 10:00 with leisure and family outings. The 04:00–08:00 block is effectively zero-revenue time that depresses the entire day’s CNHR.</w:t>
      </w:r>
    </w:p>
    <w:p>
      <w:r>
        <w:br w:type="page"/>
      </w:r>
    </w:p>
    <w:p>
      <w:pPr>
        <w:pStyle w:val="Heading1"/>
        <w:spacing w:before="360" w:after="120"/>
      </w:pPr>
      <w:r>
        <w:rPr>
          <w:rFonts w:ascii="Arial" w:cs="Arial" w:eastAsia="Arial" w:hAnsi="Arial"/>
          <w:b/>
          <w:bCs/>
          <w:i w:val="false"/>
          <w:iCs w:val="false"/>
          <w:color w:val="1F4E79"/>
          <w:sz w:val="32"/>
          <w:szCs w:val="32"/>
        </w:rPr>
        <w:t xml:space="preserve">7. Monitoring System</w:t>
      </w:r>
    </w:p>
    <w:p>
      <w:pPr>
        <w:pStyle w:val="Heading2"/>
        <w:spacing w:before="240" w:after="120"/>
      </w:pPr>
      <w:r>
        <w:rPr>
          <w:rFonts w:ascii="Arial" w:cs="Arial" w:eastAsia="Arial" w:hAnsi="Arial"/>
          <w:b/>
          <w:bCs/>
          <w:i w:val="false"/>
          <w:iCs w:val="false"/>
          <w:color w:val="1F4E79"/>
          <w:sz w:val="26"/>
          <w:szCs w:val="26"/>
        </w:rPr>
        <w:t xml:space="preserve">7.1 The Single Number</w:t>
      </w:r>
    </w:p>
    <w:p>
      <w:pPr>
        <w:spacing w:before="120" w:after="120" w:line="276"/>
        <w:jc w:val="left"/>
      </w:pPr>
      <w:r>
        <w:rPr>
          <w:rFonts w:ascii="Arial" w:cs="Arial" w:eastAsia="Arial" w:hAnsi="Arial"/>
          <w:b w:val="false"/>
          <w:bCs w:val="false"/>
          <w:i w:val="false"/>
          <w:iCs w:val="false"/>
          <w:color w:val="2D2D2D"/>
          <w:sz w:val="22"/>
          <w:szCs w:val="22"/>
        </w:rPr>
        <w:t xml:space="preserve">The monitoring target is: </w:t>
      </w:r>
      <w:r>
        <w:rPr>
          <w:rFonts w:ascii="Arial" w:cs="Arial" w:eastAsia="Arial" w:hAnsi="Arial"/>
          <w:b/>
          <w:bCs/>
          <w:i w:val="false"/>
          <w:iCs w:val="false"/>
          <w:color w:val="2D2D2D"/>
          <w:sz w:val="22"/>
          <w:szCs w:val="22"/>
        </w:rPr>
        <w:t xml:space="preserve">£192 per working day.</w:t>
      </w:r>
      <w:r>
        <w:rPr>
          <w:rFonts w:ascii="Arial" w:cs="Arial" w:eastAsia="Arial" w:hAnsi="Arial"/>
          <w:b w:val="false"/>
          <w:bCs w:val="false"/>
          <w:i w:val="false"/>
          <w:iCs w:val="false"/>
          <w:color w:val="2D2D2D"/>
          <w:sz w:val="22"/>
          <w:szCs w:val="22"/>
        </w:rPr>
        <w:t xml:space="preserve"> This is the NLW compliance floor, not the expected outcome. At the day model’s expected ρ of £33.69/hr, daily earnings are £231—providing £39/day of headroom above the floor.</w:t>
      </w:r>
    </w:p>
    <w:p>
      <w:pPr>
        <w:pStyle w:val="Heading2"/>
        <w:spacing w:before="240" w:after="120"/>
      </w:pPr>
      <w:r>
        <w:rPr>
          <w:rFonts w:ascii="Arial" w:cs="Arial" w:eastAsia="Arial" w:hAnsi="Arial"/>
          <w:b/>
          <w:bCs/>
          <w:i w:val="false"/>
          <w:iCs w:val="false"/>
          <w:color w:val="1F4E79"/>
          <w:sz w:val="26"/>
          <w:szCs w:val="26"/>
        </w:rPr>
        <w:t xml:space="preserve">7.2 Why a Linear Target</w:t>
      </w:r>
    </w:p>
    <w:p>
      <w:pPr>
        <w:spacing w:before="120" w:after="120" w:line="276"/>
        <w:jc w:val="left"/>
      </w:pPr>
      <w:r>
        <w:rPr>
          <w:rFonts w:ascii="Arial" w:cs="Arial" w:eastAsia="Arial" w:hAnsi="Arial"/>
          <w:b w:val="false"/>
          <w:bCs w:val="false"/>
          <w:i w:val="false"/>
          <w:iCs w:val="false"/>
          <w:color w:val="2D2D2D"/>
          <w:sz w:val="22"/>
          <w:szCs w:val="22"/>
        </w:rPr>
        <w:t xml:space="preserve">Three monitoring approaches were tested against all 13 weeks of historical data and rejected before arriving at the linear daily target:</w:t>
      </w:r>
    </w:p>
    <w:p>
      <w:pPr>
        <w:spacing w:before="120" w:after="120" w:line="276"/>
        <w:jc w:val="left"/>
      </w:pPr>
      <w:r>
        <w:rPr>
          <w:rFonts w:ascii="Arial" w:cs="Arial" w:eastAsia="Arial" w:hAnsi="Arial"/>
          <w:b/>
          <w:bCs/>
          <w:i w:val="false"/>
          <w:iCs w:val="false"/>
          <w:color w:val="2D2D2D"/>
          <w:sz w:val="22"/>
          <w:szCs w:val="22"/>
        </w:rPr>
        <w:t xml:space="preserve">Real-time CNHR thresholds fail </w:t>
      </w:r>
      <w:r>
        <w:rPr>
          <w:rFonts w:ascii="Arial" w:cs="Arial" w:eastAsia="Arial" w:hAnsi="Arial"/>
          <w:b w:val="false"/>
          <w:bCs w:val="false"/>
          <w:i w:val="false"/>
          <w:iCs w:val="false"/>
          <w:color w:val="2D2D2D"/>
          <w:sz w:val="22"/>
          <w:szCs w:val="22"/>
        </w:rPr>
        <w:t xml:space="preserve">because CNHR is always below NLW for the first 3–4 days of every week. This is not a signal of distress—it is the mathematical consequence of recovering £430 in fixed costs from zero. A threshold-based system would trigger false alarms on every week, without exception.</w:t>
      </w:r>
    </w:p>
    <w:p>
      <w:pPr>
        <w:spacing w:before="120" w:after="120" w:line="276"/>
        <w:jc w:val="left"/>
      </w:pPr>
      <w:r>
        <w:rPr>
          <w:rFonts w:ascii="Arial" w:cs="Arial" w:eastAsia="Arial" w:hAnsi="Arial"/>
          <w:b/>
          <w:bCs/>
          <w:i w:val="false"/>
          <w:iCs w:val="false"/>
          <w:color w:val="2D2D2D"/>
          <w:sz w:val="22"/>
          <w:szCs w:val="22"/>
        </w:rPr>
        <w:t xml:space="preserve">Slope projection fails </w:t>
      </w:r>
      <w:r>
        <w:rPr>
          <w:rFonts w:ascii="Arial" w:cs="Arial" w:eastAsia="Arial" w:hAnsi="Arial"/>
          <w:b w:val="false"/>
          <w:bCs w:val="false"/>
          <w:i w:val="false"/>
          <w:iCs w:val="false"/>
          <w:color w:val="2D2D2D"/>
          <w:sz w:val="22"/>
          <w:szCs w:val="22"/>
        </w:rPr>
        <w:t xml:space="preserve">because df/ds is proportional to 1/s (see Section 10.2). The slope at hour 5 is +324. At hour 20 it is +2.4. At hour 50 it is +0.2. Linear extrapolation of a decelerating function overshoots by three orders of magnitude in the early phase and converges only when it is too late to be useful.</w:t>
      </w:r>
    </w:p>
    <w:p>
      <w:pPr>
        <w:spacing w:before="120" w:after="120" w:line="276"/>
        <w:jc w:val="left"/>
      </w:pPr>
      <w:r>
        <w:rPr>
          <w:rFonts w:ascii="Arial" w:cs="Arial" w:eastAsia="Arial" w:hAnsi="Arial"/>
          <w:b/>
          <w:bCs/>
          <w:i w:val="false"/>
          <w:iCs w:val="false"/>
          <w:color w:val="2D2D2D"/>
          <w:sz w:val="22"/>
          <w:szCs w:val="22"/>
        </w:rPr>
        <w:t xml:space="preserve">Trip rate (ρ) extrapolation fails </w:t>
      </w:r>
      <w:r>
        <w:rPr>
          <w:rFonts w:ascii="Arial" w:cs="Arial" w:eastAsia="Arial" w:hAnsi="Arial"/>
          <w:b w:val="false"/>
          <w:bCs w:val="false"/>
          <w:i w:val="false"/>
          <w:iCs w:val="false"/>
          <w:color w:val="2D2D2D"/>
          <w:sz w:val="22"/>
          <w:szCs w:val="22"/>
        </w:rPr>
        <w:t xml:space="preserve">because ρ has a within-week profile shaped by variable shift lengths in the historical data. Under a fixed 10h shift, this variability is eliminated, and daily earnings become approximately linear.</w:t>
      </w:r>
    </w:p>
    <w:p>
      <w:pPr>
        <w:spacing w:before="120" w:after="120" w:line="276"/>
        <w:jc w:val="left"/>
      </w:pPr>
      <w:r>
        <w:rPr>
          <w:rFonts w:ascii="Arial" w:cs="Arial" w:eastAsia="Arial" w:hAnsi="Arial"/>
          <w:b/>
          <w:bCs/>
          <w:i w:val="false"/>
          <w:iCs w:val="false"/>
          <w:color w:val="2D2D2D"/>
          <w:sz w:val="22"/>
          <w:szCs w:val="22"/>
        </w:rPr>
        <w:t xml:space="preserve">The linear target survives because it asks the simplest possible question: </w:t>
      </w:r>
      <w:r>
        <w:rPr>
          <w:rFonts w:ascii="Arial" w:cs="Arial" w:eastAsia="Arial" w:hAnsi="Arial"/>
          <w:b w:val="false"/>
          <w:bCs w:val="false"/>
          <w:i w:val="false"/>
          <w:iCs w:val="false"/>
          <w:color w:val="2D2D2D"/>
          <w:sz w:val="22"/>
          <w:szCs w:val="22"/>
        </w:rPr>
        <w:t xml:space="preserve">“at my current pace, will I reach £958 by the end of the week?” With fixed 10-hour shifts, the answer scales linearly: £192 per day, cumulated. This requires no computation on shift—just a comparison of two numbers. The analytical justification for this simplicity is in Section 10.6.</w:t>
      </w:r>
    </w:p>
    <w:p>
      <w:pPr>
        <w:pStyle w:val="Heading2"/>
        <w:spacing w:before="240" w:after="120"/>
      </w:pPr>
      <w:r>
        <w:rPr>
          <w:rFonts w:ascii="Arial" w:cs="Arial" w:eastAsia="Arial" w:hAnsi="Arial"/>
          <w:b/>
          <w:bCs/>
          <w:i w:val="false"/>
          <w:iCs w:val="false"/>
          <w:color w:val="1F4E79"/>
          <w:sz w:val="26"/>
          <w:szCs w:val="26"/>
        </w:rPr>
        <w:t xml:space="preserve">7.3 Operational Protocol</w:t>
      </w:r>
    </w:p>
    <w:p>
      <w:pPr>
        <w:spacing w:before="120" w:after="120" w:line="276"/>
        <w:jc w:val="left"/>
      </w:pPr>
      <w:r>
        <w:rPr>
          <w:rFonts w:ascii="Arial" w:cs="Arial" w:eastAsia="Arial" w:hAnsi="Arial"/>
          <w:b w:val="false"/>
          <w:bCs w:val="false"/>
          <w:i w:val="false"/>
          <w:iCs w:val="false"/>
          <w:color w:val="2D2D2D"/>
          <w:sz w:val="22"/>
          <w:szCs w:val="22"/>
        </w:rPr>
        <w:t xml:space="preserve">At the end of each shift, compute: total earnings this week ÷ days worked. Compare against £192.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4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After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Cumulative Target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If Below</w:t>
            </w:r>
          </w:p>
        </w:tc>
        <w:tc>
          <w:tcPr>
            <w:tcW w:type="dxa" w:w="2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If Above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Day 1 (10h)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£192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Note. Early signal only.</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On track.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Day 2 (20h)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£384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Trend forming. No action yet.</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On track.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Day 3 (30h)</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£576</w:t>
            </w:r>
          </w:p>
        </w:tc>
        <w:tc>
          <w:tcPr>
            <w:tcW w:type="dxa" w:w="2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DECISION: flag rest day sacrifice.</w:t>
            </w:r>
          </w:p>
        </w:tc>
        <w:tc>
          <w:tcPr>
            <w:tcW w:type="dxa" w:w="242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Rest days protected.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Day 4 (40h)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£768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Confirm sacrifice if still below.</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On track.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Day 5 (50h)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£958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Record. Assess fortnight position.</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NLW compliant.</w:t>
            </w:r>
          </w:p>
        </w:tc>
      </w:tr>
    </w:tbl>
    <w:p>
      <w:pPr>
        <w:pStyle w:val="Heading2"/>
        <w:spacing w:before="240" w:after="120"/>
      </w:pPr>
      <w:r>
        <w:rPr>
          <w:rFonts w:ascii="Arial" w:cs="Arial" w:eastAsia="Arial" w:hAnsi="Arial"/>
          <w:b/>
          <w:bCs/>
          <w:i w:val="false"/>
          <w:iCs w:val="false"/>
          <w:color w:val="1F4E79"/>
          <w:sz w:val="26"/>
          <w:szCs w:val="26"/>
        </w:rPr>
        <w:t xml:space="preserve">7.4 Rest Day Sacrifice Rule</w:t>
      </w:r>
    </w:p>
    <w:p>
      <w:pPr>
        <w:spacing w:before="120" w:after="120" w:line="276"/>
        <w:ind w:left="360"/>
        <w:jc w:val="left"/>
      </w:pPr>
      <w:r>
        <w:rPr>
          <w:rFonts w:ascii="Arial" w:cs="Arial" w:eastAsia="Arial" w:hAnsi="Arial"/>
          <w:b/>
          <w:bCs/>
          <w:i w:val="false"/>
          <w:iCs w:val="false"/>
          <w:color w:val="2D2D2D"/>
          <w:sz w:val="22"/>
          <w:szCs w:val="22"/>
        </w:rPr>
        <w:t xml:space="preserve">1. Maximum one sacrifice per fortnight.</w:t>
      </w:r>
    </w:p>
    <w:p>
      <w:pPr>
        <w:spacing w:before="120" w:after="120" w:line="276"/>
        <w:ind w:left="360"/>
        <w:jc w:val="left"/>
      </w:pPr>
      <w:r>
        <w:rPr>
          <w:rFonts w:ascii="Arial" w:cs="Arial" w:eastAsia="Arial" w:hAnsi="Arial"/>
          <w:b w:val="false"/>
          <w:bCs w:val="false"/>
          <w:i w:val="false"/>
          <w:iCs w:val="false"/>
          <w:color w:val="2D2D2D"/>
          <w:sz w:val="22"/>
          <w:szCs w:val="22"/>
        </w:rPr>
        <w:t xml:space="preserve">2. When triggered, the sacrificed day is always Wednesday (the weaker rest day, structural score 11/20). Sunday rest is never sacrificed—it recovers the structurally dead morning and preserves the partial weekend.</w:t>
      </w:r>
    </w:p>
    <w:p>
      <w:pPr>
        <w:spacing w:before="120" w:after="120" w:line="276"/>
        <w:ind w:left="360"/>
        <w:jc w:val="left"/>
      </w:pPr>
      <w:r>
        <w:rPr>
          <w:rFonts w:ascii="Arial" w:cs="Arial" w:eastAsia="Arial" w:hAnsi="Arial"/>
          <w:b w:val="false"/>
          <w:bCs w:val="false"/>
          <w:i w:val="false"/>
          <w:iCs w:val="false"/>
          <w:color w:val="2D2D2D"/>
          <w:sz w:val="22"/>
          <w:szCs w:val="22"/>
        </w:rPr>
        <w:t xml:space="preserve">3. The sacrifice converts Wednesday into a standard 04:00–14:00 shift.</w:t>
      </w:r>
    </w:p>
    <w:p>
      <w:pPr>
        <w:spacing w:before="120" w:after="120" w:line="276"/>
        <w:ind w:left="360"/>
        <w:jc w:val="left"/>
      </w:pPr>
      <w:r>
        <w:rPr>
          <w:rFonts w:ascii="Arial" w:cs="Arial" w:eastAsia="Arial" w:hAnsi="Arial"/>
          <w:b w:val="false"/>
          <w:bCs w:val="false"/>
          <w:i w:val="false"/>
          <w:iCs w:val="false"/>
          <w:color w:val="2D2D2D"/>
          <w:sz w:val="22"/>
          <w:szCs w:val="22"/>
        </w:rPr>
        <w:t xml:space="preserve">4. The decision is made once, at the Day 3 checkpoint. Not revisited.</w:t>
      </w:r>
    </w:p>
    <w:p>
      <w:r>
        <w:br w:type="page"/>
      </w:r>
    </w:p>
    <w:p>
      <w:pPr>
        <w:pStyle w:val="Heading1"/>
        <w:spacing w:before="360" w:after="120"/>
      </w:pPr>
      <w:r>
        <w:rPr>
          <w:rFonts w:ascii="Arial" w:cs="Arial" w:eastAsia="Arial" w:hAnsi="Arial"/>
          <w:b/>
          <w:bCs/>
          <w:i w:val="false"/>
          <w:iCs w:val="false"/>
          <w:color w:val="1F4E79"/>
          <w:sz w:val="32"/>
          <w:szCs w:val="32"/>
        </w:rPr>
        <w:t xml:space="preserve">8. Financial Model</w:t>
      </w:r>
    </w:p>
    <w:p>
      <w:pPr>
        <w:pStyle w:val="Heading2"/>
        <w:spacing w:before="240" w:after="120"/>
      </w:pPr>
      <w:r>
        <w:rPr>
          <w:rFonts w:ascii="Arial" w:cs="Arial" w:eastAsia="Arial" w:hAnsi="Arial"/>
          <w:b/>
          <w:bCs/>
          <w:i w:val="false"/>
          <w:iCs w:val="false"/>
          <w:color w:val="1F4E79"/>
          <w:sz w:val="26"/>
          <w:szCs w:val="26"/>
        </w:rPr>
        <w:t xml:space="preserve">8.1 Cost Decomposition</w:t>
      </w:r>
    </w:p>
    <w:p>
      <w:pPr>
        <w:spacing w:before="120" w:after="120" w:line="276"/>
        <w:jc w:val="left"/>
      </w:pPr>
      <w:r>
        <w:rPr>
          <w:rFonts w:ascii="Arial" w:cs="Arial" w:eastAsia="Arial" w:hAnsi="Arial"/>
          <w:b w:val="false"/>
          <w:bCs w:val="false"/>
          <w:i w:val="false"/>
          <w:iCs w:val="false"/>
          <w:color w:val="2D2D2D"/>
          <w:sz w:val="22"/>
          <w:szCs w:val="22"/>
        </w:rPr>
        <w:t xml:space="preserve">Total weekly cost is £430 (working week) or £220 (off week). The £220 baseline runs every week regardless of driving; the £210 increment covers variable costs of operating. These decompose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1700"/>
        <w:gridCol w:w="1826"/>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Cost Item</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Per Week</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Per Month</w:t>
            </w:r>
          </w:p>
        </w:tc>
        <w:tc>
          <w:tcPr>
            <w:tcW w:type="dxa" w:w="1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 of Gross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Fixed vehicle (insurance, finance, phone, road tax, MOT, PCO)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£220.00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£953</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28.3%</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Variable non-charging (tyres, maintenance, cleaning, etc.)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£165.84 *</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£484</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14.4%</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Charging (e-Niro 20→80%, 38.4 kWh × £0.23/kWh)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£44.16 *</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£129</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3.8%</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TOTAL</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£430 / £220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£1,566</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46.5%</w:t>
            </w:r>
          </w:p>
        </w:tc>
      </w:tr>
    </w:tbl>
    <w:p>
      <w:pPr>
        <w:spacing w:before="120" w:after="120" w:line="276"/>
        <w:jc w:val="left"/>
      </w:pPr>
      <w:r>
        <w:rPr>
          <w:rFonts w:ascii="Arial" w:cs="Arial" w:eastAsia="Arial" w:hAnsi="Arial"/>
          <w:b w:val="false"/>
          <w:bCs w:val="false"/>
          <w:i w:val="false"/>
          <w:iCs w:val="false"/>
          <w:color w:val="2D2D2D"/>
          <w:sz w:val="22"/>
          <w:szCs w:val="22"/>
        </w:rPr>
        <w:t xml:space="preserve">* Working weeks only. Fixed cost of £220 runs during off weeks.</w:t>
      </w:r>
      <w:r>
        <w:rPr>
          <w:rFonts w:ascii="Arial" w:cs="Arial" w:eastAsia="Arial" w:hAnsi="Arial"/>
          <w:b w:val="false"/>
          <w:bCs w:val="false"/>
          <w:i/>
          <w:iCs/>
          <w:color w:val="2D2D2D"/>
          <w:sz w:val="22"/>
          <w:szCs w:val="22"/>
        </w:rPr>
        <w:t xml:space="preserve"> Monthly figures use 2:1 cycle averages: 2.92 working weeks, 1.42 off weeks per month.</w:t>
      </w:r>
    </w:p>
    <w:p>
      <w:pPr>
        <w:spacing w:before="120" w:after="120" w:line="276"/>
        <w:jc w:val="left"/>
      </w:pPr>
      <w:r>
        <w:rPr>
          <w:rFonts w:ascii="Arial" w:cs="Arial" w:eastAsia="Arial" w:hAnsi="Arial"/>
          <w:b/>
          <w:bCs/>
          <w:i w:val="false"/>
          <w:iCs w:val="false"/>
          <w:color w:val="2D2D2D"/>
          <w:sz w:val="22"/>
          <w:szCs w:val="22"/>
        </w:rPr>
        <w:t xml:space="preserve">For every £1 earned, £0.54 is retained as net profit. </w:t>
      </w:r>
      <w:r>
        <w:rPr>
          <w:rFonts w:ascii="Arial" w:cs="Arial" w:eastAsia="Arial" w:hAnsi="Arial"/>
          <w:b w:val="false"/>
          <w:bCs w:val="false"/>
          <w:i w:val="false"/>
          <w:iCs w:val="false"/>
          <w:color w:val="2D2D2D"/>
          <w:sz w:val="22"/>
          <w:szCs w:val="22"/>
        </w:rPr>
        <w:t xml:space="preserve">The fixed vehicle cost (£953/month) accounts for 28% of gross earnings and runs whether the vehicle is driven or not. Charging is the smallest cost component at 3.8%—confirming that off-peak discipline matters but is not the primary lever. The dominant cost is the vehicle itself.</w:t>
      </w:r>
    </w:p>
    <w:p>
      <w:pPr>
        <w:pStyle w:val="Heading2"/>
        <w:spacing w:before="240" w:after="120"/>
      </w:pPr>
      <w:r>
        <w:rPr>
          <w:rFonts w:ascii="Arial" w:cs="Arial" w:eastAsia="Arial" w:hAnsi="Arial"/>
          <w:b/>
          <w:bCs/>
          <w:i w:val="false"/>
          <w:iCs w:val="false"/>
          <w:color w:val="1F4E79"/>
          <w:sz w:val="26"/>
          <w:szCs w:val="26"/>
        </w:rPr>
        <w:t xml:space="preserve">8.2 Charging Economics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1600"/>
        <w:gridCol w:w="172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Charging Rate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Per Day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Per Month</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Net Profit</w:t>
            </w:r>
          </w:p>
        </w:tc>
        <w:tc>
          <w:tcPr>
            <w:tcW w:type="dxa" w:w="17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Impact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£0.23/kWh (Tier 1 off-peak)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£8.83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£129</w:t>
            </w:r>
          </w:p>
        </w:tc>
        <w:tc>
          <w:tcPr>
            <w:tcW w:type="dxa" w:w="1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£1,803</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Model rate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£0.25/kWh (Tier 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£9.60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£140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£1,792</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−11/mo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£0.30/kWh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£11.52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£168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£1,764</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−39/mo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£0.40/kWh (peak 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£15.36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£224</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£1,708</w:t>
            </w:r>
          </w:p>
        </w:tc>
        <w:tc>
          <w:tcPr>
            <w:tcW w:type="dxa" w:w="17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−95/mo</w:t>
            </w:r>
          </w:p>
        </w:tc>
      </w:tr>
    </w:tbl>
    <w:p>
      <w:pPr>
        <w:spacing w:before="120" w:after="120" w:line="276"/>
        <w:jc w:val="left"/>
      </w:pPr>
      <w:r>
        <w:rPr>
          <w:rFonts w:ascii="Arial" w:cs="Arial" w:eastAsia="Arial" w:hAnsi="Arial"/>
          <w:b w:val="false"/>
          <w:bCs w:val="false"/>
          <w:i w:val="false"/>
          <w:iCs w:val="false"/>
          <w:color w:val="2D2D2D"/>
          <w:sz w:val="22"/>
          <w:szCs w:val="22"/>
        </w:rPr>
        <w:t xml:space="preserve">The peak-to-off-peak differential is £95/month (£1,142/year). The 04:00–14:00 shift window supports off-peak charging: the vehicle returns home by ~14:30 and can charge overnight at Tier 1 rates (23:00–09:00). This is a structural advantage of the day model—no mid-shift charging decisions required.</w:t>
      </w:r>
    </w:p>
    <w:p>
      <w:pPr>
        <w:pStyle w:val="Heading2"/>
        <w:spacing w:before="240" w:after="120"/>
      </w:pPr>
      <w:r>
        <w:rPr>
          <w:rFonts w:ascii="Arial" w:cs="Arial" w:eastAsia="Arial" w:hAnsi="Arial"/>
          <w:b/>
          <w:bCs/>
          <w:i w:val="false"/>
          <w:iCs w:val="false"/>
          <w:color w:val="1F4E79"/>
          <w:sz w:val="26"/>
          <w:szCs w:val="26"/>
        </w:rPr>
        <w:t xml:space="preserve">8.3 Gross and Net Earnings</w:t>
      </w:r>
    </w:p>
    <w:p>
      <w:pPr>
        <w:spacing w:before="120" w:after="120" w:line="276"/>
        <w:jc w:val="left"/>
      </w:pPr>
      <w:r>
        <w:rPr>
          <w:rFonts w:ascii="Arial" w:cs="Arial" w:eastAsia="Arial" w:hAnsi="Arial"/>
          <w:b w:val="false"/>
          <w:bCs w:val="false"/>
          <w:i w:val="false"/>
          <w:iCs w:val="false"/>
          <w:color w:val="2D2D2D"/>
          <w:sz w:val="22"/>
          <w:szCs w:val="22"/>
        </w:rPr>
        <w:t xml:space="preserve">Monthly earnings at the minimum (£192/day) and expected (£231/day)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
            </w:r>
          </w:p>
        </w:tc>
        <w:tc>
          <w:tcPr>
            <w:tcW w:type="dxa" w:w="276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Minimum (£192/day)</w:t>
            </w:r>
          </w:p>
        </w:tc>
        <w:tc>
          <w:tcPr>
            <w:tcW w:type="dxa" w:w="276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Expected (£231/day)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Working days per month</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14.6</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14.6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GROSS EARNINGS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£2,800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£3,369</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Less vehicle cost</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−£1,437</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−£1,437</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Less charging cost</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−£129</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−£129</w:t>
            </w:r>
          </w:p>
        </w:tc>
      </w:tr>
      <w:tr>
        <w:tc>
          <w:tcPr>
            <w:tcW w:type="dxa" w:w="3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NET PROFIT</w:t>
            </w:r>
          </w:p>
        </w:tc>
        <w:tc>
          <w:tcPr>
            <w:tcW w:type="dxa" w:w="2763"/>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£1,234</w:t>
            </w:r>
          </w:p>
        </w:tc>
        <w:tc>
          <w:tcPr>
            <w:tcW w:type="dxa" w:w="2763"/>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£1,803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Net per day worked</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£85</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£124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Net per shift hour</w:t>
            </w:r>
          </w:p>
        </w:tc>
        <w:tc>
          <w:tcPr>
            <w:tcW w:type="dxa" w:w="2763"/>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£8.46</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£12.36</w:t>
            </w:r>
          </w:p>
        </w:tc>
      </w:tr>
    </w:tbl>
    <w:p>
      <w:pPr>
        <w:spacing w:before="120" w:after="120" w:line="276"/>
        <w:jc w:val="left"/>
      </w:pPr>
      <w:r>
        <w:rPr>
          <w:rFonts w:ascii="Arial" w:cs="Arial" w:eastAsia="Arial" w:hAnsi="Arial"/>
          <w:b/>
          <w:bCs/>
          <w:i w:val="false"/>
          <w:iCs w:val="false"/>
          <w:color w:val="2D2D2D"/>
          <w:sz w:val="22"/>
          <w:szCs w:val="22"/>
        </w:rPr>
        <w:t xml:space="preserve">At the minimum floor, net hourly rate is £8.46/shift hour. </w:t>
      </w:r>
      <w:r>
        <w:rPr>
          <w:rFonts w:ascii="Arial" w:cs="Arial" w:eastAsia="Arial" w:hAnsi="Arial"/>
          <w:b w:val="false"/>
          <w:bCs w:val="false"/>
          <w:i w:val="false"/>
          <w:iCs w:val="false"/>
          <w:color w:val="2D2D2D"/>
          <w:sz w:val="22"/>
          <w:szCs w:val="22"/>
        </w:rPr>
        <w:t xml:space="preserve">This is the rate at which the driver is actually compensated for time spent working, after all costs. The gap between the £192 floor and the £231 expected level represents £569/month of safety margin—the buffer that absorbs demand variation without breaching NLW compliance.</w:t>
      </w:r>
    </w:p>
    <w:p>
      <w:pPr>
        <w:pStyle w:val="Heading2"/>
        <w:spacing w:before="240" w:after="120"/>
      </w:pPr>
      <w:r>
        <w:rPr>
          <w:rFonts w:ascii="Arial" w:cs="Arial" w:eastAsia="Arial" w:hAnsi="Arial"/>
          <w:b/>
          <w:bCs/>
          <w:i w:val="false"/>
          <w:iCs w:val="false"/>
          <w:color w:val="1F4E79"/>
          <w:sz w:val="26"/>
          <w:szCs w:val="26"/>
        </w:rPr>
        <w:t xml:space="preserve">8.4 Weekly Cash Flow Cycle</w:t>
      </w:r>
    </w:p>
    <w:p>
      <w:pPr>
        <w:spacing w:before="120" w:after="120" w:line="276"/>
        <w:jc w:val="left"/>
      </w:pPr>
      <w:r>
        <w:rPr>
          <w:rFonts w:ascii="Arial" w:cs="Arial" w:eastAsia="Arial" w:hAnsi="Arial"/>
          <w:b w:val="false"/>
          <w:bCs w:val="false"/>
          <w:i w:val="false"/>
          <w:iCs w:val="false"/>
          <w:color w:val="2D2D2D"/>
          <w:sz w:val="22"/>
          <w:szCs w:val="22"/>
        </w:rPr>
        <w:t xml:space="preserve">The cash flow follows a repeating three-week 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Week</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Earnings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Cost</w:t>
            </w:r>
          </w:p>
        </w:tc>
        <w:tc>
          <w:tcPr>
            <w:tcW w:type="dxa" w:w="1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Profit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Week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Working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£1,157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£430</w:t>
            </w:r>
          </w:p>
        </w:tc>
        <w:tc>
          <w:tcPr>
            <w:tcW w:type="dxa" w:w="182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+£727</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Week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Working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£1,157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£430</w:t>
            </w:r>
          </w:p>
        </w:tc>
        <w:tc>
          <w:tcPr>
            <w:tcW w:type="dxa" w:w="182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+£727</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Week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Off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£220</w:t>
            </w:r>
          </w:p>
        </w:tc>
        <w:tc>
          <w:tcPr>
            <w:tcW w:type="dxa" w:w="1826"/>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−£220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Cycle total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£2,314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£1,080</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+£1,234</w:t>
            </w:r>
          </w:p>
        </w:tc>
      </w:tr>
    </w:tbl>
    <w:p>
      <w:pPr>
        <w:spacing w:before="120" w:after="120" w:line="276"/>
        <w:jc w:val="left"/>
      </w:pPr>
      <w:r>
        <w:rPr>
          <w:rFonts w:ascii="Arial" w:cs="Arial" w:eastAsia="Arial" w:hAnsi="Arial"/>
          <w:b w:val="false"/>
          <w:bCs w:val="false"/>
          <w:i w:val="false"/>
          <w:iCs w:val="false"/>
          <w:color w:val="2D2D2D"/>
          <w:sz w:val="22"/>
          <w:szCs w:val="22"/>
        </w:rPr>
        <w:t xml:space="preserve">Minimum cash reserve: £660 (three off-week costs). Cash flow is always positive entering the off week, as two working-week surpluses precede each off-week cost.</w:t>
      </w:r>
    </w:p>
    <w:p>
      <w:pPr>
        <w:pStyle w:val="Heading2"/>
        <w:spacing w:before="240" w:after="120"/>
      </w:pPr>
      <w:r>
        <w:rPr>
          <w:rFonts w:ascii="Arial" w:cs="Arial" w:eastAsia="Arial" w:hAnsi="Arial"/>
          <w:b/>
          <w:bCs/>
          <w:i w:val="false"/>
          <w:iCs w:val="false"/>
          <w:color w:val="1F4E79"/>
          <w:sz w:val="26"/>
          <w:szCs w:val="26"/>
        </w:rPr>
        <w:t xml:space="preserve">8.5 Annual Projection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Metric</w:t>
            </w:r>
          </w:p>
        </w:tc>
        <w:tc>
          <w:tcPr>
            <w:tcW w:type="dxa" w:w="4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Value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Annual gross earnings (35 × £1,157)</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£40,495</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Annual vehicle cost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£17,244</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Annual charging cost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£1,546</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Annual total cost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£18,790</w:t>
            </w:r>
          </w:p>
        </w:tc>
      </w:tr>
      <w:tr>
        <w:tc>
          <w:tcPr>
            <w:tcW w:type="dxa" w:w="4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Annual net profit</w:t>
            </w:r>
          </w:p>
        </w:tc>
        <w:tc>
          <w:tcPr>
            <w:tcW w:type="dxa" w:w="452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£21,705</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Monthly net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£1,809</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CNHR (engaged hours)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£16.80/hr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NLW headroom</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£4.59/hr (37.5%)</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Retention rate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53.5p per £1 earned</w:t>
            </w:r>
          </w:p>
        </w:tc>
      </w:tr>
    </w:tbl>
    <w:p>
      <w:r>
        <w:br w:type="page"/>
      </w:r>
    </w:p>
    <w:p>
      <w:pPr>
        <w:pStyle w:val="Heading1"/>
        <w:spacing w:before="360" w:after="120"/>
      </w:pPr>
      <w:r>
        <w:rPr>
          <w:rFonts w:ascii="Arial" w:cs="Arial" w:eastAsia="Arial" w:hAnsi="Arial"/>
          <w:b/>
          <w:bCs/>
          <w:i w:val="false"/>
          <w:iCs w:val="false"/>
          <w:color w:val="1F4E79"/>
          <w:sz w:val="32"/>
          <w:szCs w:val="32"/>
        </w:rPr>
        <w:t xml:space="preserve">9. Time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
            </w:r>
          </w:p>
        </w:tc>
        <w:tc>
          <w:tcPr>
            <w:tcW w:type="dxa" w:w="276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Shift Day</w:t>
            </w:r>
          </w:p>
        </w:tc>
        <w:tc>
          <w:tcPr>
            <w:tcW w:type="dxa" w:w="276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Rest / Off Day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Sleep (20:00–04:00)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8h</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8h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Shift (04:00–14:00)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10h</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Transition (14:00–15:00)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1h</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Study block (15:00–20:00)</w:t>
            </w:r>
          </w:p>
        </w:tc>
        <w:tc>
          <w:tcPr>
            <w:tcW w:type="dxa" w:w="2763"/>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5h</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Full free time (04:00–20:00)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w:t>
            </w:r>
          </w:p>
        </w:tc>
        <w:tc>
          <w:tcPr>
            <w:tcW w:type="dxa" w:w="2763"/>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16h</w:t>
            </w:r>
          </w:p>
        </w:tc>
      </w:tr>
    </w:tbl>
    <w:p>
      <w:pPr>
        <w:spacing w:before="80" w:after="120" w:line="276"/>
        <w:jc w:val="left"/>
      </w:pPr>
    </w:p>
    <w:p>
      <w:pPr>
        <w:pStyle w:val="Heading2"/>
        <w:spacing w:before="240" w:after="120"/>
      </w:pPr>
      <w:r>
        <w:rPr>
          <w:rFonts w:ascii="Arial" w:cs="Arial" w:eastAsia="Arial" w:hAnsi="Arial"/>
          <w:b/>
          <w:bCs/>
          <w:i w:val="false"/>
          <w:iCs w:val="false"/>
          <w:color w:val="1F4E79"/>
          <w:sz w:val="26"/>
          <w:szCs w:val="26"/>
        </w:rPr>
        <w:t xml:space="preserve">9.1 Study Allocation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Source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Hours</w:t>
            </w:r>
          </w:p>
        </w:tc>
        <w:tc>
          <w:tcPr>
            <w:tcW w:type="dxa" w:w="2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Shift day afternoons (5/wk × 5h × 2 wks)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50h</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15:00–20:00, daylight hours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Rest days (2/wk × 8h × 2 wks)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32h</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Full day study blocks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Off week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31.5h</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Per life plan allocation</w:t>
            </w:r>
          </w:p>
        </w:tc>
      </w:tr>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Total per 3-week cycle</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113.5h</w:t>
            </w:r>
          </w:p>
        </w:tc>
        <w:tc>
          <w:tcPr>
            <w:tcW w:type="dxa" w:w="25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37.8h/week average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Annual study hours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1,967h</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164h/month</w:t>
            </w:r>
          </w:p>
        </w:tc>
      </w:tr>
      <w:tr>
        <w:tc>
          <w:tcPr>
            <w:tcW w:type="dxa" w:w="4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2D2D2D"/>
                <w:sz w:val="20"/>
                <w:szCs w:val="20"/>
              </w:rPr>
              <w:t xml:space="preserve">To November 2026 (~8 months)</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1,311h</w:t>
            </w:r>
          </w:p>
        </w:tc>
        <w:tc>
          <w:tcPr>
            <w:tcW w:type="dxa" w:w="252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33 full-time study weeks</w:t>
            </w:r>
          </w:p>
        </w:tc>
      </w:tr>
    </w:tbl>
    <w:p>
      <w:pPr>
        <w:spacing w:before="120" w:after="120" w:line="276"/>
        <w:jc w:val="left"/>
      </w:pPr>
      <w:r>
        <w:rPr>
          <w:rFonts w:ascii="Arial" w:cs="Arial" w:eastAsia="Arial" w:hAnsi="Arial"/>
          <w:b w:val="false"/>
          <w:bCs w:val="false"/>
          <w:i w:val="false"/>
          <w:iCs w:val="false"/>
          <w:color w:val="2D2D2D"/>
          <w:sz w:val="22"/>
          <w:szCs w:val="22"/>
        </w:rPr>
        <w:t xml:space="preserve">Study capacity increases by 50% versus the night model (1,967h vs 1,309h annually). The 5-hour daily afternoon block is the key structural gain—it replaces the 2h fragmented windows that the night model offered on shift days.</w:t>
      </w:r>
    </w:p>
    <w:p>
      <w:r>
        <w:br w:type="page"/>
      </w:r>
    </w:p>
    <w:p>
      <w:pPr>
        <w:pStyle w:val="Heading1"/>
        <w:spacing w:before="360" w:after="120"/>
      </w:pPr>
      <w:r>
        <w:rPr>
          <w:rFonts w:ascii="Arial" w:cs="Arial" w:eastAsia="Arial" w:hAnsi="Arial"/>
          <w:b/>
          <w:bCs/>
          <w:i w:val="false"/>
          <w:iCs w:val="false"/>
          <w:color w:val="1F4E79"/>
          <w:sz w:val="32"/>
          <w:szCs w:val="32"/>
        </w:rPr>
        <w:t xml:space="preserve">10. Mathematical Foundation</w:t>
      </w:r>
    </w:p>
    <w:p>
      <w:pPr>
        <w:spacing w:before="120" w:after="120" w:line="276"/>
        <w:jc w:val="left"/>
      </w:pPr>
      <w:r>
        <w:rPr>
          <w:rFonts w:ascii="Arial" w:cs="Arial" w:eastAsia="Arial" w:hAnsi="Arial"/>
          <w:b w:val="false"/>
          <w:bCs w:val="false"/>
          <w:i w:val="false"/>
          <w:iCs w:val="false"/>
          <w:color w:val="2D2D2D"/>
          <w:sz w:val="22"/>
          <w:szCs w:val="22"/>
        </w:rPr>
        <w:t xml:space="preserve">This section provides the complete mathematical derivation of CNHR dynamics. It is self-contained and does not require reference to prior versions.</w:t>
      </w:r>
    </w:p>
    <w:p>
      <w:pPr>
        <w:pStyle w:val="Heading2"/>
        <w:spacing w:before="240" w:after="120"/>
      </w:pPr>
      <w:r>
        <w:rPr>
          <w:rFonts w:ascii="Arial" w:cs="Arial" w:eastAsia="Arial" w:hAnsi="Arial"/>
          <w:b/>
          <w:bCs/>
          <w:i w:val="false"/>
          <w:iCs w:val="false"/>
          <w:color w:val="1F4E79"/>
          <w:sz w:val="26"/>
          <w:szCs w:val="26"/>
        </w:rPr>
        <w:t xml:space="preserve">10.1 CNHR as a Function of Shift Hours</w:t>
      </w:r>
    </w:p>
    <w:p>
      <w:pPr>
        <w:spacing w:before="120" w:after="120" w:line="276"/>
        <w:jc w:val="left"/>
      </w:pPr>
      <w:r>
        <w:rPr>
          <w:rFonts w:ascii="Arial" w:cs="Arial" w:eastAsia="Arial" w:hAnsi="Arial"/>
          <w:b w:val="false"/>
          <w:bCs w:val="false"/>
          <w:i w:val="false"/>
          <w:iCs w:val="false"/>
          <w:color w:val="2D2D2D"/>
          <w:sz w:val="22"/>
          <w:szCs w:val="22"/>
        </w:rPr>
        <w:t xml:space="preserve">Define f(s) as CNHR(engaged) at shift-hour s. Using the constants from Section 2.4:</w:t>
      </w:r>
    </w:p>
    <w:p>
      <w:pPr>
        <w:spacing w:before="120" w:after="120" w:line="276"/>
        <w:ind w:left="720"/>
        <w:jc w:val="left"/>
      </w:pPr>
      <w:r>
        <w:rPr>
          <w:rFonts w:ascii="Arial" w:cs="Arial" w:eastAsia="Arial" w:hAnsi="Arial"/>
          <w:b w:val="false"/>
          <w:bCs w:val="false"/>
          <w:i w:val="false"/>
          <w:iCs w:val="false"/>
          <w:color w:val="2D2D2D"/>
          <w:sz w:val="22"/>
          <w:szCs w:val="22"/>
        </w:rPr>
        <w:t xml:space="preserve">f(s) = (E(s) − C</w:t>
      </w:r>
      <w:r>
        <w:rPr>
          <w:rFonts w:ascii="Arial" w:cs="Arial" w:eastAsia="Arial" w:hAnsi="Arial"/>
          <w:b w:val="false"/>
          <w:bCs w:val="false"/>
          <w:i w:val="false"/>
          <w:iCs w:val="false"/>
          <w:color w:val="2D2D2D"/>
          <w:sz w:val="18"/>
          <w:szCs w:val="18"/>
        </w:rPr>
        <w:t xml:space="preserve">W</w:t>
      </w:r>
      <w:r>
        <w:rPr>
          <w:rFonts w:ascii="Arial" w:cs="Arial" w:eastAsia="Arial" w:hAnsi="Arial"/>
          <w:b w:val="false"/>
          <w:bCs w:val="false"/>
          <w:i w:val="false"/>
          <w:iCs w:val="false"/>
          <w:color w:val="2D2D2D"/>
          <w:sz w:val="22"/>
          <w:szCs w:val="22"/>
        </w:rPr>
        <w:t xml:space="preserve">) / (k · s)</w:t>
      </w:r>
    </w:p>
    <w:p>
      <w:pPr>
        <w:spacing w:before="120" w:after="120" w:line="276"/>
        <w:jc w:val="left"/>
      </w:pPr>
      <w:r>
        <w:rPr>
          <w:rFonts w:ascii="Arial" w:cs="Arial" w:eastAsia="Arial" w:hAnsi="Arial"/>
          <w:b w:val="false"/>
          <w:bCs w:val="false"/>
          <w:i w:val="false"/>
          <w:iCs w:val="false"/>
          <w:color w:val="2D2D2D"/>
          <w:sz w:val="22"/>
          <w:szCs w:val="22"/>
        </w:rPr>
        <w:t xml:space="preserve">where E(s) is cumulative earnings at shift-hour s, C</w:t>
      </w:r>
      <w:r>
        <w:rPr>
          <w:rFonts w:ascii="Arial" w:cs="Arial" w:eastAsia="Arial" w:hAnsi="Arial"/>
          <w:b w:val="false"/>
          <w:bCs w:val="false"/>
          <w:i w:val="false"/>
          <w:iCs w:val="false"/>
          <w:color w:val="2D2D2D"/>
          <w:sz w:val="18"/>
          <w:szCs w:val="18"/>
        </w:rPr>
        <w:t xml:space="preserve">W</w:t>
      </w:r>
      <w:r>
        <w:rPr>
          <w:rFonts w:ascii="Arial" w:cs="Arial" w:eastAsia="Arial" w:hAnsi="Arial"/>
          <w:b w:val="false"/>
          <w:bCs w:val="false"/>
          <w:i w:val="false"/>
          <w:iCs w:val="false"/>
          <w:color w:val="2D2D2D"/>
          <w:sz w:val="22"/>
          <w:szCs w:val="22"/>
        </w:rPr>
        <w:t xml:space="preserve"> = £430, and k = r × α = 0.687 × 1.26 = 0.866.</w:t>
      </w:r>
    </w:p>
    <w:p>
      <w:pPr>
        <w:spacing w:before="120" w:after="120" w:line="276"/>
        <w:jc w:val="left"/>
      </w:pPr>
      <w:r>
        <w:rPr>
          <w:rFonts w:ascii="Arial" w:cs="Arial" w:eastAsia="Arial" w:hAnsi="Arial"/>
          <w:b w:val="false"/>
          <w:bCs w:val="false"/>
          <w:i w:val="false"/>
          <w:iCs w:val="false"/>
          <w:color w:val="2D2D2D"/>
          <w:sz w:val="22"/>
          <w:szCs w:val="22"/>
        </w:rPr>
        <w:t xml:space="preserve">This is a ratio of net earnings to engaged time. Because the numerator starts negative (−C</w:t>
      </w:r>
      <w:r>
        <w:rPr>
          <w:rFonts w:ascii="Arial" w:cs="Arial" w:eastAsia="Arial" w:hAnsi="Arial"/>
          <w:b w:val="false"/>
          <w:bCs w:val="false"/>
          <w:i w:val="false"/>
          <w:iCs w:val="false"/>
          <w:color w:val="2D2D2D"/>
          <w:sz w:val="18"/>
          <w:szCs w:val="18"/>
        </w:rPr>
        <w:t xml:space="preserve">W</w:t>
      </w:r>
      <w:r>
        <w:rPr>
          <w:rFonts w:ascii="Arial" w:cs="Arial" w:eastAsia="Arial" w:hAnsi="Arial"/>
          <w:b w:val="false"/>
          <w:bCs w:val="false"/>
          <w:i w:val="false"/>
          <w:iCs w:val="false"/>
          <w:color w:val="2D2D2D"/>
          <w:sz w:val="22"/>
          <w:szCs w:val="22"/>
        </w:rPr>
        <w:t xml:space="preserve"> = −£430) and grows linearly with earnings, while the denominator grows linearly with hours, f(s) follows a hyperbolic trajectory: deeply negative at the start of a week, climbing rapidly, then decelerating toward an asymptotic ceiling.</w:t>
      </w:r>
    </w:p>
    <w:p>
      <w:pPr>
        <w:pStyle w:val="Heading2"/>
        <w:spacing w:before="240" w:after="120"/>
      </w:pPr>
      <w:r>
        <w:rPr>
          <w:rFonts w:ascii="Arial" w:cs="Arial" w:eastAsia="Arial" w:hAnsi="Arial"/>
          <w:b/>
          <w:bCs/>
          <w:i w:val="false"/>
          <w:iCs w:val="false"/>
          <w:color w:val="1F4E79"/>
          <w:sz w:val="26"/>
          <w:szCs w:val="26"/>
        </w:rPr>
        <w:t xml:space="preserve">10.2 The CNHR Derivative</w:t>
      </w:r>
    </w:p>
    <w:p>
      <w:pPr>
        <w:spacing w:before="120" w:after="120" w:line="276"/>
        <w:jc w:val="left"/>
      </w:pPr>
      <w:r>
        <w:rPr>
          <w:rFonts w:ascii="Arial" w:cs="Arial" w:eastAsia="Arial" w:hAnsi="Arial"/>
          <w:b w:val="false"/>
          <w:bCs w:val="false"/>
          <w:i w:val="false"/>
          <w:iCs w:val="false"/>
          <w:color w:val="2D2D2D"/>
          <w:sz w:val="22"/>
          <w:szCs w:val="22"/>
        </w:rPr>
        <w:t xml:space="preserve">Differentiating f(s) with respect to shift hours using the quotient rule and simplifying, the rate of change of CNHR per shift hour is:</w:t>
      </w:r>
    </w:p>
    <w:p>
      <w:pPr>
        <w:spacing w:before="120" w:after="120" w:line="276"/>
        <w:ind w:left="720"/>
        <w:jc w:val="left"/>
      </w:pPr>
      <w:r>
        <w:rPr>
          <w:rFonts w:ascii="Arial" w:cs="Arial" w:eastAsia="Arial" w:hAnsi="Arial"/>
          <w:b w:val="false"/>
          <w:bCs w:val="false"/>
          <w:i w:val="false"/>
          <w:iCs w:val="false"/>
          <w:color w:val="2D2D2D"/>
          <w:sz w:val="22"/>
          <w:szCs w:val="22"/>
        </w:rPr>
        <w:t xml:space="preserve">df/ds = (ρ</w:t>
      </w:r>
      <w:r>
        <w:rPr>
          <w:rFonts w:ascii="Arial" w:cs="Arial" w:eastAsia="Arial" w:hAnsi="Arial"/>
          <w:b w:val="false"/>
          <w:bCs w:val="false"/>
          <w:i w:val="false"/>
          <w:iCs w:val="false"/>
          <w:color w:val="2D2D2D"/>
          <w:sz w:val="18"/>
          <w:szCs w:val="18"/>
        </w:rPr>
        <w:t xml:space="preserve">t</w:t>
      </w:r>
      <w:r>
        <w:rPr>
          <w:rFonts w:ascii="Arial" w:cs="Arial" w:eastAsia="Arial" w:hAnsi="Arial"/>
          <w:b/>
          <w:bCs/>
          <w:i w:val="false"/>
          <w:iCs w:val="false"/>
          <w:color w:val="2D2D2D"/>
          <w:sz w:val="22"/>
          <w:szCs w:val="22"/>
        </w:rPr>
        <w:t xml:space="preserve">/α − f(s)) / s</w:t>
      </w:r>
    </w:p>
    <w:p>
      <w:pPr>
        <w:spacing w:before="120" w:after="120" w:line="276"/>
        <w:jc w:val="left"/>
      </w:pPr>
      <w:r>
        <w:rPr>
          <w:rFonts w:ascii="Arial" w:cs="Arial" w:eastAsia="Arial" w:hAnsi="Arial"/>
          <w:b w:val="false"/>
          <w:bCs w:val="false"/>
          <w:i w:val="false"/>
          <w:iCs w:val="false"/>
          <w:color w:val="2D2D2D"/>
          <w:sz w:val="22"/>
          <w:szCs w:val="22"/>
        </w:rPr>
        <w:t xml:space="preserve">where ρ</w:t>
      </w:r>
      <w:r>
        <w:rPr>
          <w:rFonts w:ascii="Arial" w:cs="Arial" w:eastAsia="Arial" w:hAnsi="Arial"/>
          <w:b w:val="false"/>
          <w:bCs w:val="false"/>
          <w:i w:val="false"/>
          <w:iCs w:val="false"/>
          <w:color w:val="2D2D2D"/>
          <w:sz w:val="18"/>
          <w:szCs w:val="18"/>
        </w:rPr>
        <w:t xml:space="preserve">t</w:t>
      </w:r>
      <w:r>
        <w:rPr>
          <w:rFonts w:ascii="Arial" w:cs="Arial" w:eastAsia="Arial" w:hAnsi="Arial"/>
          <w:b w:val="false"/>
          <w:bCs w:val="false"/>
          <w:i w:val="false"/>
          <w:iCs w:val="false"/>
          <w:color w:val="2D2D2D"/>
          <w:sz w:val="22"/>
          <w:szCs w:val="22"/>
        </w:rPr>
        <w:t xml:space="preserve"> is the instantaneous trip earning rate (£ per trip hour). This compact equation governs all CNHR behaviour and reveals three components:</w:t>
      </w:r>
    </w:p>
    <w:p>
      <w:pPr>
        <w:pStyle w:val="Heading2"/>
        <w:spacing w:before="240" w:after="120"/>
      </w:pPr>
      <w:r>
        <w:rPr>
          <w:rFonts w:ascii="Arial" w:cs="Arial" w:eastAsia="Arial" w:hAnsi="Arial"/>
          <w:b/>
          <w:bCs/>
          <w:i w:val="false"/>
          <w:iCs w:val="false"/>
          <w:color w:val="1F4E79"/>
          <w:sz w:val="26"/>
          <w:szCs w:val="26"/>
        </w:rPr>
        <w:t xml:space="preserve">10.3 Three Components</w:t>
      </w:r>
    </w:p>
    <w:p>
      <w:pPr>
        <w:spacing w:before="120" w:after="120" w:line="276"/>
        <w:jc w:val="left"/>
      </w:pPr>
      <w:r>
        <w:rPr>
          <w:rFonts w:ascii="Arial" w:cs="Arial" w:eastAsia="Arial" w:hAnsi="Arial"/>
          <w:b w:val="false"/>
          <w:bCs w:val="false"/>
          <w:i w:val="false"/>
          <w:iCs w:val="false"/>
          <w:color w:val="2D2D2D"/>
          <w:sz w:val="22"/>
          <w:szCs w:val="22"/>
        </w:rPr>
        <w:t xml:space="preserve">The Attractor (ρ</w:t>
      </w:r>
      <w:r>
        <w:rPr>
          <w:rFonts w:ascii="Arial" w:cs="Arial" w:eastAsia="Arial" w:hAnsi="Arial"/>
          <w:b w:val="false"/>
          <w:bCs w:val="false"/>
          <w:i w:val="false"/>
          <w:iCs w:val="false"/>
          <w:color w:val="2D2D2D"/>
          <w:sz w:val="18"/>
          <w:szCs w:val="18"/>
        </w:rPr>
        <w:t xml:space="preserve">t</w:t>
      </w:r>
      <w:r>
        <w:rPr>
          <w:rFonts w:ascii="Arial" w:cs="Arial" w:eastAsia="Arial" w:hAnsi="Arial"/>
          <w:b/>
          <w:bCs/>
          <w:i w:val="false"/>
          <w:iCs w:val="false"/>
          <w:color w:val="2D2D2D"/>
          <w:sz w:val="22"/>
          <w:szCs w:val="22"/>
        </w:rPr>
        <w:t xml:space="preserve">/α). </w:t>
      </w:r>
      <w:r>
        <w:rPr>
          <w:rFonts w:ascii="Arial" w:cs="Arial" w:eastAsia="Arial" w:hAnsi="Arial"/>
          <w:b w:val="false"/>
          <w:bCs w:val="false"/>
          <w:i w:val="false"/>
          <w:iCs w:val="false"/>
          <w:color w:val="2D2D2D"/>
          <w:sz w:val="22"/>
          <w:szCs w:val="22"/>
        </w:rPr>
        <w:t xml:space="preserve">CNHR is always being pulled toward the trip earning rate divided by the engagement multiplier. At the reference ρ</w:t>
      </w:r>
      <w:r>
        <w:rPr>
          <w:rFonts w:ascii="Arial" w:cs="Arial" w:eastAsia="Arial" w:hAnsi="Arial"/>
          <w:b w:val="false"/>
          <w:bCs w:val="false"/>
          <w:i w:val="false"/>
          <w:iCs w:val="false"/>
          <w:color w:val="2D2D2D"/>
          <w:sz w:val="18"/>
          <w:szCs w:val="18"/>
        </w:rPr>
        <w:t xml:space="preserve">t</w:t>
      </w:r>
      <w:r>
        <w:rPr>
          <w:rFonts w:ascii="Arial" w:cs="Arial" w:eastAsia="Arial" w:hAnsi="Arial"/>
          <w:b w:val="false"/>
          <w:bCs w:val="false"/>
          <w:i w:val="false"/>
          <w:iCs w:val="false"/>
          <w:color w:val="2D2D2D"/>
          <w:sz w:val="22"/>
          <w:szCs w:val="22"/>
        </w:rPr>
        <w:t xml:space="preserve"> = £32.28/hr, the attractor is £25.62/hr. If f(s) is below the attractor, df/ds is positive (CNHR rises). If above, it falls. At equilibrium, f(s) = ρ</w:t>
      </w:r>
      <w:r>
        <w:rPr>
          <w:rFonts w:ascii="Arial" w:cs="Arial" w:eastAsia="Arial" w:hAnsi="Arial"/>
          <w:b w:val="false"/>
          <w:bCs w:val="false"/>
          <w:i w:val="false"/>
          <w:iCs w:val="false"/>
          <w:color w:val="2D2D2D"/>
          <w:sz w:val="18"/>
          <w:szCs w:val="18"/>
        </w:rPr>
        <w:t xml:space="preserve">t</w:t>
      </w:r>
      <w:r>
        <w:rPr>
          <w:rFonts w:ascii="Arial" w:cs="Arial" w:eastAsia="Arial" w:hAnsi="Arial"/>
          <w:b w:val="false"/>
          <w:bCs w:val="false"/>
          <w:i w:val="false"/>
          <w:iCs w:val="false"/>
          <w:color w:val="2D2D2D"/>
          <w:sz w:val="22"/>
          <w:szCs w:val="22"/>
        </w:rPr>
        <w:t xml:space="preserve">/α and CNHR is stationary. The fixed cost C</w:t>
      </w:r>
      <w:r>
        <w:rPr>
          <w:rFonts w:ascii="Arial" w:cs="Arial" w:eastAsia="Arial" w:hAnsi="Arial"/>
          <w:b w:val="false"/>
          <w:bCs w:val="false"/>
          <w:i w:val="false"/>
          <w:iCs w:val="false"/>
          <w:color w:val="2D2D2D"/>
          <w:sz w:val="18"/>
          <w:szCs w:val="18"/>
        </w:rPr>
        <w:t xml:space="preserve">W</w:t>
      </w:r>
      <w:r>
        <w:rPr>
          <w:rFonts w:ascii="Arial" w:cs="Arial" w:eastAsia="Arial" w:hAnsi="Arial"/>
          <w:b w:val="false"/>
          <w:bCs w:val="false"/>
          <w:i w:val="false"/>
          <w:iCs w:val="false"/>
          <w:color w:val="2D2D2D"/>
          <w:sz w:val="22"/>
          <w:szCs w:val="22"/>
        </w:rPr>
        <w:t xml:space="preserve"> means the attractor is never reached in a single week.</w:t>
      </w:r>
    </w:p>
    <w:p>
      <w:pPr>
        <w:spacing w:before="120" w:after="120" w:line="276"/>
        <w:jc w:val="left"/>
      </w:pPr>
      <w:r>
        <w:rPr>
          <w:rFonts w:ascii="Arial" w:cs="Arial" w:eastAsia="Arial" w:hAnsi="Arial"/>
          <w:b/>
          <w:bCs/>
          <w:i w:val="false"/>
          <w:iCs w:val="false"/>
          <w:color w:val="2D2D2D"/>
          <w:sz w:val="22"/>
          <w:szCs w:val="22"/>
        </w:rPr>
        <w:t xml:space="preserve">The Inertia (1/s). </w:t>
      </w:r>
      <w:r>
        <w:rPr>
          <w:rFonts w:ascii="Arial" w:cs="Arial" w:eastAsia="Arial" w:hAnsi="Arial"/>
          <w:b w:val="false"/>
          <w:bCs w:val="false"/>
          <w:i w:val="false"/>
          <w:iCs w:val="false"/>
          <w:color w:val="2D2D2D"/>
          <w:sz w:val="22"/>
          <w:szCs w:val="22"/>
        </w:rPr>
        <w:t xml:space="preserve">The rate of change is inversely proportional to shift hours accumulated. At hour 1, one trip changes everything. At hour 10, trends become visible. At hour 30, the trajectory is locked within ±£2 of its final value. At hour 40, a single bad trip barely registers. This is the mathematical proof that late-week panic driving—extending shifts or chasing surge—is structurally futile. By Day 3 of a 5-day week, CNHR is already committed.</w:t>
      </w:r>
    </w:p>
    <w:p>
      <w:pPr>
        <w:spacing w:before="120" w:after="120" w:line="276"/>
        <w:jc w:val="left"/>
      </w:pPr>
      <w:r>
        <w:rPr>
          <w:rFonts w:ascii="Arial" w:cs="Arial" w:eastAsia="Arial" w:hAnsi="Arial"/>
          <w:b w:val="false"/>
          <w:bCs w:val="false"/>
          <w:i w:val="false"/>
          <w:iCs w:val="false"/>
          <w:color w:val="2D2D2D"/>
          <w:sz w:val="22"/>
          <w:szCs w:val="22"/>
        </w:rPr>
        <w:t xml:space="preserve">The Gap (ρ</w:t>
      </w:r>
      <w:r>
        <w:rPr>
          <w:rFonts w:ascii="Arial" w:cs="Arial" w:eastAsia="Arial" w:hAnsi="Arial"/>
          <w:b w:val="false"/>
          <w:bCs w:val="false"/>
          <w:i w:val="false"/>
          <w:iCs w:val="false"/>
          <w:color w:val="2D2D2D"/>
          <w:sz w:val="18"/>
          <w:szCs w:val="18"/>
        </w:rPr>
        <w:t xml:space="preserve">t</w:t>
      </w:r>
      <w:r>
        <w:rPr>
          <w:rFonts w:ascii="Arial" w:cs="Arial" w:eastAsia="Arial" w:hAnsi="Arial"/>
          <w:b/>
          <w:bCs/>
          <w:i w:val="false"/>
          <w:iCs w:val="false"/>
          <w:color w:val="2D2D2D"/>
          <w:sz w:val="22"/>
          <w:szCs w:val="22"/>
        </w:rPr>
        <w:t xml:space="preserve">/α − f(s)). </w:t>
      </w:r>
      <w:r>
        <w:rPr>
          <w:rFonts w:ascii="Arial" w:cs="Arial" w:eastAsia="Arial" w:hAnsi="Arial"/>
          <w:b w:val="false"/>
          <w:bCs w:val="false"/>
          <w:i w:val="false"/>
          <w:iCs w:val="false"/>
          <w:color w:val="2D2D2D"/>
          <w:sz w:val="22"/>
          <w:szCs w:val="22"/>
        </w:rPr>
        <w:t xml:space="preserve">The signed distance from current CNHR to the attractor. Always positive in practice (you are always recovering fixed cost). As CNHR climbs toward the attractor, the gap shrinks and the rate of climb decelerates—explaining the 1,000× slope collapse observed in the empirical data (df/ds falls from +324 at hour 5 to +0.2 at hour 50).</w:t>
      </w:r>
    </w:p>
    <w:p>
      <w:pPr>
        <w:pStyle w:val="Heading2"/>
        <w:spacing w:before="240" w:after="120"/>
      </w:pPr>
      <w:r>
        <w:rPr>
          <w:rFonts w:ascii="Arial" w:cs="Arial" w:eastAsia="Arial" w:hAnsi="Arial"/>
          <w:b/>
          <w:bCs/>
          <w:i w:val="false"/>
          <w:iCs w:val="false"/>
          <w:color w:val="1F4E79"/>
          <w:sz w:val="26"/>
          <w:szCs w:val="26"/>
        </w:rPr>
        <w:t xml:space="preserve">10.4 Closed-Form Solution</w:t>
      </w:r>
    </w:p>
    <w:p>
      <w:pPr>
        <w:spacing w:before="120" w:after="120" w:line="276"/>
        <w:jc w:val="left"/>
      </w:pPr>
      <w:r>
        <w:rPr>
          <w:rFonts w:ascii="Arial" w:cs="Arial" w:eastAsia="Arial" w:hAnsi="Arial"/>
          <w:b w:val="false"/>
          <w:bCs w:val="false"/>
          <w:i w:val="false"/>
          <w:iCs w:val="false"/>
          <w:color w:val="2D2D2D"/>
          <w:sz w:val="22"/>
          <w:szCs w:val="22"/>
        </w:rPr>
        <w:t xml:space="preserve">If ρ</w:t>
      </w:r>
      <w:r>
        <w:rPr>
          <w:rFonts w:ascii="Arial" w:cs="Arial" w:eastAsia="Arial" w:hAnsi="Arial"/>
          <w:b w:val="false"/>
          <w:bCs w:val="false"/>
          <w:i w:val="false"/>
          <w:iCs w:val="false"/>
          <w:color w:val="2D2D2D"/>
          <w:sz w:val="18"/>
          <w:szCs w:val="18"/>
        </w:rPr>
        <w:t xml:space="preserve">t</w:t>
      </w:r>
      <w:r>
        <w:rPr>
          <w:rFonts w:ascii="Arial" w:cs="Arial" w:eastAsia="Arial" w:hAnsi="Arial"/>
          <w:b w:val="false"/>
          <w:bCs w:val="false"/>
          <w:i w:val="false"/>
          <w:iCs w:val="false"/>
          <w:color w:val="2D2D2D"/>
          <w:sz w:val="22"/>
          <w:szCs w:val="22"/>
        </w:rPr>
        <w:t xml:space="preserve"> is constant (steady earning rate), the ODE has the exact solution:</w:t>
      </w:r>
    </w:p>
    <w:p>
      <w:pPr>
        <w:spacing w:before="120" w:after="120" w:line="276"/>
        <w:ind w:left="720"/>
        <w:jc w:val="left"/>
      </w:pPr>
      <w:r>
        <w:rPr>
          <w:rFonts w:ascii="Arial" w:cs="Arial" w:eastAsia="Arial" w:hAnsi="Arial"/>
          <w:b w:val="false"/>
          <w:bCs w:val="false"/>
          <w:i w:val="false"/>
          <w:iCs w:val="false"/>
          <w:color w:val="2D2D2D"/>
          <w:sz w:val="22"/>
          <w:szCs w:val="22"/>
        </w:rPr>
        <w:t xml:space="preserve">f(s) = ρ</w:t>
      </w:r>
      <w:r>
        <w:rPr>
          <w:rFonts w:ascii="Arial" w:cs="Arial" w:eastAsia="Arial" w:hAnsi="Arial"/>
          <w:b w:val="false"/>
          <w:bCs w:val="false"/>
          <w:i w:val="false"/>
          <w:iCs w:val="false"/>
          <w:color w:val="2D2D2D"/>
          <w:sz w:val="18"/>
          <w:szCs w:val="18"/>
        </w:rPr>
        <w:t xml:space="preserve">t</w:t>
      </w:r>
      <w:r>
        <w:rPr>
          <w:rFonts w:ascii="Arial" w:cs="Arial" w:eastAsia="Arial" w:hAnsi="Arial"/>
          <w:b w:val="false"/>
          <w:bCs w:val="false"/>
          <w:i w:val="false"/>
          <w:iCs w:val="false"/>
          <w:color w:val="2D2D2D"/>
          <w:sz w:val="22"/>
          <w:szCs w:val="22"/>
        </w:rPr>
        <w:t xml:space="preserve">/α − C</w:t>
      </w:r>
      <w:r>
        <w:rPr>
          <w:rFonts w:ascii="Arial" w:cs="Arial" w:eastAsia="Arial" w:hAnsi="Arial"/>
          <w:b w:val="false"/>
          <w:bCs w:val="false"/>
          <w:i w:val="false"/>
          <w:iCs w:val="false"/>
          <w:color w:val="2D2D2D"/>
          <w:sz w:val="18"/>
          <w:szCs w:val="18"/>
        </w:rPr>
        <w:t xml:space="preserve">W</w:t>
      </w:r>
      <w:r>
        <w:rPr>
          <w:rFonts w:ascii="Arial" w:cs="Arial" w:eastAsia="Arial" w:hAnsi="Arial"/>
          <w:b/>
          <w:bCs/>
          <w:i w:val="false"/>
          <w:iCs w:val="false"/>
          <w:color w:val="2D2D2D"/>
          <w:sz w:val="22"/>
          <w:szCs w:val="22"/>
        </w:rPr>
        <w:t xml:space="preserve">/(k · s)</w:t>
      </w:r>
    </w:p>
    <w:p>
      <w:pPr>
        <w:spacing w:before="120" w:after="120" w:line="276"/>
        <w:jc w:val="left"/>
      </w:pPr>
      <w:r>
        <w:rPr>
          <w:rFonts w:ascii="Arial" w:cs="Arial" w:eastAsia="Arial" w:hAnsi="Arial"/>
          <w:b w:val="false"/>
          <w:bCs w:val="false"/>
          <w:i w:val="false"/>
          <w:iCs w:val="false"/>
          <w:color w:val="2D2D2D"/>
          <w:sz w:val="22"/>
          <w:szCs w:val="22"/>
        </w:rPr>
        <w:t xml:space="preserve">CNHR is a hyperbola in s, approaching ρ</w:t>
      </w:r>
      <w:r>
        <w:rPr>
          <w:rFonts w:ascii="Arial" w:cs="Arial" w:eastAsia="Arial" w:hAnsi="Arial"/>
          <w:b w:val="false"/>
          <w:bCs w:val="false"/>
          <w:i w:val="false"/>
          <w:iCs w:val="false"/>
          <w:color w:val="2D2D2D"/>
          <w:sz w:val="18"/>
          <w:szCs w:val="18"/>
        </w:rPr>
        <w:t xml:space="preserve">t</w:t>
      </w:r>
      <w:r>
        <w:rPr>
          <w:rFonts w:ascii="Arial" w:cs="Arial" w:eastAsia="Arial" w:hAnsi="Arial"/>
          <w:b w:val="false"/>
          <w:bCs w:val="false"/>
          <w:i w:val="false"/>
          <w:iCs w:val="false"/>
          <w:color w:val="2D2D2D"/>
          <w:sz w:val="22"/>
          <w:szCs w:val="22"/>
        </w:rPr>
        <w:t xml:space="preserve">/α from below. The gap between current CNHR and the attractor closes as C</w:t>
      </w:r>
      <w:r>
        <w:rPr>
          <w:rFonts w:ascii="Arial" w:cs="Arial" w:eastAsia="Arial" w:hAnsi="Arial"/>
          <w:b w:val="false"/>
          <w:bCs w:val="false"/>
          <w:i w:val="false"/>
          <w:iCs w:val="false"/>
          <w:color w:val="2D2D2D"/>
          <w:sz w:val="18"/>
          <w:szCs w:val="18"/>
        </w:rPr>
        <w:t xml:space="preserve">W</w:t>
      </w:r>
      <w:r>
        <w:rPr>
          <w:rFonts w:ascii="Arial" w:cs="Arial" w:eastAsia="Arial" w:hAnsi="Arial"/>
          <w:b w:val="false"/>
          <w:bCs w:val="false"/>
          <w:i w:val="false"/>
          <w:iCs w:val="false"/>
          <w:color w:val="2D2D2D"/>
          <w:sz w:val="22"/>
          <w:szCs w:val="22"/>
        </w:rPr>
        <w:t xml:space="preserve">/(k · s), which at 50 shift hours still depresses CNHR by £430/(0.866 × 50) = £9.93/hr. This is the structural drag that never fully closes in a single week.</w:t>
      </w:r>
    </w:p>
    <w:p>
      <w:pPr>
        <w:pStyle w:val="Heading2"/>
        <w:spacing w:before="240" w:after="120"/>
      </w:pPr>
      <w:r>
        <w:rPr>
          <w:rFonts w:ascii="Arial" w:cs="Arial" w:eastAsia="Arial" w:hAnsi="Arial"/>
          <w:b/>
          <w:bCs/>
          <w:i w:val="false"/>
          <w:iCs w:val="false"/>
          <w:color w:val="1F4E79"/>
          <w:sz w:val="26"/>
          <w:szCs w:val="26"/>
        </w:rPr>
        <w:t xml:space="preserve">10.5 Day Model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Parameter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Night (v1.0)</w:t>
            </w:r>
          </w:p>
        </w:tc>
        <w:tc>
          <w:tcPr>
            <w:tcW w:type="dxa" w:w="2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Day (current)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ρ (trip rate)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£37.08/hr</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£33.69/hr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Attractor (ρ/α)</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£29.43/hr</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£26.74/hr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f(50) at steady ρ</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£19.49/hr</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£16.80/hr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Fixed cost depression at 50h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£9.94/hr</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£9.94/hr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Minimum ρ for NLW at 50h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£27.90/hr</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£27.90/hr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Headroom (ρ − minimum ρ)</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£9.18/hr</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£5.79/hr</w:t>
            </w:r>
          </w:p>
        </w:tc>
      </w:tr>
    </w:tbl>
    <w:p>
      <w:pPr>
        <w:spacing w:before="120" w:after="120" w:line="276"/>
        <w:jc w:val="left"/>
      </w:pPr>
      <w:r>
        <w:rPr>
          <w:rFonts w:ascii="Arial" w:cs="Arial" w:eastAsia="Arial" w:hAnsi="Arial"/>
          <w:b w:val="false"/>
          <w:bCs w:val="false"/>
          <w:i w:val="false"/>
          <w:iCs w:val="false"/>
          <w:color w:val="2D2D2D"/>
          <w:sz w:val="22"/>
          <w:szCs w:val="22"/>
        </w:rPr>
        <w:t xml:space="preserve">The £5.79/hr headroom above the NLW-critical ρ floor means the day model has less tolerance for demand drops. If ρ falls below £27.90/hr on a sustained basis, the model fails. This is the primary risk addressed in the trial protocol.</w:t>
      </w:r>
    </w:p>
    <w:p>
      <w:pPr>
        <w:pStyle w:val="Heading2"/>
        <w:spacing w:before="240" w:after="120"/>
      </w:pPr>
      <w:r>
        <w:rPr>
          <w:rFonts w:ascii="Arial" w:cs="Arial" w:eastAsia="Arial" w:hAnsi="Arial"/>
          <w:b/>
          <w:bCs/>
          <w:i w:val="false"/>
          <w:iCs w:val="false"/>
          <w:color w:val="1F4E79"/>
          <w:sz w:val="26"/>
          <w:szCs w:val="26"/>
        </w:rPr>
        <w:t xml:space="preserve">10.6 Operational Implications</w:t>
      </w:r>
    </w:p>
    <w:p>
      <w:pPr>
        <w:spacing w:before="120" w:after="120" w:line="276"/>
        <w:jc w:val="left"/>
      </w:pPr>
      <w:r>
        <w:rPr>
          <w:rFonts w:ascii="Arial" w:cs="Arial" w:eastAsia="Arial" w:hAnsi="Arial"/>
          <w:b w:val="false"/>
          <w:bCs w:val="false"/>
          <w:i w:val="false"/>
          <w:iCs w:val="false"/>
          <w:color w:val="2D2D2D"/>
          <w:sz w:val="22"/>
          <w:szCs w:val="22"/>
        </w:rPr>
        <w:t xml:space="preserve">The derivative reveals why real-time CNHR monitoring works differently than expected:</w:t>
      </w:r>
    </w:p>
    <w:p>
      <w:pPr>
        <w:spacing w:before="120" w:after="120" w:line="276"/>
        <w:jc w:val="left"/>
      </w:pPr>
      <w:r>
        <w:rPr>
          <w:rFonts w:ascii="Arial" w:cs="Arial" w:eastAsia="Arial" w:hAnsi="Arial"/>
          <w:b/>
          <w:bCs/>
          <w:i w:val="false"/>
          <w:iCs w:val="false"/>
          <w:color w:val="2D2D2D"/>
          <w:sz w:val="22"/>
          <w:szCs w:val="22"/>
        </w:rPr>
        <w:t xml:space="preserve">First, CNHR cannot be steered after ~30 shift hours. </w:t>
      </w:r>
      <w:r>
        <w:rPr>
          <w:rFonts w:ascii="Arial" w:cs="Arial" w:eastAsia="Arial" w:hAnsi="Arial"/>
          <w:b w:val="false"/>
          <w:bCs w:val="false"/>
          <w:i w:val="false"/>
          <w:iCs w:val="false"/>
          <w:color w:val="2D2D2D"/>
          <w:sz w:val="22"/>
          <w:szCs w:val="22"/>
        </w:rPr>
        <w:t xml:space="preserve">The 1/s inertia makes it unresponsive. By Day 3, the CNHR is locked to within ±£2 of its final value. This means decisions must be made early or not at all—the Day 3 monitoring checkpoint (Section 7.3) is calibrated to this window.</w:t>
      </w:r>
    </w:p>
    <w:p>
      <w:pPr>
        <w:spacing w:before="120" w:after="120" w:line="276"/>
        <w:jc w:val="left"/>
      </w:pPr>
      <w:r>
        <w:rPr>
          <w:rFonts w:ascii="Arial" w:cs="Arial" w:eastAsia="Arial" w:hAnsi="Arial"/>
          <w:b w:val="false"/>
          <w:bCs w:val="false"/>
          <w:i w:val="false"/>
          <w:iCs w:val="false"/>
          <w:color w:val="2D2D2D"/>
          <w:sz w:val="22"/>
          <w:szCs w:val="22"/>
        </w:rPr>
        <w:t xml:space="preserve">Second, the only variable that matters is ρ</w:t>
      </w:r>
      <w:r>
        <w:rPr>
          <w:rFonts w:ascii="Arial" w:cs="Arial" w:eastAsia="Arial" w:hAnsi="Arial"/>
          <w:b w:val="false"/>
          <w:bCs w:val="false"/>
          <w:i w:val="false"/>
          <w:iCs w:val="false"/>
          <w:color w:val="2D2D2D"/>
          <w:sz w:val="18"/>
          <w:szCs w:val="18"/>
        </w:rPr>
        <w:t xml:space="preserve">t</w:t>
      </w:r>
      <w:r>
        <w:rPr>
          <w:rFonts w:ascii="Arial" w:cs="Arial" w:eastAsia="Arial" w:hAnsi="Arial"/>
          <w:b/>
          <w:bCs/>
          <w:i w:val="false"/>
          <w:iCs w:val="false"/>
          <w:color w:val="2D2D2D"/>
          <w:sz w:val="22"/>
          <w:szCs w:val="22"/>
        </w:rPr>
        <w:t xml:space="preserve">. </w:t>
      </w:r>
      <w:r>
        <w:rPr>
          <w:rFonts w:ascii="Arial" w:cs="Arial" w:eastAsia="Arial" w:hAnsi="Arial"/>
          <w:b w:val="false"/>
          <w:bCs w:val="false"/>
          <w:i w:val="false"/>
          <w:iCs w:val="false"/>
          <w:color w:val="2D2D2D"/>
          <w:sz w:val="22"/>
          <w:szCs w:val="22"/>
        </w:rPr>
        <w:t xml:space="preserve">ρ</w:t>
      </w:r>
      <w:r>
        <w:rPr>
          <w:rFonts w:ascii="Arial" w:cs="Arial" w:eastAsia="Arial" w:hAnsi="Arial"/>
          <w:b w:val="false"/>
          <w:bCs w:val="false"/>
          <w:i w:val="false"/>
          <w:iCs w:val="false"/>
          <w:color w:val="2D2D2D"/>
          <w:sz w:val="18"/>
          <w:szCs w:val="18"/>
        </w:rPr>
        <w:t xml:space="preserve">t</w:t>
      </w:r>
      <w:r>
        <w:rPr>
          <w:rFonts w:ascii="Arial" w:cs="Arial" w:eastAsia="Arial" w:hAnsi="Arial"/>
          <w:b w:val="false"/>
          <w:bCs w:val="false"/>
          <w:i w:val="false"/>
          <w:iCs w:val="false"/>
          <w:color w:val="2D2D2D"/>
          <w:sz w:val="22"/>
          <w:szCs w:val="22"/>
        </w:rPr>
        <w:t xml:space="preserve">/α is where CNHR converges. If ρ</w:t>
      </w:r>
      <w:r>
        <w:rPr>
          <w:rFonts w:ascii="Arial" w:cs="Arial" w:eastAsia="Arial" w:hAnsi="Arial"/>
          <w:b w:val="false"/>
          <w:bCs w:val="false"/>
          <w:i w:val="false"/>
          <w:iCs w:val="false"/>
          <w:color w:val="2D2D2D"/>
          <w:sz w:val="18"/>
          <w:szCs w:val="18"/>
        </w:rPr>
        <w:t xml:space="preserve">t</w:t>
      </w:r>
      <w:r>
        <w:rPr>
          <w:rFonts w:ascii="Arial" w:cs="Arial" w:eastAsia="Arial" w:hAnsi="Arial"/>
          <w:b w:val="false"/>
          <w:bCs w:val="false"/>
          <w:i w:val="false"/>
          <w:iCs w:val="false"/>
          <w:color w:val="2D2D2D"/>
          <w:sz w:val="22"/>
          <w:szCs w:val="22"/>
        </w:rPr>
        <w:t xml:space="preserve"> drops, the attractor drops, and no amount of extra hours fixes it. This is why “driving more” is the wrong response to low CNHR—the correct response is to assess whether demand conditions support the model.</w:t>
      </w:r>
    </w:p>
    <w:p>
      <w:pPr>
        <w:spacing w:before="120" w:after="120" w:line="276"/>
        <w:jc w:val="left"/>
      </w:pPr>
      <w:r>
        <w:rPr>
          <w:rFonts w:ascii="Arial" w:cs="Arial" w:eastAsia="Arial" w:hAnsi="Arial"/>
          <w:b w:val="false"/>
          <w:bCs w:val="false"/>
          <w:i w:val="false"/>
          <w:iCs w:val="false"/>
          <w:color w:val="2D2D2D"/>
          <w:sz w:val="22"/>
          <w:szCs w:val="22"/>
        </w:rPr>
        <w:t xml:space="preserve">Third, final weekly CNHR is predetermined by average ρ</w:t>
      </w:r>
      <w:r>
        <w:rPr>
          <w:rFonts w:ascii="Arial" w:cs="Arial" w:eastAsia="Arial" w:hAnsi="Arial"/>
          <w:b w:val="false"/>
          <w:bCs w:val="false"/>
          <w:i w:val="false"/>
          <w:iCs w:val="false"/>
          <w:color w:val="2D2D2D"/>
          <w:sz w:val="18"/>
          <w:szCs w:val="18"/>
        </w:rPr>
        <w:t xml:space="preserve">t</w:t>
      </w:r>
      <w:r>
        <w:rPr>
          <w:rFonts w:ascii="Arial" w:cs="Arial" w:eastAsia="Arial" w:hAnsi="Arial"/>
          <w:b/>
          <w:bCs/>
          <w:i w:val="false"/>
          <w:iCs w:val="false"/>
          <w:color w:val="2D2D2D"/>
          <w:sz w:val="22"/>
          <w:szCs w:val="22"/>
        </w:rPr>
        <w:t xml:space="preserve">. </w:t>
      </w:r>
      <w:r>
        <w:rPr>
          <w:rFonts w:ascii="Arial" w:cs="Arial" w:eastAsia="Arial" w:hAnsi="Arial"/>
          <w:b w:val="false"/>
          <w:bCs w:val="false"/>
          <w:i w:val="false"/>
          <w:iCs w:val="false"/>
          <w:color w:val="2D2D2D"/>
          <w:sz w:val="22"/>
          <w:szCs w:val="22"/>
        </w:rPr>
        <w:t xml:space="preserve">Individual trip variance washes out. The monitoring question is not “is my CNHR below NLW” (it always is early in the week) but “are my cumulative earnings on pace for £192/day?”</w:t>
      </w:r>
    </w:p>
    <w:p>
      <w:pPr>
        <w:spacing w:before="120" w:after="120" w:line="276"/>
        <w:jc w:val="left"/>
      </w:pPr>
      <w:r>
        <w:rPr>
          <w:rFonts w:ascii="Arial" w:cs="Arial" w:eastAsia="Arial" w:hAnsi="Arial"/>
          <w:b w:val="false"/>
          <w:bCs w:val="false"/>
          <w:i w:val="false"/>
          <w:iCs w:val="false"/>
          <w:color w:val="2D2D2D"/>
          <w:sz w:val="22"/>
          <w:szCs w:val="22"/>
        </w:rPr>
        <w:t xml:space="preserve">These three properties—inertia, attractor dominance, and average convergence—together explain why the linear daily target (£192/day, checked at Day 3) outperforms all other monitoring approaches tested (real-time thresholds, slope projection, ρ extrapolation). The target is simple precisely because the underlying dynamics are well-understood.</w:t>
      </w:r>
    </w:p>
    <w:p>
      <w:r>
        <w:br w:type="page"/>
      </w:r>
    </w:p>
    <w:p>
      <w:pPr>
        <w:pStyle w:val="Heading1"/>
        <w:spacing w:before="360" w:after="120"/>
      </w:pPr>
      <w:r>
        <w:rPr>
          <w:rFonts w:ascii="Arial" w:cs="Arial" w:eastAsia="Arial" w:hAnsi="Arial"/>
          <w:b/>
          <w:bCs/>
          <w:i w:val="false"/>
          <w:iCs w:val="false"/>
          <w:color w:val="1F4E79"/>
          <w:sz w:val="32"/>
          <w:szCs w:val="32"/>
        </w:rPr>
        <w:t xml:space="preserve">11.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400"/>
        <w:gridCol w:w="34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Impact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Threshold</w:t>
            </w:r>
          </w:p>
        </w:tc>
        <w:tc>
          <w:tcPr>
            <w:tcW w:type="dxa" w:w="3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04–08 premium erosion</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ρ (04–08) drops below £30</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18"/>
                <w:szCs w:val="18"/>
              </w:rPr>
              <w:t xml:space="preserve">Historical ρ of £37/hr may include night surge carry-over. If true daytime 04–08 rate is lower, model headroom shrinks. Trial will quantify. Fallback: revert to night model (23:00201309:00).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NLW margin erosion</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spacing w:before="40" w:after="40" w:line="276"/>
              <w:jc w:val="center"/>
            </w:pPr>
            <w:r>
              <w:rPr>
                <w:rFonts w:ascii="Arial" w:cs="Arial" w:eastAsia="Arial" w:hAnsi="Arial"/>
                <w:b/>
                <w:bCs/>
                <w:i w:val="false"/>
                <w:iCs w:val="false"/>
                <w:color w:val="2D2D2D"/>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Avg daily &lt; £192</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18"/>
                <w:szCs w:val="18"/>
              </w:rPr>
              <w:t xml:space="preserve">6th day trigger. If persistent (&gt;3 fortnights), assess whether 04:00–14:00 window is viable or shift window needs adjustment.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Early wake fatigue</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MED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Inability to sustain 04:00 starts</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18"/>
                <w:szCs w:val="18"/>
              </w:rPr>
              <w:t xml:space="preserve">20:00 bedtime is non-negotiable. If adaptation fails within 2-week trial, shift window can move to 05:00–15:00 (minor ρ reduction).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Seasonal demand</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Sustained ρ &lt; £28/hr</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18"/>
                <w:szCs w:val="18"/>
              </w:rPr>
              <w:t xml:space="preserve">Day shift may have different seasonal profile than nights. Monitor monthly. Off-peak: increase trip selectivity.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Vehicle downtime</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Lost shift day</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18"/>
                <w:szCs w:val="18"/>
              </w:rPr>
              <w:t xml:space="preserve">Schedule maintenance on Wed/Sun rest days or off-weeks. £660 buffer covers overhead.</w:t>
            </w:r>
          </w:p>
        </w:tc>
      </w:tr>
    </w:tbl>
    <w:p>
      <w:r>
        <w:br w:type="page"/>
      </w:r>
    </w:p>
    <w:p>
      <w:pPr>
        <w:pStyle w:val="Heading1"/>
        <w:spacing w:before="360" w:after="120"/>
      </w:pPr>
      <w:r>
        <w:rPr>
          <w:rFonts w:ascii="Arial" w:cs="Arial" w:eastAsia="Arial" w:hAnsi="Arial"/>
          <w:b/>
          <w:bCs/>
          <w:i w:val="false"/>
          <w:iCs w:val="false"/>
          <w:color w:val="1F4E79"/>
          <w:sz w:val="32"/>
          <w:szCs w:val="32"/>
        </w:rPr>
        <w:t xml:space="preserve">12. Trial Protocol</w:t>
      </w:r>
    </w:p>
    <w:p>
      <w:pPr>
        <w:spacing w:before="120" w:after="120" w:line="276"/>
        <w:jc w:val="left"/>
      </w:pPr>
      <w:r>
        <w:rPr>
          <w:rFonts w:ascii="Arial" w:cs="Arial" w:eastAsia="Arial" w:hAnsi="Arial"/>
          <w:b w:val="false"/>
          <w:bCs w:val="false"/>
          <w:i w:val="false"/>
          <w:iCs w:val="false"/>
          <w:color w:val="2D2D2D"/>
          <w:sz w:val="22"/>
          <w:szCs w:val="22"/>
        </w:rPr>
        <w:t xml:space="preserve">The day model is based on 189 trips recorded during predominantly night-shift operations. The 04:00–08:00 earning rate may not persist under a dedicated daytime pattern. A structured trial is required before full commitment.</w:t>
      </w:r>
    </w:p>
    <w:p>
      <w:pPr>
        <w:pStyle w:val="Heading2"/>
        <w:spacing w:before="240" w:after="120"/>
      </w:pPr>
      <w:r>
        <w:rPr>
          <w:rFonts w:ascii="Arial" w:cs="Arial" w:eastAsia="Arial" w:hAnsi="Arial"/>
          <w:b/>
          <w:bCs/>
          <w:i w:val="false"/>
          <w:iCs w:val="false"/>
          <w:color w:val="1F4E79"/>
          <w:sz w:val="26"/>
          <w:szCs w:val="26"/>
        </w:rPr>
        <w:t xml:space="preserve">12.1 Conservative Scenario</w:t>
      </w:r>
    </w:p>
    <w:p>
      <w:pPr>
        <w:spacing w:before="120" w:after="120" w:line="276"/>
        <w:jc w:val="left"/>
      </w:pPr>
      <w:r>
        <w:rPr>
          <w:rFonts w:ascii="Arial" w:cs="Arial" w:eastAsia="Arial" w:hAnsi="Arial"/>
          <w:b w:val="false"/>
          <w:bCs w:val="false"/>
          <w:i w:val="false"/>
          <w:iCs w:val="false"/>
          <w:color w:val="2D2D2D"/>
          <w:sz w:val="22"/>
          <w:szCs w:val="22"/>
        </w:rPr>
        <w:t xml:space="preserve">If the 04:00–08:00 premium evaporates and the true daytime ρ converges to the 08:00–14:00 rate of £27.87/hr, daily earnings fall to £191—£1 below the NLW floor. The model becomes non-viable. This is the hypothesis the trial must test.</w:t>
      </w:r>
    </w:p>
    <w:p>
      <w:pPr>
        <w:pStyle w:val="Heading2"/>
        <w:spacing w:before="240" w:after="120"/>
      </w:pPr>
      <w:r>
        <w:rPr>
          <w:rFonts w:ascii="Arial" w:cs="Arial" w:eastAsia="Arial" w:hAnsi="Arial"/>
          <w:b/>
          <w:bCs/>
          <w:i w:val="false"/>
          <w:iCs w:val="false"/>
          <w:color w:val="1F4E79"/>
          <w:sz w:val="26"/>
          <w:szCs w:val="26"/>
        </w:rPr>
        <w:t xml:space="preserve">12.2 Trial Design</w:t>
      </w:r>
    </w:p>
    <w:p>
      <w:pPr>
        <w:spacing w:before="120" w:after="120" w:line="276"/>
        <w:ind w:left="360"/>
        <w:jc w:val="left"/>
      </w:pPr>
      <w:r>
        <w:rPr>
          <w:rFonts w:ascii="Arial" w:cs="Arial" w:eastAsia="Arial" w:hAnsi="Arial"/>
          <w:b/>
          <w:bCs/>
          <w:i w:val="false"/>
          <w:iCs w:val="false"/>
          <w:color w:val="2D2D2D"/>
          <w:sz w:val="22"/>
          <w:szCs w:val="22"/>
        </w:rPr>
        <w:t xml:space="preserve">Duration: </w:t>
      </w:r>
      <w:r>
        <w:rPr>
          <w:rFonts w:ascii="Arial" w:cs="Arial" w:eastAsia="Arial" w:hAnsi="Arial"/>
          <w:b w:val="false"/>
          <w:bCs w:val="false"/>
          <w:i w:val="false"/>
          <w:iCs w:val="false"/>
          <w:color w:val="2D2D2D"/>
          <w:sz w:val="22"/>
          <w:szCs w:val="22"/>
        </w:rPr>
        <w:t xml:space="preserve">2–3 complete working weeks (10–15 shift days).</w:t>
      </w:r>
    </w:p>
    <w:p>
      <w:pPr>
        <w:spacing w:before="120" w:after="120" w:line="276"/>
        <w:ind w:left="360"/>
        <w:jc w:val="left"/>
      </w:pPr>
      <w:r>
        <w:rPr>
          <w:rFonts w:ascii="Arial" w:cs="Arial" w:eastAsia="Arial" w:hAnsi="Arial"/>
          <w:b/>
          <w:bCs/>
          <w:i w:val="false"/>
          <w:iCs w:val="false"/>
          <w:color w:val="2D2D2D"/>
          <w:sz w:val="22"/>
          <w:szCs w:val="22"/>
        </w:rPr>
        <w:t xml:space="preserve">Window: </w:t>
      </w:r>
      <w:r>
        <w:rPr>
          <w:rFonts w:ascii="Arial" w:cs="Arial" w:eastAsia="Arial" w:hAnsi="Arial"/>
          <w:b w:val="false"/>
          <w:bCs w:val="false"/>
          <w:i w:val="false"/>
          <w:iCs w:val="false"/>
          <w:color w:val="2D2D2D"/>
          <w:sz w:val="22"/>
          <w:szCs w:val="22"/>
        </w:rPr>
        <w:t xml:space="preserve">04:00–14:00, strict. No extensions.</w:t>
      </w:r>
    </w:p>
    <w:p>
      <w:pPr>
        <w:spacing w:before="120" w:after="120" w:line="276"/>
        <w:ind w:left="360"/>
        <w:jc w:val="left"/>
      </w:pPr>
      <w:r>
        <w:rPr>
          <w:rFonts w:ascii="Arial" w:cs="Arial" w:eastAsia="Arial" w:hAnsi="Arial"/>
          <w:b/>
          <w:bCs/>
          <w:i w:val="false"/>
          <w:iCs w:val="false"/>
          <w:color w:val="2D2D2D"/>
          <w:sz w:val="22"/>
          <w:szCs w:val="22"/>
        </w:rPr>
        <w:t xml:space="preserve">Schedule: </w:t>
      </w:r>
      <w:r>
        <w:rPr>
          <w:rFonts w:ascii="Arial" w:cs="Arial" w:eastAsia="Arial" w:hAnsi="Arial"/>
          <w:b w:val="false"/>
          <w:bCs w:val="false"/>
          <w:i w:val="false"/>
          <w:iCs w:val="false"/>
          <w:color w:val="2D2D2D"/>
          <w:sz w:val="22"/>
          <w:szCs w:val="22"/>
        </w:rPr>
        <w:t xml:space="preserve">Mon, Tue, Thu, Fri, Sat working. Wed, Sun rest.</w:t>
      </w:r>
    </w:p>
    <w:p>
      <w:pPr>
        <w:spacing w:before="120" w:after="120" w:line="276"/>
        <w:ind w:left="360"/>
        <w:jc w:val="left"/>
      </w:pPr>
      <w:r>
        <w:rPr>
          <w:rFonts w:ascii="Arial" w:cs="Arial" w:eastAsia="Arial" w:hAnsi="Arial"/>
          <w:b/>
          <w:bCs/>
          <w:i w:val="false"/>
          <w:iCs w:val="false"/>
          <w:color w:val="2D2D2D"/>
          <w:sz w:val="22"/>
          <w:szCs w:val="22"/>
        </w:rPr>
        <w:t xml:space="preserve">Sleep: </w:t>
      </w:r>
      <w:r>
        <w:rPr>
          <w:rFonts w:ascii="Arial" w:cs="Arial" w:eastAsia="Arial" w:hAnsi="Arial"/>
          <w:b w:val="false"/>
          <w:bCs w:val="false"/>
          <w:i w:val="false"/>
          <w:iCs w:val="false"/>
          <w:color w:val="2D2D2D"/>
          <w:sz w:val="22"/>
          <w:szCs w:val="22"/>
        </w:rPr>
        <w:t xml:space="preserve">20:00–04:00, strict. No exceptions.</w:t>
      </w:r>
    </w:p>
    <w:p>
      <w:pPr>
        <w:pStyle w:val="Heading2"/>
        <w:spacing w:before="240" w:after="120"/>
      </w:pPr>
      <w:r>
        <w:rPr>
          <w:rFonts w:ascii="Arial" w:cs="Arial" w:eastAsia="Arial" w:hAnsi="Arial"/>
          <w:b/>
          <w:bCs/>
          <w:i w:val="false"/>
          <w:iCs w:val="false"/>
          <w:color w:val="1F4E79"/>
          <w:sz w:val="26"/>
          <w:szCs w:val="26"/>
        </w:rPr>
        <w:t xml:space="preserve">12.3 Success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Criterion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Pass</w:t>
            </w:r>
          </w:p>
        </w:tc>
        <w:tc>
          <w:tcPr>
            <w:tcW w:type="dxa" w:w="2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Fail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Average daily earnings</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 £210</w:t>
            </w:r>
          </w:p>
        </w:tc>
        <w:tc>
          <w:tcPr>
            <w:tcW w:type="dxa" w:w="2526"/>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&lt; £192</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04:00–08:00 ρ</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 £33/hr</w:t>
            </w:r>
          </w:p>
        </w:tc>
        <w:tc>
          <w:tcPr>
            <w:tcW w:type="dxa" w:w="2526"/>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&lt; £28/hr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Sleep adaptation</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Consistent 20:00–04:00</w:t>
            </w:r>
          </w:p>
        </w:tc>
        <w:tc>
          <w:tcPr>
            <w:tcW w:type="dxa" w:w="2526"/>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Chronic sleep debt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2D2D2D"/>
                <w:sz w:val="20"/>
                <w:szCs w:val="20"/>
              </w:rPr>
              <w:t xml:space="preserve">Consecutive shifts</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3 max without fatigue</w:t>
            </w:r>
          </w:p>
        </w:tc>
        <w:tc>
          <w:tcPr>
            <w:tcW w:type="dxa" w:w="2526"/>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spacing w:before="40" w:after="40" w:line="276"/>
              <w:jc w:val="center"/>
            </w:pPr>
            <w:r>
              <w:rPr>
                <w:rFonts w:ascii="Arial" w:cs="Arial" w:eastAsia="Arial" w:hAnsi="Arial"/>
                <w:b w:val="false"/>
                <w:bCs w:val="false"/>
                <w:i w:val="false"/>
                <w:iCs w:val="false"/>
                <w:color w:val="2D2D2D"/>
                <w:sz w:val="20"/>
                <w:szCs w:val="20"/>
              </w:rPr>
              <w:t xml:space="preserve">Fatigue before Day 3</w:t>
            </w:r>
          </w:p>
        </w:tc>
      </w:tr>
    </w:tbl>
    <w:p>
      <w:pPr>
        <w:pStyle w:val="Heading2"/>
        <w:spacing w:before="240" w:after="120"/>
      </w:pPr>
      <w:r>
        <w:rPr>
          <w:rFonts w:ascii="Arial" w:cs="Arial" w:eastAsia="Arial" w:hAnsi="Arial"/>
          <w:b/>
          <w:bCs/>
          <w:i w:val="false"/>
          <w:iCs w:val="false"/>
          <w:color w:val="1F4E79"/>
          <w:sz w:val="26"/>
          <w:szCs w:val="26"/>
        </w:rPr>
        <w:t xml:space="preserve">12.4 Decision Matrix</w:t>
      </w:r>
    </w:p>
    <w:p>
      <w:pPr>
        <w:spacing w:before="120" w:after="120" w:line="276"/>
        <w:ind w:left="360"/>
        <w:jc w:val="left"/>
      </w:pPr>
      <w:r>
        <w:rPr>
          <w:rFonts w:ascii="Arial" w:cs="Arial" w:eastAsia="Arial" w:hAnsi="Arial"/>
          <w:b/>
          <w:bCs/>
          <w:i w:val="false"/>
          <w:iCs w:val="false"/>
          <w:color w:val="2D2D2D"/>
          <w:sz w:val="22"/>
          <w:szCs w:val="22"/>
        </w:rPr>
        <w:t xml:space="preserve">All criteria pass: </w:t>
      </w:r>
      <w:r>
        <w:rPr>
          <w:rFonts w:ascii="Arial" w:cs="Arial" w:eastAsia="Arial" w:hAnsi="Arial"/>
          <w:b w:val="false"/>
          <w:bCs w:val="false"/>
          <w:i w:val="false"/>
          <w:iCs w:val="false"/>
          <w:color w:val="2D2D2D"/>
          <w:sz w:val="22"/>
          <w:szCs w:val="22"/>
        </w:rPr>
        <w:t xml:space="preserve">Adopt day model as permanent operating pattern.</w:t>
      </w:r>
    </w:p>
    <w:p>
      <w:pPr>
        <w:spacing w:before="120" w:after="120" w:line="276"/>
        <w:ind w:left="360"/>
        <w:jc w:val="left"/>
      </w:pPr>
      <w:r>
        <w:rPr>
          <w:rFonts w:ascii="Arial" w:cs="Arial" w:eastAsia="Arial" w:hAnsi="Arial"/>
          <w:b/>
          <w:bCs/>
          <w:i w:val="false"/>
          <w:iCs w:val="false"/>
          <w:color w:val="2D2D2D"/>
          <w:sz w:val="22"/>
          <w:szCs w:val="22"/>
        </w:rPr>
        <w:t xml:space="preserve">Earnings pass, sleep fails: </w:t>
      </w:r>
      <w:r>
        <w:rPr>
          <w:rFonts w:ascii="Arial" w:cs="Arial" w:eastAsia="Arial" w:hAnsi="Arial"/>
          <w:b w:val="false"/>
          <w:bCs w:val="false"/>
          <w:i w:val="false"/>
          <w:iCs w:val="false"/>
          <w:color w:val="2D2D2D"/>
          <w:sz w:val="22"/>
          <w:szCs w:val="22"/>
        </w:rPr>
        <w:t xml:space="preserve">Shift window to 05:00–15:00. Re-trial for 2 weeks.</w:t>
      </w:r>
    </w:p>
    <w:p>
      <w:pPr>
        <w:spacing w:before="120" w:after="120" w:line="276"/>
        <w:ind w:left="360"/>
        <w:jc w:val="left"/>
      </w:pPr>
      <w:r>
        <w:rPr>
          <w:rFonts w:ascii="Arial" w:cs="Arial" w:eastAsia="Arial" w:hAnsi="Arial"/>
          <w:b/>
          <w:bCs/>
          <w:i w:val="false"/>
          <w:iCs w:val="false"/>
          <w:color w:val="2D2D2D"/>
          <w:sz w:val="22"/>
          <w:szCs w:val="22"/>
        </w:rPr>
        <w:t xml:space="preserve">Earnings fail, sleep passes: </w:t>
      </w:r>
      <w:r>
        <w:rPr>
          <w:rFonts w:ascii="Arial" w:cs="Arial" w:eastAsia="Arial" w:hAnsi="Arial"/>
          <w:b w:val="false"/>
          <w:bCs w:val="false"/>
          <w:i w:val="false"/>
          <w:iCs w:val="false"/>
          <w:color w:val="2D2D2D"/>
          <w:sz w:val="22"/>
          <w:szCs w:val="22"/>
        </w:rPr>
        <w:t xml:space="preserve">Day model non-viable at current demand. Revert to night model (23:00201309:00).</w:t>
      </w:r>
    </w:p>
    <w:p>
      <w:pPr>
        <w:spacing w:before="120" w:after="120" w:line="276"/>
        <w:ind w:left="360"/>
        <w:jc w:val="left"/>
      </w:pPr>
      <w:r>
        <w:rPr>
          <w:rFonts w:ascii="Arial" w:cs="Arial" w:eastAsia="Arial" w:hAnsi="Arial"/>
          <w:b/>
          <w:bCs/>
          <w:i w:val="false"/>
          <w:iCs w:val="false"/>
          <w:color w:val="2D2D2D"/>
          <w:sz w:val="22"/>
          <w:szCs w:val="22"/>
        </w:rPr>
        <w:t xml:space="preserve">All criteria fail: </w:t>
      </w:r>
      <w:r>
        <w:rPr>
          <w:rFonts w:ascii="Arial" w:cs="Arial" w:eastAsia="Arial" w:hAnsi="Arial"/>
          <w:b w:val="false"/>
          <w:bCs w:val="false"/>
          <w:i w:val="false"/>
          <w:iCs w:val="false"/>
          <w:color w:val="2D2D2D"/>
          <w:sz w:val="22"/>
          <w:szCs w:val="22"/>
        </w:rPr>
        <w:t xml:space="preserve">Revert to v1.0 night model immediately.</w:t>
      </w:r>
    </w:p>
    <w:p>
      <w:r>
        <w:br w:type="page"/>
      </w:r>
    </w:p>
    <w:p>
      <w:pPr>
        <w:pStyle w:val="Heading1"/>
        <w:spacing w:before="360" w:after="120"/>
      </w:pPr>
      <w:r>
        <w:rPr>
          <w:rFonts w:ascii="Arial" w:cs="Arial" w:eastAsia="Arial" w:hAnsi="Arial"/>
          <w:b/>
          <w:bCs/>
          <w:i w:val="false"/>
          <w:iCs w:val="false"/>
          <w:color w:val="1F4E79"/>
          <w:sz w:val="32"/>
          <w:szCs w:val="32"/>
        </w:rPr>
        <w:t xml:space="preserve">13. Implementation Checklist</w:t>
      </w:r>
    </w:p>
    <w:p>
      <w:pPr>
        <w:spacing w:before="120" w:after="120" w:line="276"/>
        <w:jc w:val="left"/>
      </w:pPr>
      <w:r>
        <w:rPr>
          <w:rFonts w:ascii="Arial" w:cs="Arial" w:eastAsia="Arial" w:hAnsi="Arial"/>
          <w:b/>
          <w:bCs/>
          <w:i w:val="false"/>
          <w:iCs w:val="false"/>
          <w:color w:val="2D2D2D"/>
          <w:sz w:val="22"/>
          <w:szCs w:val="22"/>
        </w:rPr>
        <w:t xml:space="preserve">Phase 0: Pre-Trial (3 days)</w:t>
      </w:r>
    </w:p>
    <w:p>
      <w:pPr>
        <w:spacing w:before="120" w:after="120" w:line="276"/>
        <w:ind w:left="360"/>
        <w:jc w:val="left"/>
      </w:pPr>
      <w:r>
        <w:rPr>
          <w:rFonts w:ascii="Arial" w:cs="Arial" w:eastAsia="Arial" w:hAnsi="Arial"/>
          <w:b w:val="false"/>
          <w:bCs w:val="false"/>
          <w:i w:val="false"/>
          <w:iCs w:val="false"/>
          <w:color w:val="2D2D2D"/>
          <w:sz w:val="22"/>
          <w:szCs w:val="22"/>
        </w:rPr>
        <w:t xml:space="preserve">☐  Begin sleep schedule transition: 20:00–04:00 for 3 nights before first shift</w:t>
      </w:r>
    </w:p>
    <w:p>
      <w:pPr>
        <w:spacing w:before="120" w:after="120" w:line="276"/>
        <w:ind w:left="360"/>
        <w:jc w:val="left"/>
      </w:pPr>
      <w:r>
        <w:rPr>
          <w:rFonts w:ascii="Arial" w:cs="Arial" w:eastAsia="Arial" w:hAnsi="Arial"/>
          <w:b w:val="false"/>
          <w:bCs w:val="false"/>
          <w:i w:val="false"/>
          <w:iCs w:val="false"/>
          <w:color w:val="2D2D2D"/>
          <w:sz w:val="22"/>
          <w:szCs w:val="22"/>
        </w:rPr>
        <w:t xml:space="preserve">☐  Set phone alarm for 03:45</w:t>
      </w:r>
    </w:p>
    <w:p>
      <w:pPr>
        <w:spacing w:before="120" w:after="120" w:line="276"/>
        <w:ind w:left="360"/>
        <w:jc w:val="left"/>
      </w:pPr>
      <w:r>
        <w:rPr>
          <w:rFonts w:ascii="Arial" w:cs="Arial" w:eastAsia="Arial" w:hAnsi="Arial"/>
          <w:b w:val="false"/>
          <w:bCs w:val="false"/>
          <w:i w:val="false"/>
          <w:iCs w:val="false"/>
          <w:color w:val="2D2D2D"/>
          <w:sz w:val="22"/>
          <w:szCs w:val="22"/>
        </w:rPr>
        <w:t xml:space="preserve">☐  Charge vehicle overnight (off-peak 23:00–09:00 at Tier 1 rate)</w:t>
      </w:r>
    </w:p>
    <w:p>
      <w:pPr>
        <w:spacing w:before="120" w:after="120" w:line="276"/>
        <w:ind w:left="360"/>
        <w:jc w:val="left"/>
      </w:pPr>
      <w:r>
        <w:rPr>
          <w:rFonts w:ascii="Arial" w:cs="Arial" w:eastAsia="Arial" w:hAnsi="Arial"/>
          <w:b w:val="false"/>
          <w:bCs w:val="false"/>
          <w:i w:val="false"/>
          <w:iCs w:val="false"/>
          <w:color w:val="2D2D2D"/>
          <w:sz w:val="22"/>
          <w:szCs w:val="22"/>
        </w:rPr>
        <w:t xml:space="preserve">☐  Write £192 on a card and keep in car</w:t>
      </w:r>
    </w:p>
    <w:p>
      <w:pPr>
        <w:spacing w:before="120" w:after="120" w:line="276"/>
        <w:ind w:left="360"/>
        <w:jc w:val="left"/>
      </w:pPr>
      <w:r>
        <w:rPr>
          <w:rFonts w:ascii="Arial" w:cs="Arial" w:eastAsia="Arial" w:hAnsi="Arial"/>
          <w:b w:val="false"/>
          <w:bCs w:val="false"/>
          <w:i w:val="false"/>
          <w:iCs w:val="false"/>
          <w:color w:val="2D2D2D"/>
          <w:sz w:val="22"/>
          <w:szCs w:val="22"/>
        </w:rPr>
        <w:t xml:space="preserve">☐  Establish £660 cash reserve</w:t>
      </w:r>
    </w:p>
    <w:p>
      <w:pPr>
        <w:spacing w:before="120" w:after="120" w:line="276"/>
        <w:jc w:val="left"/>
      </w:pPr>
      <w:r>
        <w:rPr>
          <w:rFonts w:ascii="Arial" w:cs="Arial" w:eastAsia="Arial" w:hAnsi="Arial"/>
          <w:b/>
          <w:bCs/>
          <w:i w:val="false"/>
          <w:iCs w:val="false"/>
          <w:color w:val="2D2D2D"/>
          <w:sz w:val="22"/>
          <w:szCs w:val="22"/>
        </w:rPr>
        <w:t xml:space="preserve">Phase 1: Trial (Weeks 1–3)</w:t>
      </w:r>
    </w:p>
    <w:p>
      <w:pPr>
        <w:spacing w:before="120" w:after="120" w:line="276"/>
        <w:ind w:left="360"/>
        <w:jc w:val="left"/>
      </w:pPr>
      <w:r>
        <w:rPr>
          <w:rFonts w:ascii="Arial" w:cs="Arial" w:eastAsia="Arial" w:hAnsi="Arial"/>
          <w:b w:val="false"/>
          <w:bCs w:val="false"/>
          <w:i w:val="false"/>
          <w:iCs w:val="false"/>
          <w:color w:val="2D2D2D"/>
          <w:sz w:val="22"/>
          <w:szCs w:val="22"/>
        </w:rPr>
        <w:t xml:space="preserve">☐  Run 2–3 weeks on strict 04:00–14:00 schedule</w:t>
      </w:r>
    </w:p>
    <w:p>
      <w:pPr>
        <w:spacing w:before="120" w:after="120" w:line="276"/>
        <w:ind w:left="360"/>
        <w:jc w:val="left"/>
      </w:pPr>
      <w:r>
        <w:rPr>
          <w:rFonts w:ascii="Arial" w:cs="Arial" w:eastAsia="Arial" w:hAnsi="Arial"/>
          <w:b w:val="false"/>
          <w:bCs w:val="false"/>
          <w:i w:val="false"/>
          <w:iCs w:val="false"/>
          <w:color w:val="2D2D2D"/>
          <w:sz w:val="22"/>
          <w:szCs w:val="22"/>
        </w:rPr>
        <w:t xml:space="preserve">☐  Record daily earnings, noting 04–08 vs 08–14 split</w:t>
      </w:r>
    </w:p>
    <w:p>
      <w:pPr>
        <w:spacing w:before="120" w:after="120" w:line="276"/>
        <w:ind w:left="360"/>
        <w:jc w:val="left"/>
      </w:pPr>
      <w:r>
        <w:rPr>
          <w:rFonts w:ascii="Arial" w:cs="Arial" w:eastAsia="Arial" w:hAnsi="Arial"/>
          <w:b w:val="false"/>
          <w:bCs w:val="false"/>
          <w:i w:val="false"/>
          <w:iCs w:val="false"/>
          <w:color w:val="2D2D2D"/>
          <w:sz w:val="22"/>
          <w:szCs w:val="22"/>
        </w:rPr>
        <w:t xml:space="preserve">☐  Track sleep quality and fatigue levels</w:t>
      </w:r>
    </w:p>
    <w:p>
      <w:pPr>
        <w:spacing w:before="120" w:after="120" w:line="276"/>
        <w:ind w:left="360"/>
        <w:jc w:val="left"/>
      </w:pPr>
      <w:r>
        <w:rPr>
          <w:rFonts w:ascii="Arial" w:cs="Arial" w:eastAsia="Arial" w:hAnsi="Arial"/>
          <w:b w:val="false"/>
          <w:bCs w:val="false"/>
          <w:i w:val="false"/>
          <w:iCs w:val="false"/>
          <w:color w:val="2D2D2D"/>
          <w:sz w:val="22"/>
          <w:szCs w:val="22"/>
        </w:rPr>
        <w:t xml:space="preserve">☐  Evaluate against success criteria (Section 12.3)</w:t>
      </w:r>
    </w:p>
    <w:p>
      <w:pPr>
        <w:spacing w:before="120" w:after="120" w:line="276"/>
        <w:ind w:left="360"/>
        <w:jc w:val="left"/>
      </w:pPr>
      <w:r>
        <w:rPr>
          <w:rFonts w:ascii="Arial" w:cs="Arial" w:eastAsia="Arial" w:hAnsi="Arial"/>
          <w:b w:val="false"/>
          <w:bCs w:val="false"/>
          <w:i w:val="false"/>
          <w:iCs w:val="false"/>
          <w:color w:val="2D2D2D"/>
          <w:sz w:val="22"/>
          <w:szCs w:val="22"/>
        </w:rPr>
        <w:t xml:space="preserve">☐  Decision: adopt, adjust, or revert (Section 12.4)</w:t>
      </w:r>
    </w:p>
    <w:p>
      <w:pPr>
        <w:spacing w:before="120" w:after="120" w:line="276"/>
        <w:jc w:val="left"/>
      </w:pPr>
      <w:r>
        <w:rPr>
          <w:rFonts w:ascii="Arial" w:cs="Arial" w:eastAsia="Arial" w:hAnsi="Arial"/>
          <w:b/>
          <w:bCs/>
          <w:i w:val="false"/>
          <w:iCs w:val="false"/>
          <w:color w:val="2D2D2D"/>
          <w:sz w:val="22"/>
          <w:szCs w:val="22"/>
        </w:rPr>
        <w:t xml:space="preserve">Phase 2: Steady State (Cycle 2+)</w:t>
      </w:r>
    </w:p>
    <w:p>
      <w:pPr>
        <w:spacing w:before="120" w:after="120" w:line="276"/>
        <w:ind w:left="360"/>
        <w:jc w:val="left"/>
      </w:pPr>
      <w:r>
        <w:rPr>
          <w:rFonts w:ascii="Arial" w:cs="Arial" w:eastAsia="Arial" w:hAnsi="Arial"/>
          <w:b w:val="false"/>
          <w:bCs w:val="false"/>
          <w:i w:val="false"/>
          <w:iCs w:val="false"/>
          <w:color w:val="2D2D2D"/>
          <w:sz w:val="22"/>
          <w:szCs w:val="22"/>
        </w:rPr>
        <w:t xml:space="preserve">☐  Monthly review: earnings vs £1,783 net target</w:t>
      </w:r>
    </w:p>
    <w:p>
      <w:pPr>
        <w:spacing w:before="120" w:after="120" w:line="276"/>
        <w:ind w:left="360"/>
        <w:jc w:val="left"/>
      </w:pPr>
      <w:r>
        <w:rPr>
          <w:rFonts w:ascii="Arial" w:cs="Arial" w:eastAsia="Arial" w:hAnsi="Arial"/>
          <w:b w:val="false"/>
          <w:bCs w:val="false"/>
          <w:i w:val="false"/>
          <w:iCs w:val="false"/>
          <w:color w:val="2D2D2D"/>
          <w:sz w:val="22"/>
          <w:szCs w:val="22"/>
        </w:rPr>
        <w:t xml:space="preserve">☐  Track study hours against 164h/month target</w:t>
      </w:r>
    </w:p>
    <w:p>
      <w:pPr>
        <w:spacing w:before="120" w:after="120" w:line="276"/>
        <w:ind w:left="360"/>
        <w:jc w:val="left"/>
      </w:pPr>
      <w:r>
        <w:rPr>
          <w:rFonts w:ascii="Arial" w:cs="Arial" w:eastAsia="Arial" w:hAnsi="Arial"/>
          <w:b w:val="false"/>
          <w:bCs w:val="false"/>
          <w:i w:val="false"/>
          <w:iCs w:val="false"/>
          <w:color w:val="2D2D2D"/>
          <w:sz w:val="22"/>
          <w:szCs w:val="22"/>
        </w:rPr>
        <w:t xml:space="preserve">☐  Quarterly: assess cybersecurity traineeship readiness</w:t>
      </w:r>
    </w:p>
    <w:p>
      <w:pPr>
        <w:spacing w:before="120" w:after="120" w:line="276"/>
        <w:ind w:left="360"/>
        <w:jc w:val="left"/>
      </w:pPr>
      <w:r>
        <w:rPr>
          <w:rFonts w:ascii="Arial" w:cs="Arial" w:eastAsia="Arial" w:hAnsi="Arial"/>
          <w:b w:val="false"/>
          <w:bCs w:val="false"/>
          <w:i w:val="false"/>
          <w:iCs w:val="false"/>
          <w:color w:val="2D2D2D"/>
          <w:sz w:val="22"/>
          <w:szCs w:val="22"/>
        </w:rPr>
        <w:t xml:space="preserve">☐  Recalibrate ρ and rest day allocation if demand patterns shift</w:t>
      </w:r>
    </w:p>
    <w:p>
      <w:pPr>
        <w:spacing w:before="400" w:after="120" w:line="276"/>
        <w:jc w:val="left"/>
      </w:pPr>
    </w:p>
    <w:p>
      <w:pPr>
        <w:spacing w:before="120" w:after="120" w:line="276"/>
        <w:jc w:val="center"/>
      </w:pPr>
      <w:r>
        <w:rPr>
          <w:rFonts w:ascii="Arial" w:cs="Arial" w:eastAsia="Arial" w:hAnsi="Arial"/>
          <w:b w:val="false"/>
          <w:bCs w:val="false"/>
          <w:i/>
          <w:iCs/>
          <w:color w:val="2E75B6"/>
          <w:sz w:val="22"/>
          <w:szCs w:val="22"/>
        </w:rPr>
        <w:t xml:space="preserve">— End of Model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iCs/>
        <w:color w:val="2E75B6"/>
        <w:sz w:val="16"/>
        <w:szCs w:val="16"/>
      </w:rPr>
      <w:t xml:space="preserve">Confidential  •  Shehzad Qayum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b w:val="false"/>
        <w:bCs w:val="false"/>
        <w:i/>
        <w:iCs/>
        <w:color w:val="2E75B6"/>
        <w:sz w:val="16"/>
        <w:szCs w:val="16"/>
      </w:rPr>
      <w:t xml:space="preserve">SOM-001 Final  •  Sustainable Operations Model  •  Day Shift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2026-03-04T06:09:47.167Z</dcterms:created>
  <dcterms:modified xsi:type="dcterms:W3CDTF">2026-03-04T06:09:47.168Z</dcterms:modified>
</cp:coreProperties>
</file>

<file path=docProps/custom.xml><?xml version="1.0" encoding="utf-8"?>
<Properties xmlns="http://schemas.openxmlformats.org/officeDocument/2006/custom-properties" xmlns:vt="http://schemas.openxmlformats.org/officeDocument/2006/docPropsVTypes"/>
</file>