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119.png" ContentType="image/png"/>
  <Override PartName="/word/media/rId127.png" ContentType="image/png"/>
  <Override PartName="/word/media/rId130.png" ContentType="image/png"/>
  <Override PartName="/word/media/rId133.png" ContentType="image/png"/>
  <Override PartName="/word/media/rId136.png" ContentType="image/png"/>
  <Override PartName="/word/media/rId139.png" ContentType="image/png"/>
  <Override PartName="/word/media/rId142.png" ContentType="image/png"/>
  <Override PartName="/word/media/rId145.png" ContentType="image/png"/>
  <Override PartName="/word/media/rId148.png" ContentType="image/png"/>
  <Override PartName="/word/media/rId185.png" ContentType="image/png"/>
  <Override PartName="/word/media/rId48.png" ContentType="image/png"/>
  <Override PartName="/word/media/rId188.png" ContentType="image/png"/>
  <Override PartName="/word/media/rId191.png" ContentType="image/png"/>
  <Override PartName="/word/media/rId194.png" ContentType="image/png"/>
  <Override PartName="/word/media/rId219.png" ContentType="image/png"/>
  <Override PartName="/word/media/rId51.png" ContentType="image/png"/>
  <Override PartName="/word/media/rId58.png" ContentType="image/png"/>
  <Override PartName="/word/media/rId61.png" ContentType="image/png"/>
  <Override PartName="/word/media/rId64.png" ContentType="image/png"/>
  <Override PartName="/word/media/rId67.png" ContentType="image/png"/>
  <Override PartName="/word/media/rId113.png" ContentType="image/png"/>
  <Override PartName="/word/media/rId1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4d7bea72dc39511120af7183634b718c2db7bb2"/>
    <w:p>
      <w:pPr>
        <w:pStyle w:val="Heading1"/>
      </w:pPr>
      <w:r>
        <w:t xml:space="preserve">VISTA: Verification using Intelligent Systems for Test Automation</w:t>
      </w:r>
    </w:p>
    <w:bookmarkStart w:id="20" w:name="X8ca02a746da309ef4d45fa1921f9e1d4bd14c29"/>
    <w:p>
      <w:pPr>
        <w:pStyle w:val="Heading2"/>
      </w:pPr>
      <w:r>
        <w:t xml:space="preserve">Senior Design Project Report — Draft 3 (GIKI format structure)</w:t>
      </w:r>
    </w:p>
    <w:p>
      <w:pPr>
        <w:pStyle w:val="FirstParagraph"/>
      </w:pPr>
      <w:r>
        <w:rPr>
          <w:b/>
          <w:bCs/>
        </w:rPr>
        <w:t xml:space="preserve">Institute typography (apply in Microsoft Word per</w:t>
      </w:r>
      <w:r>
        <w:rPr>
          <w:b/>
          <w:bCs/>
        </w:rPr>
        <w:t xml:space="preserve"> </w:t>
      </w:r>
      <w:r>
        <w:rPr>
          <w:rStyle w:val="VerbatimChar"/>
          <w:b/>
          <w:bCs/>
        </w:rPr>
        <w:t xml:space="preserve">Vista_Report_format.txt</w:t>
      </w:r>
      <w:r>
        <w:rPr>
          <w:b/>
          <w:bCs/>
        </w:rPr>
        <w:t xml:space="preserve">):</w:t>
      </w:r>
      <w:r>
        <w:t xml:space="preserve"> </w:t>
      </w:r>
      <w:r>
        <w:t xml:space="preserve">Title page — Times New Roman</w:t>
      </w:r>
      <w:r>
        <w:t xml:space="preserve"> </w:t>
      </w:r>
      <w:r>
        <w:rPr>
          <w:b/>
          <w:bCs/>
        </w:rPr>
        <w:t xml:space="preserve">18 pt bold</w:t>
      </w:r>
      <w:r>
        <w:t xml:space="preserve"> </w:t>
      </w:r>
      <w:r>
        <w:t xml:space="preserve">(SDP title); student names and register numbers</w:t>
      </w:r>
      <w:r>
        <w:t xml:space="preserve"> </w:t>
      </w:r>
      <w:r>
        <w:rPr>
          <w:b/>
          <w:bCs/>
        </w:rPr>
        <w:t xml:space="preserve">14 pt bold</w:t>
      </w:r>
      <w:r>
        <w:t xml:space="preserve">; advisor, faculty, and institute names</w:t>
      </w:r>
      <w:r>
        <w:t xml:space="preserve"> </w:t>
      </w:r>
      <w:r>
        <w:rPr>
          <w:b/>
          <w:bCs/>
        </w:rPr>
        <w:t xml:space="preserve">14 pt bold</w:t>
      </w:r>
      <w:r>
        <w:t xml:space="preserve">; insert official</w:t>
      </w:r>
      <w:r>
        <w:t xml:space="preserve"> </w:t>
      </w:r>
      <w:r>
        <w:rPr>
          <w:b/>
          <w:bCs/>
        </w:rPr>
        <w:t xml:space="preserve">university logo</w:t>
      </w:r>
      <w:r>
        <w:t xml:space="preserve">. Body text — Times New Roman</w:t>
      </w:r>
      <w:r>
        <w:t xml:space="preserve"> </w:t>
      </w:r>
      <w:r>
        <w:rPr>
          <w:b/>
          <w:bCs/>
        </w:rPr>
        <w:t xml:space="preserve">12 pt</w:t>
      </w:r>
      <w:r>
        <w:t xml:space="preserve">,</w:t>
      </w:r>
      <w:r>
        <w:t xml:space="preserve"> </w:t>
      </w:r>
      <w:r>
        <w:rPr>
          <w:b/>
          <w:bCs/>
        </w:rPr>
        <w:t xml:space="preserve">1.5 line spacing</w:t>
      </w:r>
      <w:r>
        <w:t xml:space="preserve">,</w:t>
      </w:r>
      <w:r>
        <w:t xml:space="preserve"> </w:t>
      </w:r>
      <w:r>
        <w:rPr>
          <w:b/>
          <w:bCs/>
        </w:rPr>
        <w:t xml:space="preserve">justified</w:t>
      </w:r>
      <w:r>
        <w:t xml:space="preserve">. Abstract and Acknowledgements titles —</w:t>
      </w:r>
      <w:r>
        <w:t xml:space="preserve"> </w:t>
      </w:r>
      <w:r>
        <w:rPr>
          <w:b/>
          <w:bCs/>
        </w:rPr>
        <w:t xml:space="preserve">14 pt bold</w:t>
      </w:r>
      <w:r>
        <w:t xml:space="preserve">.</w:t>
      </w:r>
      <w:r>
        <w:t xml:space="preserve"> </w:t>
      </w:r>
      <w:r>
        <w:rPr>
          <w:b/>
          <w:bCs/>
        </w:rPr>
        <w:t xml:space="preserve">Title page margins:</w:t>
      </w:r>
      <w:r>
        <w:t xml:space="preserve"> </w:t>
      </w:r>
      <w:r>
        <w:t xml:space="preserve">Top 1.5″, Bottom 0.39″, Left 2″, Right 1.33″.</w:t>
      </w:r>
      <w:r>
        <w:t xml:space="preserve"> </w:t>
      </w:r>
      <w:r>
        <w:rPr>
          <w:b/>
          <w:bCs/>
        </w:rPr>
        <w:t xml:space="preserve">Subsequent pages:</w:t>
      </w:r>
      <w:r>
        <w:t xml:space="preserve"> </w:t>
      </w:r>
      <w:r>
        <w:t xml:space="preserve">Top and Bottom 1.5″, Left 2″, Right 1.33″; section start</w:t>
      </w:r>
      <w:r>
        <w:t xml:space="preserve"> </w:t>
      </w:r>
      <w:r>
        <w:rPr>
          <w:b/>
          <w:bCs/>
        </w:rPr>
        <w:t xml:space="preserve">New Page</w:t>
      </w:r>
      <w:r>
        <w:t xml:space="preserve"> </w:t>
      </w:r>
      <w:r>
        <w:t xml:space="preserve">where required.</w:t>
      </w:r>
      <w:r>
        <w:t xml:space="preserve"> </w:t>
      </w:r>
      <w:r>
        <w:rPr>
          <w:b/>
          <w:bCs/>
        </w:rPr>
        <w:t xml:space="preserve">Paper:</w:t>
      </w:r>
      <w:r>
        <w:t xml:space="preserve"> </w:t>
      </w:r>
      <w:r>
        <w:t xml:space="preserve">Letter (8.5″ × 11″), Portrait. Number equations consecutively as (1.1), (1.2), … with symbols per institute guidance.</w:t>
      </w:r>
      <w:r>
        <w:t xml:space="preserve"> </w:t>
      </w:r>
      <w:r>
        <w:rPr>
          <w:b/>
          <w:bCs/>
        </w:rPr>
        <w:t xml:space="preserve">Figures:</w:t>
      </w:r>
      <w:r>
        <w:t xml:space="preserve"> </w:t>
      </w:r>
      <w:r>
        <w:t xml:space="preserve">cite before insertion (e.g., Fig. 1.1); caption</w:t>
      </w:r>
      <w:r>
        <w:t xml:space="preserve"> </w:t>
      </w:r>
      <w:r>
        <w:rPr>
          <w:b/>
          <w:bCs/>
        </w:rPr>
        <w:t xml:space="preserve">below</w:t>
      </w:r>
      <w:r>
        <w:t xml:space="preserve"> </w:t>
      </w:r>
      <w:r>
        <w:t xml:space="preserve">figure (10 pt in final Word).</w:t>
      </w:r>
      <w:r>
        <w:t xml:space="preserve"> </w:t>
      </w:r>
      <w:r>
        <w:rPr>
          <w:b/>
          <w:bCs/>
        </w:rPr>
        <w:t xml:space="preserve">Tables:</w:t>
      </w:r>
      <w:r>
        <w:t xml:space="preserve"> </w:t>
      </w:r>
      <w:r>
        <w:t xml:space="preserve">head</w:t>
      </w:r>
      <w:r>
        <w:t xml:space="preserve"> </w:t>
      </w:r>
      <w:r>
        <w:rPr>
          <w:b/>
          <w:bCs/>
        </w:rPr>
        <w:t xml:space="preserve">above</w:t>
      </w:r>
      <w:r>
        <w:t xml:space="preserve"> </w:t>
      </w:r>
      <w:r>
        <w:t xml:space="preserve">table (10 pt). Submit through</w:t>
      </w:r>
      <w:r>
        <w:t xml:space="preserve"> </w:t>
      </w:r>
      <w:r>
        <w:rPr>
          <w:b/>
          <w:bCs/>
        </w:rPr>
        <w:t xml:space="preserve">Turnitin</w:t>
      </w:r>
      <w:r>
        <w:t xml:space="preserve"> </w:t>
      </w:r>
      <w:r>
        <w:t xml:space="preserve">as required.</w:t>
      </w:r>
    </w:p>
    <w:p>
      <w:pPr>
        <w:pStyle w:val="BodyText"/>
      </w:pPr>
      <w:r>
        <w:rPr>
          <w:b/>
          <w:bCs/>
        </w:rPr>
        <w:t xml:space="preserve">Pagination estimate:</w:t>
      </w:r>
      <w:r>
        <w:t xml:space="preserve"> </w:t>
      </w:r>
      <w:r>
        <w:t xml:space="preserve">This Markdown is written for expansion to approximately</w:t>
      </w:r>
      <w:r>
        <w:t xml:space="preserve"> </w:t>
      </w:r>
      <w:r>
        <w:rPr>
          <w:b/>
          <w:bCs/>
        </w:rPr>
        <w:t xml:space="preserve">ninety</w:t>
      </w:r>
      <w:r>
        <w:t xml:space="preserve"> </w:t>
      </w:r>
      <w:r>
        <w:t xml:space="preserve">printed pages after Word formatting, insertion of official title and certificate pages, list of figures/tables with page numbers, and optional blank verso pages. Actual page count depends on figure sizes and heading styles.</w:t>
      </w:r>
    </w:p>
    <w:bookmarkEnd w:id="20"/>
    <w:bookmarkStart w:id="21" w:name="title-page-required-content-checklist"/>
    <w:p>
      <w:pPr>
        <w:pStyle w:val="Heading2"/>
      </w:pPr>
      <w:r>
        <w:t xml:space="preserve">Title Page — Required content checklist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Content</w:t>
            </w:r>
          </w:p>
        </w:tc>
      </w:tr>
      <w:tr>
        <w:tc>
          <w:tcPr/>
          <w:p>
            <w:pPr>
              <w:pStyle w:val="Compact"/>
            </w:pPr>
            <w:r>
              <w:t xml:space="preserve">SDP title (18 pt bold)</w:t>
            </w:r>
          </w:p>
        </w:tc>
        <w:tc>
          <w:tcPr/>
          <w:p>
            <w:pPr>
              <w:pStyle w:val="Compact"/>
            </w:pPr>
            <w:r>
              <w:rPr>
                <w:b/>
                <w:bCs/>
              </w:rPr>
              <w:t xml:space="preserve">VISTA: Verification using Intelligent Systems for Test Automation</w:t>
            </w:r>
          </w:p>
        </w:tc>
      </w:tr>
      <w:tr>
        <w:tc>
          <w:tcPr/>
          <w:p>
            <w:pPr>
              <w:pStyle w:val="Compact"/>
            </w:pPr>
            <w:r>
              <w:t xml:space="preserve">Students (14 pt bold)</w:t>
            </w:r>
          </w:p>
        </w:tc>
        <w:tc>
          <w:tcPr/>
          <w:p>
            <w:pPr>
              <w:pStyle w:val="Compact"/>
            </w:pPr>
            <w:r>
              <w:rPr>
                <w:b/>
                <w:bCs/>
              </w:rPr>
              <w:t xml:space="preserve">Asad Ali</w:t>
            </w:r>
            <w:r>
              <w:t xml:space="preserve">,</w:t>
            </w:r>
            <w:r>
              <w:t xml:space="preserve"> </w:t>
            </w:r>
            <w:r>
              <w:rPr>
                <w:b/>
                <w:bCs/>
              </w:rPr>
              <w:t xml:space="preserve">Sheikh Abbas</w:t>
            </w:r>
            <w:r>
              <w:t xml:space="preserve">,</w:t>
            </w:r>
            <w:r>
              <w:t xml:space="preserve"> </w:t>
            </w:r>
            <w:r>
              <w:rPr>
                <w:b/>
                <w:bCs/>
              </w:rPr>
              <w:t xml:space="preserve">Mian Arqam</w:t>
            </w:r>
            <w:r>
              <w:t xml:space="preserve"> </w:t>
            </w:r>
            <w:r>
              <w:t xml:space="preserve">—</w:t>
            </w:r>
            <w:r>
              <w:t xml:space="preserve"> </w:t>
            </w:r>
            <w:r>
              <w:rPr>
                <w:i/>
                <w:iCs/>
              </w:rPr>
              <w:t xml:space="preserve">add registration numbers</w:t>
            </w:r>
          </w:p>
        </w:tc>
      </w:tr>
      <w:tr>
        <w:tc>
          <w:tcPr/>
          <w:p>
            <w:pPr>
              <w:pStyle w:val="Compact"/>
            </w:pPr>
            <w:r>
              <w:t xml:space="preserve">Advisor</w:t>
            </w:r>
          </w:p>
        </w:tc>
        <w:tc>
          <w:tcPr/>
          <w:p>
            <w:pPr>
              <w:pStyle w:val="Compact"/>
            </w:pPr>
            <w:r>
              <w:rPr>
                <w:b/>
                <w:bCs/>
              </w:rPr>
              <w:t xml:space="preserve">Dr. Fahad Bin Muslim</w:t>
            </w:r>
          </w:p>
        </w:tc>
      </w:tr>
      <w:tr>
        <w:tc>
          <w:tcPr/>
          <w:p>
            <w:pPr>
              <w:pStyle w:val="Compact"/>
            </w:pPr>
            <w:r>
              <w:t xml:space="preserve">Co-advisor</w:t>
            </w:r>
          </w:p>
        </w:tc>
        <w:tc>
          <w:tcPr/>
          <w:p>
            <w:pPr>
              <w:pStyle w:val="Compact"/>
            </w:pPr>
            <w:r>
              <w:rPr>
                <w:b/>
                <w:bCs/>
              </w:rPr>
              <w:t xml:space="preserve">Dr. Waqar</w:t>
            </w:r>
            <w:r>
              <w:t xml:space="preserve"> </w:t>
            </w:r>
            <w:r>
              <w:rPr>
                <w:i/>
                <w:iCs/>
              </w:rPr>
              <w:t xml:space="preserve">(if applicable)</w:t>
            </w:r>
          </w:p>
        </w:tc>
      </w:tr>
      <w:tr>
        <w:tc>
          <w:tcPr/>
          <w:p>
            <w:pPr>
              <w:pStyle w:val="Compact"/>
            </w:pPr>
            <w:r>
              <w:t xml:space="preserve">Industrial mentors</w:t>
            </w:r>
          </w:p>
        </w:tc>
        <w:tc>
          <w:tcPr/>
          <w:p>
            <w:pPr>
              <w:pStyle w:val="Compact"/>
            </w:pPr>
            <w:r>
              <w:rPr>
                <w:b/>
                <w:bCs/>
              </w:rPr>
              <w:t xml:space="preserve">Dr. Haroon</w:t>
            </w:r>
            <w:r>
              <w:t xml:space="preserve">,</w:t>
            </w:r>
            <w:r>
              <w:t xml:space="preserve"> </w:t>
            </w:r>
            <w:r>
              <w:rPr>
                <w:b/>
                <w:bCs/>
              </w:rPr>
              <w:t xml:space="preserve">Dr. Majeed</w:t>
            </w:r>
            <w:r>
              <w:t xml:space="preserve"> </w:t>
            </w:r>
            <w:r>
              <w:t xml:space="preserve">—</w:t>
            </w:r>
            <w:r>
              <w:t xml:space="preserve"> </w:t>
            </w:r>
            <w:r>
              <w:rPr>
                <w:b/>
                <w:bCs/>
              </w:rPr>
              <w:t xml:space="preserve">NECOP</w:t>
            </w:r>
          </w:p>
        </w:tc>
      </w:tr>
      <w:tr>
        <w:tc>
          <w:tcPr/>
          <w:p>
            <w:pPr>
              <w:pStyle w:val="Compact"/>
            </w:pPr>
            <w:r>
              <w:t xml:space="preserve">Faculty name (14 pt bold)</w:t>
            </w:r>
          </w:p>
        </w:tc>
        <w:tc>
          <w:tcPr/>
          <w:p>
            <w:pPr>
              <w:pStyle w:val="Compact"/>
            </w:pPr>
            <w:r>
              <w:t xml:space="preserve">Faculty of Computer Engineering</w:t>
            </w:r>
            <w:r>
              <w:t xml:space="preserve"> </w:t>
            </w:r>
            <w:r>
              <w:rPr>
                <w:i/>
                <w:iCs/>
              </w:rPr>
              <w:t xml:space="preserve">(verify official wording)</w:t>
            </w:r>
          </w:p>
        </w:tc>
      </w:tr>
      <w:tr>
        <w:tc>
          <w:tcPr/>
          <w:p>
            <w:pPr>
              <w:pStyle w:val="Compact"/>
            </w:pPr>
            <w:r>
              <w:t xml:space="preserve">Institute (14 pt bold)</w:t>
            </w:r>
          </w:p>
        </w:tc>
        <w:tc>
          <w:tcPr/>
          <w:p>
            <w:pPr>
              <w:pStyle w:val="Compact"/>
            </w:pPr>
            <w:r>
              <w:rPr>
                <w:b/>
                <w:bCs/>
              </w:rPr>
              <w:t xml:space="preserve">Ghulam Ishaq Khan Institute of Engineering Sciences and Technology (GIKI), Topi, Pakistan</w:t>
            </w:r>
          </w:p>
        </w:tc>
      </w:tr>
    </w:tbl>
    <w:p>
      <w:pPr>
        <w:pStyle w:val="BodyText"/>
      </w:pPr>
      <w:r>
        <w:rPr>
          <w:i/>
          <w:iCs/>
        </w:rPr>
        <w:t xml:space="preserve">Insert university logo on the bound title page.</w:t>
      </w:r>
    </w:p>
    <w:bookmarkEnd w:id="21"/>
    <w:bookmarkStart w:id="22" w:name="certificate-of-approval"/>
    <w:p>
      <w:pPr>
        <w:pStyle w:val="Heading2"/>
      </w:pPr>
      <w:r>
        <w:t xml:space="preserve">Certificate of Approval</w:t>
      </w:r>
    </w:p>
    <w:p>
      <w:pPr>
        <w:pStyle w:val="FirstParagraph"/>
      </w:pPr>
      <w:r>
        <w:t xml:space="preserve">It is certified that the work presented in this report was performed by</w:t>
      </w:r>
      <w:r>
        <w:t xml:space="preserve"> </w:t>
      </w:r>
      <w:r>
        <w:rPr>
          <w:b/>
          <w:bCs/>
        </w:rPr>
        <w:t xml:space="preserve">Asad Ali</w:t>
      </w:r>
      <w:r>
        <w:t xml:space="preserve">,</w:t>
      </w:r>
      <w:r>
        <w:t xml:space="preserve"> </w:t>
      </w:r>
      <w:r>
        <w:rPr>
          <w:b/>
          <w:bCs/>
        </w:rPr>
        <w:t xml:space="preserve">Sheikh Abbas</w:t>
      </w:r>
      <w:r>
        <w:t xml:space="preserve">, and</w:t>
      </w:r>
      <w:r>
        <w:t xml:space="preserve"> </w:t>
      </w:r>
      <w:r>
        <w:rPr>
          <w:b/>
          <w:bCs/>
        </w:rPr>
        <w:t xml:space="preserve">Mian Arqam</w:t>
      </w:r>
      <w:r>
        <w:t xml:space="preserve"> </w:t>
      </w:r>
      <w:r>
        <w:t xml:space="preserve">under the supervision of</w:t>
      </w:r>
      <w:r>
        <w:t xml:space="preserve"> </w:t>
      </w:r>
      <w:r>
        <w:rPr>
          <w:b/>
          <w:bCs/>
        </w:rPr>
        <w:t xml:space="preserve">Dr. Fahad Bin Muslim</w:t>
      </w:r>
      <w:r>
        <w:t xml:space="preserve">. The work is adequate and lies within the scope of the</w:t>
      </w:r>
      <w:r>
        <w:t xml:space="preserve"> </w:t>
      </w:r>
      <w:r>
        <w:rPr>
          <w:b/>
          <w:bCs/>
        </w:rPr>
        <w:t xml:space="preserve">BS degree in Computer Engineering / Computer Science</w:t>
      </w:r>
      <w:r>
        <w:t xml:space="preserve"> </w:t>
      </w:r>
      <w:r>
        <w:t xml:space="preserve">at Ghulam Ishaq Khan Institute of Engineering Sciences and Technology.</w:t>
      </w:r>
    </w:p>
    <w:p>
      <w:pPr>
        <w:pStyle w:val="BodyText"/>
      </w:pPr>
      <w:r>
        <w:t xml:space="preserve">Industrial collaboration was supported by</w:t>
      </w:r>
      <w:r>
        <w:t xml:space="preserve"> </w:t>
      </w:r>
      <w:r>
        <w:rPr>
          <w:b/>
          <w:bCs/>
        </w:rPr>
        <w:t xml:space="preserve">NECOP</w:t>
      </w:r>
      <w:r>
        <w:t xml:space="preserve"> </w:t>
      </w:r>
      <w:r>
        <w:t xml:space="preserve">with mentorship from</w:t>
      </w:r>
      <w:r>
        <w:t xml:space="preserve"> </w:t>
      </w:r>
      <w:r>
        <w:rPr>
          <w:b/>
          <w:bCs/>
        </w:rPr>
        <w:t xml:space="preserve">Dr. Haroon</w:t>
      </w:r>
      <w:r>
        <w:t xml:space="preserve"> </w:t>
      </w:r>
      <w:r>
        <w:t xml:space="preserve">and</w:t>
      </w:r>
      <w:r>
        <w:t xml:space="preserve"> </w:t>
      </w:r>
      <w:r>
        <w:rPr>
          <w:b/>
          <w:bCs/>
        </w:rPr>
        <w:t xml:space="preserve">Dr. Majeed</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Advisor</w:t>
            </w:r>
          </w:p>
        </w:tc>
        <w:tc>
          <w:tcPr/>
          <w:p>
            <w:pPr>
              <w:pStyle w:val="Compact"/>
            </w:pPr>
            <w:r>
              <w:t xml:space="preserve">Co-Advisor</w:t>
            </w:r>
            <w:r>
              <w:t xml:space="preserve"> </w:t>
            </w:r>
            <w:r>
              <w:rPr>
                <w:i/>
                <w:iCs/>
              </w:rPr>
              <w:t xml:space="preserve">(if applicable)</w:t>
            </w:r>
          </w:p>
        </w:tc>
      </w:tr>
      <w:tr>
        <w:tc>
          <w:tcPr/>
          <w:p>
            <w:pPr>
              <w:pStyle w:val="Compact"/>
            </w:pPr>
            <w:r>
              <w:t xml:space="preserve">_________________________</w:t>
            </w:r>
          </w:p>
        </w:tc>
        <w:tc>
          <w:tcPr/>
          <w:p>
            <w:pPr>
              <w:pStyle w:val="Compact"/>
            </w:pPr>
            <w:r>
              <w:t xml:space="preserve">_________________________</w:t>
            </w:r>
          </w:p>
        </w:tc>
      </w:tr>
    </w:tbl>
    <w:p>
      <w:pPr>
        <w:pStyle w:val="BodyText"/>
      </w:pPr>
      <w:r>
        <w:rPr>
          <w:b/>
          <w:bCs/>
        </w:rPr>
        <w:t xml:space="preserve">Prof. Dr. Qadeer Ul Hassan</w:t>
      </w:r>
      <w:r>
        <w:br/>
      </w:r>
      <w:r>
        <w:t xml:space="preserve">Dean</w:t>
      </w:r>
      <w:r>
        <w:br/>
      </w:r>
      <w:r>
        <w:t xml:space="preserve">_________________________</w:t>
      </w:r>
    </w:p>
    <w:bookmarkEnd w:id="22"/>
    <w:bookmarkStart w:id="26" w:name="Xe8eca5ec3490ca0c0dac88a4eec8924b100c517"/>
    <w:p>
      <w:pPr>
        <w:pStyle w:val="Heading2"/>
      </w:pPr>
      <w:r>
        <w:t xml:space="preserve">SDGs Inclusion — goals aimed for and achievements</w:t>
      </w:r>
    </w:p>
    <w:bookmarkStart w:id="23" w:name="Xf8b2771bbac9de9a93400c4d49a0a6c7adb7ae3"/>
    <w:p>
      <w:pPr>
        <w:pStyle w:val="Heading3"/>
      </w:pPr>
      <w:r>
        <w:t xml:space="preserve">Sustainable Development Goal 4 — Quality education</w:t>
      </w:r>
    </w:p>
    <w:p>
      <w:pPr>
        <w:pStyle w:val="FirstParagraph"/>
      </w:pPr>
      <w:r>
        <w:rPr>
          <w:b/>
          <w:bCs/>
        </w:rPr>
        <w:t xml:space="preserve">Aim:</w:t>
      </w:r>
      <w:r>
        <w:t xml:space="preserve"> </w:t>
      </w:r>
      <w:r>
        <w:t xml:space="preserve">Strengthen inclusive education and lifelong learning through engineering depth and reproducible teaching artifacts.</w:t>
      </w:r>
    </w:p>
    <w:p>
      <w:pPr>
        <w:pStyle w:val="BodyText"/>
      </w:pPr>
      <w:r>
        <w:rPr>
          <w:b/>
          <w:bCs/>
        </w:rPr>
        <w:t xml:space="preserve">Achievement:</w:t>
      </w:r>
      <w:r>
        <w:t xml:space="preserve"> </w:t>
      </w:r>
      <w:r>
        <w:t xml:space="preserve">VISTA packages a transparent pipeline from RTL fragments to formal checks, suitable for laboratory modules on assertion-based verification. Students can inspect inputs, outputs, and tool logs rather than treating the system as a black box.</w:t>
      </w:r>
    </w:p>
    <w:bookmarkEnd w:id="23"/>
    <w:bookmarkStart w:id="24" w:name="X4c878512f156d7a8ef9a77fe6224e9ff5a36b10"/>
    <w:p>
      <w:pPr>
        <w:pStyle w:val="Heading3"/>
      </w:pPr>
      <w:r>
        <w:t xml:space="preserve">Sustainable Development Goal 9 — Industry, innovation and infrastructure</w:t>
      </w:r>
    </w:p>
    <w:p>
      <w:pPr>
        <w:pStyle w:val="FirstParagraph"/>
      </w:pPr>
      <w:r>
        <w:rPr>
          <w:b/>
          <w:bCs/>
        </w:rPr>
        <w:t xml:space="preserve">Aim:</w:t>
      </w:r>
      <w:r>
        <w:t xml:space="preserve"> </w:t>
      </w:r>
      <w:r>
        <w:t xml:space="preserve">Build resilient infrastructure and foster innovation.</w:t>
      </w:r>
    </w:p>
    <w:p>
      <w:pPr>
        <w:pStyle w:val="BodyText"/>
      </w:pPr>
      <w:r>
        <w:rPr>
          <w:b/>
          <w:bCs/>
        </w:rPr>
        <w:t xml:space="preserve">Achievement:</w:t>
      </w:r>
      <w:r>
        <w:t xml:space="preserve"> </w:t>
      </w:r>
      <w:r>
        <w:t xml:space="preserve">The work couples</w:t>
      </w:r>
      <w:r>
        <w:t xml:space="preserve"> </w:t>
      </w:r>
      <w:r>
        <w:rPr>
          <w:b/>
          <w:bCs/>
        </w:rPr>
        <w:t xml:space="preserve">large language models</w:t>
      </w:r>
      <w:r>
        <w:t xml:space="preserve"> </w:t>
      </w:r>
      <w:r>
        <w:t xml:space="preserve">with</w:t>
      </w:r>
      <w:r>
        <w:t xml:space="preserve"> </w:t>
      </w:r>
      <w:r>
        <w:rPr>
          <w:b/>
          <w:bCs/>
        </w:rPr>
        <w:t xml:space="preserve">open-source formal tools</w:t>
      </w:r>
      <w:r>
        <w:t xml:space="preserve"> </w:t>
      </w:r>
      <w:r>
        <w:t xml:space="preserve">(Yosys, SymbiYosys), lowering the barrier to rigorous property generation for research groups that lack commercial formal licenses.</w:t>
      </w:r>
    </w:p>
    <w:bookmarkEnd w:id="24"/>
    <w:bookmarkStart w:id="25" w:name="Xf8db059c865e0eb027bc72938f9dcc7599f142c"/>
    <w:p>
      <w:pPr>
        <w:pStyle w:val="Heading3"/>
      </w:pPr>
      <w:r>
        <w:t xml:space="preserve">Sustainable Development Goal 12 — Responsible consumption and production</w:t>
      </w:r>
    </w:p>
    <w:p>
      <w:pPr>
        <w:pStyle w:val="FirstParagraph"/>
      </w:pPr>
      <w:r>
        <w:rPr>
          <w:b/>
          <w:bCs/>
        </w:rPr>
        <w:t xml:space="preserve">Aim:</w:t>
      </w:r>
      <w:r>
        <w:t xml:space="preserve"> </w:t>
      </w:r>
      <w:r>
        <w:t xml:space="preserve">Promote sustainable use of resources and energy.</w:t>
      </w:r>
    </w:p>
    <w:p>
      <w:pPr>
        <w:pStyle w:val="BodyText"/>
      </w:pPr>
      <w:r>
        <w:rPr>
          <w:b/>
          <w:bCs/>
        </w:rPr>
        <w:t xml:space="preserve">Achievement:</w:t>
      </w:r>
      <w:r>
        <w:t xml:space="preserve"> </w:t>
      </w:r>
      <w:r>
        <w:rPr>
          <w:b/>
          <w:bCs/>
        </w:rPr>
        <w:t xml:space="preserve">QLoRA</w:t>
      </w:r>
      <w:r>
        <w:t xml:space="preserve"> </w:t>
      </w:r>
      <w:r>
        <w:t xml:space="preserve">fine-tuning reduces GPU memory footprint and training energy relative to full fine-tuning of an 8B-parameter base model, while retaining strong task performance on VERT-style assertion generation.</w:t>
      </w:r>
    </w:p>
    <w:p>
      <w:r>
        <w:pict>
          <v:rect style="width:0;height:1.5pt" o:hralign="center" o:hrstd="t" o:hr="t"/>
        </w:pict>
      </w:r>
    </w:p>
    <w:p>
      <w:pPr>
        <w:pStyle w:val="FirstParagraph"/>
      </w:pPr>
      <w:r>
        <w:rPr>
          <w:b/>
          <w:bCs/>
        </w:rPr>
        <w:t xml:space="preserve">SDG signature block (per template):</w:t>
      </w:r>
      <w:r>
        <w:t xml:space="preserve"> </w:t>
      </w:r>
      <w:r>
        <w:t xml:space="preserve">Advisor _________________ ; Co-Advisor _________________ .</w:t>
      </w:r>
    </w:p>
    <w:bookmarkEnd w:id="25"/>
    <w:bookmarkEnd w:id="26"/>
    <w:bookmarkStart w:id="27" w:name="abstract"/>
    <w:p>
      <w:pPr>
        <w:pStyle w:val="Heading2"/>
      </w:pPr>
      <w:r>
        <w:t xml:space="preserve">ABSTRACT</w:t>
      </w:r>
    </w:p>
    <w:p>
      <w:pPr>
        <w:pStyle w:val="FirstParagraph"/>
      </w:pPr>
      <w:r>
        <w:rPr>
          <w:b/>
          <w:bCs/>
        </w:rPr>
        <w:t xml:space="preserve">Title (14 pt bold in Word):</w:t>
      </w:r>
      <w:r>
        <w:t xml:space="preserve"> </w:t>
      </w:r>
      <w:r>
        <w:t xml:space="preserve">VISTA: Verification using Intelligent Systems for Test Automation</w:t>
      </w:r>
    </w:p>
    <w:p>
      <w:pPr>
        <w:pStyle w:val="BodyText"/>
      </w:pPr>
      <w:r>
        <w:t xml:space="preserve">Hardware verification remains a dominant cost in modern integrated-circuit design.</w:t>
      </w:r>
      <w:r>
        <w:t xml:space="preserve"> </w:t>
      </w:r>
      <w:r>
        <w:rPr>
          <w:b/>
          <w:bCs/>
        </w:rPr>
        <w:t xml:space="preserve">SystemVerilog Assertions (SVA)</w:t>
      </w:r>
      <w:r>
        <w:t xml:space="preserve"> </w:t>
      </w:r>
      <w:r>
        <w:t xml:space="preserve">express temporal design intent for both simulation and formal analysis, yet manual assertion authoring is slow, expertise-intensive, and difficult to scale with design complexity. This report presents</w:t>
      </w:r>
      <w:r>
        <w:t xml:space="preserve"> </w:t>
      </w:r>
      <w:r>
        <w:rPr>
          <w:b/>
          <w:bCs/>
        </w:rPr>
        <w:t xml:space="preserve">VISTA</w:t>
      </w:r>
      <w:r>
        <w:t xml:space="preserve">, an integrated framework that</w:t>
      </w:r>
      <w:r>
        <w:t xml:space="preserve"> </w:t>
      </w:r>
      <w:r>
        <w:rPr>
          <w:b/>
          <w:bCs/>
        </w:rPr>
        <w:t xml:space="preserve">generates</w:t>
      </w:r>
      <w:r>
        <w:t xml:space="preserve"> </w:t>
      </w:r>
      <w:r>
        <w:t xml:space="preserve">SVA-style properties directly from</w:t>
      </w:r>
      <w:r>
        <w:t xml:space="preserve"> </w:t>
      </w:r>
      <w:r>
        <w:rPr>
          <w:b/>
          <w:bCs/>
        </w:rPr>
        <w:t xml:space="preserve">RTL fragments</w:t>
      </w:r>
      <w:r>
        <w:t xml:space="preserve"> </w:t>
      </w:r>
      <w:r>
        <w:t xml:space="preserve">using a</w:t>
      </w:r>
      <w:r>
        <w:t xml:space="preserve"> </w:t>
      </w:r>
      <w:r>
        <w:rPr>
          <w:b/>
          <w:bCs/>
        </w:rPr>
        <w:t xml:space="preserve">QLoRA</w:t>
      </w:r>
      <w:r>
        <w:t xml:space="preserve">-adapted</w:t>
      </w:r>
      <w:r>
        <w:t xml:space="preserve"> </w:t>
      </w:r>
      <w:r>
        <w:rPr>
          <w:b/>
          <w:bCs/>
        </w:rPr>
        <w:t xml:space="preserve">LLaMA 3.1 (8B)</w:t>
      </w:r>
      <w:r>
        <w:t xml:space="preserve"> </w:t>
      </w:r>
      <w:r>
        <w:t xml:space="preserve">model trained on the</w:t>
      </w:r>
      <w:r>
        <w:t xml:space="preserve"> </w:t>
      </w:r>
      <w:r>
        <w:rPr>
          <w:b/>
          <w:bCs/>
        </w:rPr>
        <w:t xml:space="preserve">VERT</w:t>
      </w:r>
      <w:r>
        <w:t xml:space="preserve"> </w:t>
      </w:r>
      <w:r>
        <w:t xml:space="preserve">corpus (twenty thousand labeled pairs in this repository). Because VERT samples are often</w:t>
      </w:r>
      <w:r>
        <w:t xml:space="preserve"> </w:t>
      </w:r>
      <w:r>
        <w:rPr>
          <w:b/>
          <w:bCs/>
        </w:rPr>
        <w:t xml:space="preserve">non-modular</w:t>
      </w:r>
      <w:r>
        <w:t xml:space="preserve"> </w:t>
      </w:r>
      <w:r>
        <w:t xml:space="preserve">snippets, VISTA introduces a</w:t>
      </w:r>
      <w:r>
        <w:t xml:space="preserve"> </w:t>
      </w:r>
      <w:r>
        <w:rPr>
          <w:b/>
          <w:bCs/>
        </w:rPr>
        <w:t xml:space="preserve">dynamic wrapping</w:t>
      </w:r>
      <w:r>
        <w:t xml:space="preserve"> </w:t>
      </w:r>
      <w:r>
        <w:t xml:space="preserve">stage that infers interface signals, applies clock and reset semantics, and produces elaboratable SystemVerilog suitable for</w:t>
      </w:r>
      <w:r>
        <w:t xml:space="preserve"> </w:t>
      </w:r>
      <w:r>
        <w:rPr>
          <w:b/>
          <w:bCs/>
        </w:rPr>
        <w:t xml:space="preserve">Yosys</w:t>
      </w:r>
      <w:r>
        <w:t xml:space="preserve"> </w:t>
      </w:r>
      <w:r>
        <w:t xml:space="preserve">and</w:t>
      </w:r>
      <w:r>
        <w:t xml:space="preserve"> </w:t>
      </w:r>
      <w:r>
        <w:rPr>
          <w:b/>
          <w:bCs/>
        </w:rPr>
        <w:t xml:space="preserve">SymbiYosys</w:t>
      </w:r>
      <w:r>
        <w:t xml:space="preserve">. Deterministic</w:t>
      </w:r>
      <w:r>
        <w:t xml:space="preserve"> </w:t>
      </w:r>
      <w:r>
        <w:rPr>
          <w:b/>
          <w:bCs/>
        </w:rPr>
        <w:t xml:space="preserve">post-processing</w:t>
      </w:r>
      <w:r>
        <w:t xml:space="preserve"> </w:t>
      </w:r>
      <w:r>
        <w:t xml:space="preserve">extracts clean property structure, adapts expressions to the formal front end, and applies a</w:t>
      </w:r>
      <w:r>
        <w:t xml:space="preserve"> </w:t>
      </w:r>
      <w:r>
        <w:rPr>
          <w:b/>
          <w:bCs/>
        </w:rPr>
        <w:t xml:space="preserve">greedy syntax filter</w:t>
      </w:r>
      <w:r>
        <w:t xml:space="preserve"> </w:t>
      </w:r>
      <w:r>
        <w:t xml:space="preserve">that preserves as many clauses as possible while retaining parseability.</w:t>
      </w:r>
    </w:p>
    <w:p>
      <w:pPr>
        <w:pStyle w:val="BodyText"/>
      </w:pPr>
      <w:r>
        <w:t xml:space="preserve">On a</w:t>
      </w:r>
      <w:r>
        <w:t xml:space="preserve"> </w:t>
      </w:r>
      <w:r>
        <w:rPr>
          <w:b/>
          <w:bCs/>
        </w:rPr>
        <w:t xml:space="preserve">frozen</w:t>
      </w:r>
      <w:r>
        <w:t xml:space="preserve"> </w:t>
      </w:r>
      <w:r>
        <w:t xml:space="preserve">evaluation of</w:t>
      </w:r>
      <w:r>
        <w:t xml:space="preserve"> </w:t>
      </w:r>
      <w:r>
        <w:rPr>
          <w:b/>
          <w:bCs/>
        </w:rPr>
        <w:t xml:space="preserve">one hundred</w:t>
      </w:r>
      <w:r>
        <w:t xml:space="preserve"> </w:t>
      </w:r>
      <w:r>
        <w:t xml:space="preserve">consecutive VERT records,</w:t>
      </w:r>
      <w:r>
        <w:t xml:space="preserve"> </w:t>
      </w:r>
      <w:r>
        <w:rPr>
          <w:b/>
          <w:bCs/>
        </w:rPr>
        <w:t xml:space="preserve">all</w:t>
      </w:r>
      <w:r>
        <w:t xml:space="preserve"> </w:t>
      </w:r>
      <w:r>
        <w:t xml:space="preserve">generated wrappers achieved</w:t>
      </w:r>
      <w:r>
        <w:t xml:space="preserve"> </w:t>
      </w:r>
      <w:r>
        <w:rPr>
          <w:b/>
          <w:bCs/>
        </w:rPr>
        <w:t xml:space="preserve">Yosys</w:t>
      </w:r>
      <w:r>
        <w:t xml:space="preserve"> </w:t>
      </w:r>
      <w:r>
        <w:t xml:space="preserve">syntax success,</w:t>
      </w:r>
      <w:r>
        <w:t xml:space="preserve"> </w:t>
      </w:r>
      <w:r>
        <w:rPr>
          <w:b/>
          <w:bCs/>
        </w:rPr>
        <w:t xml:space="preserve">ninety-nine</w:t>
      </w:r>
      <w:r>
        <w:t xml:space="preserve"> </w:t>
      </w:r>
      <w:r>
        <w:rPr>
          <w:b/>
          <w:bCs/>
        </w:rPr>
        <w:t xml:space="preserve">SymbiYosys</w:t>
      </w:r>
      <w:r>
        <w:t xml:space="preserve"> </w:t>
      </w:r>
      <w:r>
        <w:t xml:space="preserve">bounded model-checking runs returned</w:t>
      </w:r>
      <w:r>
        <w:t xml:space="preserve"> </w:t>
      </w:r>
      <w:r>
        <w:rPr>
          <w:b/>
          <w:bCs/>
        </w:rPr>
        <w:t xml:space="preserve">pass</w:t>
      </w:r>
      <w:r>
        <w:t xml:space="preserve">, and</w:t>
      </w:r>
      <w:r>
        <w:t xml:space="preserve"> </w:t>
      </w:r>
      <w:r>
        <w:rPr>
          <w:b/>
          <w:bCs/>
        </w:rPr>
        <w:t xml:space="preserve">one</w:t>
      </w:r>
      <w:r>
        <w:t xml:space="preserve"> </w:t>
      </w:r>
      <w:r>
        <w:t xml:space="preserve">returned</w:t>
      </w:r>
      <w:r>
        <w:t xml:space="preserve"> </w:t>
      </w:r>
      <w:r>
        <w:rPr>
          <w:b/>
          <w:bCs/>
        </w:rPr>
        <w:t xml:space="preserve">fail</w:t>
      </w:r>
      <w:r>
        <w:t xml:space="preserve">. Mean</w:t>
      </w:r>
      <w:r>
        <w:t xml:space="preserve"> </w:t>
      </w:r>
      <w:r>
        <w:rPr>
          <w:b/>
          <w:bCs/>
        </w:rPr>
        <w:t xml:space="preserve">gold Jaccard</w:t>
      </w:r>
      <w:r>
        <w:t xml:space="preserve"> </w:t>
      </w:r>
      <w:r>
        <w:t xml:space="preserve">similarity to reference assertions was</w:t>
      </w:r>
      <w:r>
        <w:t xml:space="preserve"> </w:t>
      </w:r>
      <w:r>
        <w:rPr>
          <w:b/>
          <w:bCs/>
        </w:rPr>
        <w:t xml:space="preserve">0.991</w:t>
      </w:r>
      <w:r>
        <w:t xml:space="preserve">, with</w:t>
      </w:r>
      <w:r>
        <w:t xml:space="preserve"> </w:t>
      </w:r>
      <w:r>
        <w:rPr>
          <w:b/>
          <w:bCs/>
        </w:rPr>
        <w:t xml:space="preserve">eighty-nine</w:t>
      </w:r>
      <w:r>
        <w:t xml:space="preserve"> </w:t>
      </w:r>
      <w:r>
        <w:t xml:space="preserve">samples in the highest similarity bucket. The sole formal failure exhibits</w:t>
      </w:r>
      <w:r>
        <w:t xml:space="preserve"> </w:t>
      </w:r>
      <w:r>
        <w:rPr>
          <w:b/>
          <w:bCs/>
        </w:rPr>
        <w:t xml:space="preserve">gold Jaccard 1.0</w:t>
      </w:r>
      <w:r>
        <w:t xml:space="preserve">, illustrating that</w:t>
      </w:r>
      <w:r>
        <w:t xml:space="preserve"> </w:t>
      </w:r>
      <w:r>
        <w:rPr>
          <w:b/>
          <w:bCs/>
        </w:rPr>
        <w:t xml:space="preserve">lexical identity</w:t>
      </w:r>
      <w:r>
        <w:t xml:space="preserve"> </w:t>
      </w:r>
      <w:r>
        <w:t xml:space="preserve">does not guarantee</w:t>
      </w:r>
      <w:r>
        <w:t xml:space="preserve"> </w:t>
      </w:r>
      <w:r>
        <w:rPr>
          <w:b/>
          <w:bCs/>
        </w:rPr>
        <w:t xml:space="preserve">proof success</w:t>
      </w:r>
      <w:r>
        <w:t xml:space="preserve"> </w:t>
      </w:r>
      <w:r>
        <w:t xml:space="preserve">when</w:t>
      </w:r>
      <w:r>
        <w:t xml:space="preserve"> </w:t>
      </w:r>
      <w:r>
        <w:rPr>
          <w:b/>
          <w:bCs/>
        </w:rPr>
        <w:t xml:space="preserve">don’t-care</w:t>
      </w:r>
      <w:r>
        <w:t xml:space="preserve"> </w:t>
      </w:r>
      <w:r>
        <w:t xml:space="preserve">bits appear in</w:t>
      </w:r>
      <w:r>
        <w:t xml:space="preserve"> </w:t>
      </w:r>
      <w:r>
        <w:rPr>
          <w:b/>
          <w:bCs/>
        </w:rPr>
        <w:t xml:space="preserve">case</w:t>
      </w:r>
      <w:r>
        <w:t xml:space="preserve"> </w:t>
      </w:r>
      <w:r>
        <w:t xml:space="preserve">selectors—a lesson in</w:t>
      </w:r>
      <w:r>
        <w:t xml:space="preserve"> </w:t>
      </w:r>
      <w:r>
        <w:rPr>
          <w:b/>
          <w:bCs/>
        </w:rPr>
        <w:t xml:space="preserve">four-valued semantics</w:t>
      </w:r>
      <w:r>
        <w:t xml:space="preserve"> </w:t>
      </w:r>
      <w:r>
        <w:t xml:space="preserve">and harness assumptions rather than a simple decoding error. A</w:t>
      </w:r>
      <w:r>
        <w:t xml:space="preserve"> </w:t>
      </w:r>
      <w:r>
        <w:rPr>
          <w:b/>
          <w:bCs/>
        </w:rPr>
        <w:t xml:space="preserve">Next.js</w:t>
      </w:r>
      <w:r>
        <w:t xml:space="preserve"> </w:t>
      </w:r>
      <w:r>
        <w:t xml:space="preserve">demonstration client and</w:t>
      </w:r>
      <w:r>
        <w:t xml:space="preserve"> </w:t>
      </w:r>
      <w:r>
        <w:rPr>
          <w:b/>
          <w:bCs/>
        </w:rPr>
        <w:t xml:space="preserve">Python</w:t>
      </w:r>
      <w:r>
        <w:t xml:space="preserve"> </w:t>
      </w:r>
      <w:r>
        <w:t xml:space="preserve">service support interactive use. The report concludes with limitations, ethics, and a roadmap toward counterexample-guided refinement.</w:t>
      </w:r>
    </w:p>
    <w:p>
      <w:pPr>
        <w:pStyle w:val="BodyText"/>
      </w:pPr>
      <w:r>
        <w:rPr>
          <w:b/>
          <w:bCs/>
        </w:rPr>
        <w:t xml:space="preserve">Keywords:</w:t>
      </w:r>
      <w:r>
        <w:t xml:space="preserve"> </w:t>
      </w:r>
      <w:r>
        <w:t xml:space="preserve">formal verification, SystemVerilog assertions, large language models, QLoRA, VERT, SymbiYosys, RTL wrapping, bounded model checking.</w:t>
      </w:r>
    </w:p>
    <w:bookmarkEnd w:id="27"/>
    <w:bookmarkStart w:id="28" w:name="acknowledgements"/>
    <w:p>
      <w:pPr>
        <w:pStyle w:val="Heading2"/>
      </w:pPr>
      <w:r>
        <w:t xml:space="preserve">ACKNOWLEDGEMENTS</w:t>
      </w:r>
    </w:p>
    <w:p>
      <w:pPr>
        <w:pStyle w:val="FirstParagraph"/>
      </w:pPr>
      <w:r>
        <w:t xml:space="preserve">The authors express sincere gratitude to</w:t>
      </w:r>
      <w:r>
        <w:t xml:space="preserve"> </w:t>
      </w:r>
      <w:r>
        <w:rPr>
          <w:b/>
          <w:bCs/>
        </w:rPr>
        <w:t xml:space="preserve">Dr. Fahad Bin Muslim</w:t>
      </w:r>
      <w:r>
        <w:t xml:space="preserve"> </w:t>
      </w:r>
      <w:r>
        <w:t xml:space="preserve">for academic supervision and to</w:t>
      </w:r>
      <w:r>
        <w:t xml:space="preserve"> </w:t>
      </w:r>
      <w:r>
        <w:rPr>
          <w:b/>
          <w:bCs/>
        </w:rPr>
        <w:t xml:space="preserve">Dr. Waqar</w:t>
      </w:r>
      <w:r>
        <w:t xml:space="preserve"> </w:t>
      </w:r>
      <w:r>
        <w:t xml:space="preserve">for co-supervision where applicable. Industrial mentorship from</w:t>
      </w:r>
      <w:r>
        <w:t xml:space="preserve"> </w:t>
      </w:r>
      <w:r>
        <w:rPr>
          <w:b/>
          <w:bCs/>
        </w:rPr>
        <w:t xml:space="preserve">Dr. Haroon</w:t>
      </w:r>
      <w:r>
        <w:t xml:space="preserve"> </w:t>
      </w:r>
      <w:r>
        <w:t xml:space="preserve">and</w:t>
      </w:r>
      <w:r>
        <w:t xml:space="preserve"> </w:t>
      </w:r>
      <w:r>
        <w:rPr>
          <w:b/>
          <w:bCs/>
        </w:rPr>
        <w:t xml:space="preserve">Dr. Majeed</w:t>
      </w:r>
      <w:r>
        <w:t xml:space="preserve"> </w:t>
      </w:r>
      <w:r>
        <w:t xml:space="preserve">through</w:t>
      </w:r>
      <w:r>
        <w:t xml:space="preserve"> </w:t>
      </w:r>
      <w:r>
        <w:rPr>
          <w:b/>
          <w:bCs/>
        </w:rPr>
        <w:t xml:space="preserve">NECOP</w:t>
      </w:r>
      <w:r>
        <w:t xml:space="preserve"> </w:t>
      </w:r>
      <w:r>
        <w:t xml:space="preserve">provided valuable perspective on verification productivity and adoption. The open-source communities behind</w:t>
      </w:r>
      <w:r>
        <w:t xml:space="preserve"> </w:t>
      </w:r>
      <w:r>
        <w:rPr>
          <w:b/>
          <w:bCs/>
        </w:rPr>
        <w:t xml:space="preserve">Yosys</w:t>
      </w:r>
      <w:r>
        <w:t xml:space="preserve">,</w:t>
      </w:r>
      <w:r>
        <w:t xml:space="preserve"> </w:t>
      </w:r>
      <w:r>
        <w:rPr>
          <w:b/>
          <w:bCs/>
        </w:rPr>
        <w:t xml:space="preserve">SymbiYosys</w:t>
      </w:r>
      <w:r>
        <w:t xml:space="preserve">,</w:t>
      </w:r>
      <w:r>
        <w:t xml:space="preserve"> </w:t>
      </w:r>
      <w:r>
        <w:rPr>
          <w:b/>
          <w:bCs/>
        </w:rPr>
        <w:t xml:space="preserve">Unsloth</w:t>
      </w:r>
      <w:r>
        <w:t xml:space="preserve">, and</w:t>
      </w:r>
      <w:r>
        <w:t xml:space="preserve"> </w:t>
      </w:r>
      <w:r>
        <w:rPr>
          <w:b/>
          <w:bCs/>
        </w:rPr>
        <w:t xml:space="preserve">Hugging Face</w:t>
      </w:r>
      <w:r>
        <w:t xml:space="preserve"> </w:t>
      </w:r>
      <w:r>
        <w:t xml:space="preserve">are thanked for maintaining reproducible tooling and documentation. Finally, the authors acknowledge the</w:t>
      </w:r>
      <w:r>
        <w:t xml:space="preserve"> </w:t>
      </w:r>
      <w:r>
        <w:rPr>
          <w:b/>
          <w:bCs/>
        </w:rPr>
        <w:t xml:space="preserve">Faculty of Computer Engineering</w:t>
      </w:r>
      <w:r>
        <w:t xml:space="preserve"> </w:t>
      </w:r>
      <w:r>
        <w:t xml:space="preserve">and</w:t>
      </w:r>
      <w:r>
        <w:t xml:space="preserve"> </w:t>
      </w:r>
      <w:r>
        <w:rPr>
          <w:b/>
          <w:bCs/>
        </w:rPr>
        <w:t xml:space="preserve">GIKI</w:t>
      </w:r>
      <w:r>
        <w:t xml:space="preserve"> </w:t>
      </w:r>
      <w:r>
        <w:t xml:space="preserve">for laboratory and computational resources.</w:t>
      </w:r>
    </w:p>
    <w:bookmarkEnd w:id="28"/>
    <w:bookmarkStart w:id="37" w:name="table-of-contents"/>
    <w:p>
      <w:pPr>
        <w:pStyle w:val="Heading2"/>
      </w:pPr>
      <w:r>
        <w:t xml:space="preserve">TABLE OF CONTENTS</w:t>
      </w:r>
    </w:p>
    <w:p>
      <w:pPr>
        <w:pStyle w:val="BlockText"/>
      </w:pPr>
      <w:r>
        <w:rPr>
          <w:b/>
          <w:bCs/>
        </w:rPr>
        <w:t xml:space="preserve">Microsoft Word:</w:t>
      </w:r>
      <w:r>
        <w:t xml:space="preserve"> </w:t>
      </w:r>
      <w:r>
        <w:t xml:space="preserve">Map</w:t>
      </w:r>
      <w:r>
        <w:t xml:space="preserve"> </w:t>
      </w:r>
      <w:r>
        <w:rPr>
          <w:rStyle w:val="VerbatimChar"/>
        </w:rPr>
        <w:t xml:space="preserve"># CHAPTER …</w:t>
      </w:r>
      <w:r>
        <w:t xml:space="preserve"> </w:t>
      </w:r>
      <w:r>
        <w:t xml:space="preserve">to</w:t>
      </w:r>
      <w:r>
        <w:t xml:space="preserve"> </w:t>
      </w:r>
      <w:r>
        <w:rPr>
          <w:b/>
          <w:bCs/>
        </w:rPr>
        <w:t xml:space="preserve">Heading 1</w:t>
      </w:r>
      <w:r>
        <w:t xml:space="preserve">,</w:t>
      </w:r>
      <w:r>
        <w:t xml:space="preserve"> </w:t>
      </w:r>
      <w:r>
        <w:rPr>
          <w:rStyle w:val="VerbatimChar"/>
        </w:rPr>
        <w:t xml:space="preserve">## Chapter n: …</w:t>
      </w:r>
      <w:r>
        <w:t xml:space="preserve"> </w:t>
      </w:r>
      <w:r>
        <w:t xml:space="preserve">to</w:t>
      </w:r>
      <w:r>
        <w:t xml:space="preserve"> </w:t>
      </w:r>
      <w:r>
        <w:rPr>
          <w:b/>
          <w:bCs/>
        </w:rPr>
        <w:t xml:space="preserve">Heading 3</w:t>
      </w:r>
      <w:r>
        <w:t xml:space="preserve">, and</w:t>
      </w:r>
      <w:r>
        <w:t xml:space="preserve"> </w:t>
      </w:r>
      <w:r>
        <w:rPr>
          <w:rStyle w:val="VerbatimChar"/>
        </w:rPr>
        <w:t xml:space="preserve">###</w:t>
      </w:r>
      <w:r>
        <w:t xml:space="preserve"> </w:t>
      </w:r>
      <w:r>
        <w:t xml:space="preserve">/</w:t>
      </w:r>
      <w:r>
        <w:t xml:space="preserve"> </w:t>
      </w:r>
      <w:r>
        <w:rPr>
          <w:rStyle w:val="VerbatimChar"/>
        </w:rPr>
        <w:t xml:space="preserve">####</w:t>
      </w:r>
      <w:r>
        <w:t xml:space="preserve"> </w:t>
      </w:r>
      <w:r>
        <w:t xml:space="preserve">to</w:t>
      </w:r>
      <w:r>
        <w:t xml:space="preserve"> </w:t>
      </w:r>
      <w:r>
        <w:rPr>
          <w:b/>
          <w:bCs/>
        </w:rPr>
        <w:t xml:space="preserve">Heading 4–5</w:t>
      </w:r>
      <w:r>
        <w:t xml:space="preserve"> </w:t>
      </w:r>
      <w:r>
        <w:t xml:space="preserve">per</w:t>
      </w:r>
      <w:r>
        <w:t xml:space="preserve"> </w:t>
      </w:r>
      <w:r>
        <w:rPr>
          <w:rStyle w:val="VerbatimChar"/>
        </w:rPr>
        <w:t xml:space="preserve">Vista_Report_format.txt</w:t>
      </w:r>
      <w:r>
        <w:t xml:space="preserve">. Then use</w:t>
      </w:r>
      <w:r>
        <w:t xml:space="preserve"> </w:t>
      </w:r>
      <w:r>
        <w:rPr>
          <w:b/>
          <w:bCs/>
        </w:rPr>
        <w:t xml:space="preserve">References → Table of Contents → Automatic</w:t>
      </w:r>
      <w:r>
        <w:t xml:space="preserve"> </w:t>
      </w:r>
      <w:r>
        <w:t xml:space="preserve">and delete this manual listing</w:t>
      </w:r>
      <w:r>
        <w:t xml:space="preserve"> </w:t>
      </w:r>
      <w:r>
        <w:rPr>
          <w:i/>
          <w:iCs/>
        </w:rPr>
        <w:t xml:space="preserve">or</w:t>
      </w:r>
      <w:r>
        <w:t xml:space="preserve"> </w:t>
      </w:r>
      <w:r>
        <w:t xml:space="preserve">keep it as a planning outline and update</w:t>
      </w:r>
      <w:r>
        <w:t xml:space="preserve"> </w:t>
      </w:r>
      <w:r>
        <w:rPr>
          <w:i/>
          <w:iCs/>
        </w:rPr>
        <w:t xml:space="preserve">TBD</w:t>
      </w:r>
      <w:r>
        <w:t xml:space="preserve"> </w:t>
      </w:r>
      <w:r>
        <w:t xml:space="preserve">page cells after pagination.</w:t>
      </w:r>
    </w:p>
    <w:bookmarkStart w:id="29" w:name="X85b9a5754cc7fcda6acbbaa1e4b1b75228bc17a"/>
    <w:p>
      <w:pPr>
        <w:pStyle w:val="Heading3"/>
      </w:pPr>
      <w:r>
        <w:t xml:space="preserve">Front matter</w:t>
      </w:r>
      <w:r>
        <w:t xml:space="preserve"> </w:t>
      </w:r>
      <w:r>
        <w:rPr>
          <w:i/>
          <w:iCs/>
        </w:rPr>
        <w:t xml:space="preserve">(roman numerals on bound copy)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Ref</w:t>
            </w:r>
          </w:p>
        </w:tc>
        <w:tc>
          <w:tcPr/>
          <w:p>
            <w:pPr>
              <w:pStyle w:val="Compact"/>
            </w:pPr>
            <w:r>
              <w:t xml:space="preserve">Section</w:t>
            </w:r>
          </w:p>
        </w:tc>
        <w:tc>
          <w:tcPr/>
          <w:p>
            <w:pPr>
              <w:pStyle w:val="Compact"/>
            </w:pPr>
            <w:r>
              <w:t xml:space="preserve">Page</w:t>
            </w:r>
          </w:p>
        </w:tc>
      </w:tr>
      <w:tr>
        <w:tc>
          <w:tcPr/>
          <w:p>
            <w:pPr>
              <w:pStyle w:val="Compact"/>
            </w:pPr>
            <w:r>
              <w:t xml:space="preserve">(i)</w:t>
            </w:r>
          </w:p>
        </w:tc>
        <w:tc>
          <w:tcPr/>
          <w:p>
            <w:pPr>
              <w:pStyle w:val="Compact"/>
            </w:pPr>
            <w:r>
              <w:t xml:space="preserve">Title page — required content checklist</w:t>
            </w:r>
          </w:p>
        </w:tc>
        <w:tc>
          <w:tcPr/>
          <w:p>
            <w:pPr>
              <w:pStyle w:val="Compact"/>
            </w:pPr>
            <w:r>
              <w:rPr>
                <w:i/>
                <w:iCs/>
              </w:rPr>
              <w:t xml:space="preserve">TBD</w:t>
            </w:r>
          </w:p>
        </w:tc>
      </w:tr>
      <w:tr>
        <w:tc>
          <w:tcPr/>
          <w:p>
            <w:pPr>
              <w:pStyle w:val="Compact"/>
            </w:pPr>
            <w:r>
              <w:t xml:space="preserve">(ii)</w:t>
            </w:r>
          </w:p>
        </w:tc>
        <w:tc>
          <w:tcPr/>
          <w:p>
            <w:pPr>
              <w:pStyle w:val="Compact"/>
            </w:pPr>
            <w:r>
              <w:t xml:space="preserve">Certificate of Approval</w:t>
            </w:r>
          </w:p>
        </w:tc>
        <w:tc>
          <w:tcPr/>
          <w:p>
            <w:pPr>
              <w:pStyle w:val="Compact"/>
            </w:pPr>
            <w:r>
              <w:rPr>
                <w:i/>
                <w:iCs/>
              </w:rPr>
              <w:t xml:space="preserve">TBD</w:t>
            </w:r>
          </w:p>
        </w:tc>
      </w:tr>
      <w:tr>
        <w:tc>
          <w:tcPr/>
          <w:p>
            <w:pPr>
              <w:pStyle w:val="Compact"/>
            </w:pPr>
            <w:r>
              <w:t xml:space="preserve">(iii)</w:t>
            </w:r>
          </w:p>
        </w:tc>
        <w:tc>
          <w:tcPr/>
          <w:p>
            <w:pPr>
              <w:pStyle w:val="Compact"/>
            </w:pPr>
            <w:r>
              <w:t xml:space="preserve">SDGs Inclusion — goals and achievements</w:t>
            </w:r>
          </w:p>
        </w:tc>
        <w:tc>
          <w:tcPr/>
          <w:p>
            <w:pPr>
              <w:pStyle w:val="Compact"/>
            </w:pPr>
            <w:r>
              <w:rPr>
                <w:i/>
                <w:iCs/>
              </w:rPr>
              <w:t xml:space="preserve">TBD</w:t>
            </w:r>
          </w:p>
        </w:tc>
      </w:tr>
      <w:tr>
        <w:tc>
          <w:tcPr/>
          <w:p>
            <w:pPr>
              <w:pStyle w:val="Compact"/>
            </w:pPr>
            <w:r>
              <w:t xml:space="preserve">(iv)</w:t>
            </w:r>
          </w:p>
        </w:tc>
        <w:tc>
          <w:tcPr/>
          <w:p>
            <w:pPr>
              <w:pStyle w:val="Compact"/>
            </w:pPr>
            <w:r>
              <w:t xml:space="preserve">ABSTRACT</w:t>
            </w:r>
          </w:p>
        </w:tc>
        <w:tc>
          <w:tcPr/>
          <w:p>
            <w:pPr>
              <w:pStyle w:val="Compact"/>
            </w:pPr>
            <w:r>
              <w:rPr>
                <w:i/>
                <w:iCs/>
              </w:rPr>
              <w:t xml:space="preserve">TBD</w:t>
            </w:r>
          </w:p>
        </w:tc>
      </w:tr>
      <w:tr>
        <w:tc>
          <w:tcPr/>
          <w:p>
            <w:pPr>
              <w:pStyle w:val="Compact"/>
            </w:pPr>
            <w:r>
              <w:t xml:space="preserve">(v)</w:t>
            </w:r>
          </w:p>
        </w:tc>
        <w:tc>
          <w:tcPr/>
          <w:p>
            <w:pPr>
              <w:pStyle w:val="Compact"/>
            </w:pPr>
            <w:r>
              <w:t xml:space="preserve">ACKNOWLEDGEMENTS</w:t>
            </w:r>
          </w:p>
        </w:tc>
        <w:tc>
          <w:tcPr/>
          <w:p>
            <w:pPr>
              <w:pStyle w:val="Compact"/>
            </w:pPr>
            <w:r>
              <w:rPr>
                <w:i/>
                <w:iCs/>
              </w:rPr>
              <w:t xml:space="preserve">TBD</w:t>
            </w:r>
          </w:p>
        </w:tc>
      </w:tr>
      <w:tr>
        <w:tc>
          <w:tcPr/>
          <w:p>
            <w:pPr>
              <w:pStyle w:val="Compact"/>
            </w:pPr>
            <w:r>
              <w:t xml:space="preserve">(vi)</w:t>
            </w:r>
          </w:p>
        </w:tc>
        <w:tc>
          <w:tcPr/>
          <w:p>
            <w:pPr>
              <w:pStyle w:val="Compact"/>
            </w:pPr>
            <w:r>
              <w:t xml:space="preserve">TABLE OF CONTENTS (this listing)</w:t>
            </w:r>
          </w:p>
        </w:tc>
        <w:tc>
          <w:tcPr/>
          <w:p>
            <w:pPr>
              <w:pStyle w:val="Compact"/>
            </w:pPr>
            <w:r>
              <w:rPr>
                <w:i/>
                <w:iCs/>
              </w:rPr>
              <w:t xml:space="preserve">TBD</w:t>
            </w:r>
          </w:p>
        </w:tc>
      </w:tr>
      <w:tr>
        <w:tc>
          <w:tcPr/>
          <w:p>
            <w:pPr>
              <w:pStyle w:val="Compact"/>
            </w:pPr>
            <w:r>
              <w:t xml:space="preserve">(vii)</w:t>
            </w:r>
          </w:p>
        </w:tc>
        <w:tc>
          <w:tcPr/>
          <w:p>
            <w:pPr>
              <w:pStyle w:val="Compact"/>
            </w:pPr>
            <w:r>
              <w:t xml:space="preserve">LIST OF FIGURES</w:t>
            </w:r>
          </w:p>
        </w:tc>
        <w:tc>
          <w:tcPr/>
          <w:p>
            <w:pPr>
              <w:pStyle w:val="Compact"/>
            </w:pPr>
            <w:r>
              <w:rPr>
                <w:i/>
                <w:iCs/>
              </w:rPr>
              <w:t xml:space="preserve">TBD</w:t>
            </w:r>
          </w:p>
        </w:tc>
      </w:tr>
      <w:tr>
        <w:tc>
          <w:tcPr/>
          <w:p>
            <w:pPr>
              <w:pStyle w:val="Compact"/>
            </w:pPr>
            <w:r>
              <w:t xml:space="preserve">(viii)</w:t>
            </w:r>
          </w:p>
        </w:tc>
        <w:tc>
          <w:tcPr/>
          <w:p>
            <w:pPr>
              <w:pStyle w:val="Compact"/>
            </w:pPr>
            <w:r>
              <w:t xml:space="preserve">LIST OF TABLES</w:t>
            </w:r>
          </w:p>
        </w:tc>
        <w:tc>
          <w:tcPr/>
          <w:p>
            <w:pPr>
              <w:pStyle w:val="Compact"/>
            </w:pPr>
            <w:r>
              <w:rPr>
                <w:i/>
                <w:iCs/>
              </w:rPr>
              <w:t xml:space="preserve">TBD</w:t>
            </w:r>
          </w:p>
        </w:tc>
      </w:tr>
    </w:tbl>
    <w:bookmarkEnd w:id="29"/>
    <w:bookmarkStart w:id="30" w:name="chapter-i-introduction"/>
    <w:p>
      <w:pPr>
        <w:pStyle w:val="Heading3"/>
      </w:pPr>
      <w:r>
        <w:t xml:space="preserve">CHAPTER I — Introduction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Ref</w:t>
            </w:r>
          </w:p>
        </w:tc>
        <w:tc>
          <w:tcPr/>
          <w:p>
            <w:pPr>
              <w:pStyle w:val="Compact"/>
            </w:pPr>
            <w:r>
              <w:t xml:space="preserve">Section</w:t>
            </w:r>
          </w:p>
        </w:tc>
        <w:tc>
          <w:tcPr/>
          <w:p>
            <w:pPr>
              <w:pStyle w:val="Compact"/>
            </w:pPr>
            <w:r>
              <w:t xml:space="preserve">Page</w:t>
            </w:r>
          </w:p>
        </w:tc>
      </w:tr>
      <w:tr>
        <w:tc>
          <w:tcPr/>
          <w:p>
            <w:pPr>
              <w:pStyle w:val="Compact"/>
            </w:pPr>
            <w:r>
              <w:t xml:space="preserve">1.1</w:t>
            </w:r>
          </w:p>
        </w:tc>
        <w:tc>
          <w:tcPr/>
          <w:p>
            <w:pPr>
              <w:pStyle w:val="Compact"/>
            </w:pPr>
            <w:r>
              <w:t xml:space="preserve">Background and motivation</w:t>
            </w:r>
          </w:p>
        </w:tc>
        <w:tc>
          <w:tcPr/>
          <w:p>
            <w:pPr>
              <w:pStyle w:val="Compact"/>
            </w:pPr>
            <w:r>
              <w:rPr>
                <w:i/>
                <w:iCs/>
              </w:rPr>
              <w:t xml:space="preserve">TBD</w:t>
            </w:r>
          </w:p>
        </w:tc>
      </w:tr>
      <w:tr>
        <w:tc>
          <w:tcPr/>
          <w:p>
            <w:pPr>
              <w:pStyle w:val="Compact"/>
            </w:pPr>
            <w:r>
              <w:t xml:space="preserve">1.2</w:t>
            </w:r>
          </w:p>
        </w:tc>
        <w:tc>
          <w:tcPr/>
          <w:p>
            <w:pPr>
              <w:pStyle w:val="Compact"/>
            </w:pPr>
            <w:r>
              <w:t xml:space="preserve">Problem statement</w:t>
            </w:r>
          </w:p>
        </w:tc>
        <w:tc>
          <w:tcPr/>
          <w:p>
            <w:pPr>
              <w:pStyle w:val="Compact"/>
            </w:pPr>
            <w:r>
              <w:rPr>
                <w:i/>
                <w:iCs/>
              </w:rPr>
              <w:t xml:space="preserve">TBD</w:t>
            </w:r>
          </w:p>
        </w:tc>
      </w:tr>
      <w:tr>
        <w:tc>
          <w:tcPr/>
          <w:p>
            <w:pPr>
              <w:pStyle w:val="Compact"/>
            </w:pPr>
            <w:r>
              <w:t xml:space="preserve">1.3</w:t>
            </w:r>
          </w:p>
        </w:tc>
        <w:tc>
          <w:tcPr/>
          <w:p>
            <w:pPr>
              <w:pStyle w:val="Compact"/>
            </w:pPr>
            <w:r>
              <w:t xml:space="preserve">Objectives and scope</w:t>
            </w:r>
          </w:p>
        </w:tc>
        <w:tc>
          <w:tcPr/>
          <w:p>
            <w:pPr>
              <w:pStyle w:val="Compact"/>
            </w:pPr>
            <w:r>
              <w:rPr>
                <w:i/>
                <w:iCs/>
              </w:rPr>
              <w:t xml:space="preserve">TBD</w:t>
            </w:r>
          </w:p>
        </w:tc>
      </w:tr>
      <w:tr>
        <w:tc>
          <w:tcPr/>
          <w:p>
            <w:pPr>
              <w:pStyle w:val="Compact"/>
            </w:pPr>
            <w:r>
              <w:t xml:space="preserve">1.4</w:t>
            </w:r>
          </w:p>
        </w:tc>
        <w:tc>
          <w:tcPr/>
          <w:p>
            <w:pPr>
              <w:pStyle w:val="Compact"/>
            </w:pPr>
            <w:r>
              <w:t xml:space="preserve">Contributions</w:t>
            </w:r>
          </w:p>
        </w:tc>
        <w:tc>
          <w:tcPr/>
          <w:p>
            <w:pPr>
              <w:pStyle w:val="Compact"/>
            </w:pPr>
            <w:r>
              <w:rPr>
                <w:i/>
                <w:iCs/>
              </w:rPr>
              <w:t xml:space="preserve">TBD</w:t>
            </w:r>
          </w:p>
        </w:tc>
      </w:tr>
      <w:tr>
        <w:tc>
          <w:tcPr/>
          <w:p>
            <w:pPr>
              <w:pStyle w:val="Compact"/>
            </w:pPr>
            <w:r>
              <w:t xml:space="preserve">1.5</w:t>
            </w:r>
          </w:p>
        </w:tc>
        <w:tc>
          <w:tcPr/>
          <w:p>
            <w:pPr>
              <w:pStyle w:val="Compact"/>
            </w:pPr>
            <w:r>
              <w:t xml:space="preserve">Report organization</w:t>
            </w:r>
          </w:p>
        </w:tc>
        <w:tc>
          <w:tcPr/>
          <w:p>
            <w:pPr>
              <w:pStyle w:val="Compact"/>
            </w:pPr>
            <w:r>
              <w:rPr>
                <w:i/>
                <w:iCs/>
              </w:rPr>
              <w:t xml:space="preserve">TBD</w:t>
            </w:r>
          </w:p>
        </w:tc>
      </w:tr>
      <w:tr>
        <w:tc>
          <w:tcPr/>
          <w:p>
            <w:pPr>
              <w:pStyle w:val="Compact"/>
            </w:pPr>
            <w:r>
              <w:t xml:space="preserve">Fig.</w:t>
            </w:r>
          </w:p>
        </w:tc>
        <w:tc>
          <w:tcPr/>
          <w:p>
            <w:pPr>
              <w:pStyle w:val="Compact"/>
            </w:pPr>
            <w:r>
              <w:t xml:space="preserve">Figures 1.1–1.3 (within Chapter I)</w:t>
            </w:r>
          </w:p>
        </w:tc>
        <w:tc>
          <w:tcPr/>
          <w:p>
            <w:pPr>
              <w:pStyle w:val="Compact"/>
            </w:pPr>
            <w:r>
              <w:rPr>
                <w:i/>
                <w:iCs/>
              </w:rPr>
              <w:t xml:space="preserve">TBD</w:t>
            </w:r>
          </w:p>
        </w:tc>
      </w:tr>
    </w:tbl>
    <w:bookmarkEnd w:id="30"/>
    <w:bookmarkStart w:id="31" w:name="chapter-ii-literature-survey"/>
    <w:p>
      <w:pPr>
        <w:pStyle w:val="Heading3"/>
      </w:pPr>
      <w:r>
        <w:t xml:space="preserve">CHAPTER II — Literature survey</w:t>
      </w:r>
    </w:p>
    <w:tbl>
      <w:tblPr>
        <w:tblStyle w:val="Table"/>
        <w:tblW w:type="pct" w:w="5000"/>
        <w:tblLayout w:type="fixed"/>
        <w:tblLook w:firstRow="1" w:lastRow="0" w:firstColumn="0" w:lastColumn="0" w:noHBand="0" w:noVBand="0" w:val="0020"/>
      </w:tblPr>
      <w:tblGrid>
        <w:gridCol w:w="1980"/>
        <w:gridCol w:w="3564"/>
        <w:gridCol w:w="2376"/>
      </w:tblGrid>
      <w:tr>
        <w:trPr>
          <w:tblHeader w:val="on"/>
        </w:trPr>
        <w:tc>
          <w:tcPr/>
          <w:p>
            <w:pPr>
              <w:pStyle w:val="Compact"/>
            </w:pPr>
            <w:r>
              <w:t xml:space="preserve">Ref</w:t>
            </w:r>
          </w:p>
        </w:tc>
        <w:tc>
          <w:tcPr/>
          <w:p>
            <w:pPr>
              <w:pStyle w:val="Compact"/>
            </w:pPr>
            <w:r>
              <w:t xml:space="preserve">Section</w:t>
            </w:r>
          </w:p>
        </w:tc>
        <w:tc>
          <w:tcPr/>
          <w:p>
            <w:pPr>
              <w:pStyle w:val="Compact"/>
            </w:pPr>
            <w:r>
              <w:t xml:space="preserve">Page</w:t>
            </w:r>
          </w:p>
        </w:tc>
      </w:tr>
      <w:tr>
        <w:tc>
          <w:tcPr/>
          <w:p>
            <w:pPr>
              <w:pStyle w:val="Compact"/>
            </w:pPr>
            <w:r>
              <w:t xml:space="preserve">2.1</w:t>
            </w:r>
          </w:p>
        </w:tc>
        <w:tc>
          <w:tcPr/>
          <w:p>
            <w:pPr>
              <w:pStyle w:val="Compact"/>
            </w:pPr>
            <w:r>
              <w:t xml:space="preserve">Overview</w:t>
            </w:r>
          </w:p>
        </w:tc>
        <w:tc>
          <w:tcPr/>
          <w:p>
            <w:pPr>
              <w:pStyle w:val="Compact"/>
            </w:pPr>
            <w:r>
              <w:rPr>
                <w:i/>
                <w:iCs/>
              </w:rPr>
              <w:t xml:space="preserve">TBD</w:t>
            </w:r>
          </w:p>
        </w:tc>
      </w:tr>
      <w:tr>
        <w:tc>
          <w:tcPr/>
          <w:p>
            <w:pPr>
              <w:pStyle w:val="Compact"/>
            </w:pPr>
            <w:r>
              <w:t xml:space="preserve">2.2</w:t>
            </w:r>
          </w:p>
        </w:tc>
        <w:tc>
          <w:tcPr/>
          <w:p>
            <w:pPr>
              <w:pStyle w:val="Compact"/>
            </w:pPr>
            <w:r>
              <w:t xml:space="preserve">Foundational themes (diagrams)</w:t>
            </w:r>
          </w:p>
        </w:tc>
        <w:tc>
          <w:tcPr/>
          <w:p>
            <w:pPr>
              <w:pStyle w:val="Compact"/>
            </w:pPr>
            <w:r>
              <w:rPr>
                <w:i/>
                <w:iCs/>
              </w:rPr>
              <w:t xml:space="preserve">TBD</w:t>
            </w:r>
          </w:p>
        </w:tc>
      </w:tr>
      <w:tr>
        <w:tc>
          <w:tcPr/>
          <w:p>
            <w:pPr>
              <w:pStyle w:val="Compact"/>
            </w:pPr>
            <w:r>
              <w:t xml:space="preserve">2.3</w:t>
            </w:r>
          </w:p>
        </w:tc>
        <w:tc>
          <w:tcPr/>
          <w:p>
            <w:pPr>
              <w:pStyle w:val="Compact"/>
            </w:pPr>
            <w:r>
              <w:t xml:space="preserve">Model checking and temporal logics</w:t>
            </w:r>
          </w:p>
        </w:tc>
        <w:tc>
          <w:tcPr/>
          <w:p>
            <w:pPr>
              <w:pStyle w:val="Compact"/>
            </w:pPr>
            <w:r>
              <w:rPr>
                <w:i/>
                <w:iCs/>
              </w:rPr>
              <w:t xml:space="preserve">TBD</w:t>
            </w:r>
          </w:p>
        </w:tc>
      </w:tr>
      <w:tr>
        <w:tc>
          <w:tcPr/>
          <w:p>
            <w:pPr>
              <w:pStyle w:val="Compact"/>
            </w:pPr>
            <w:r>
              <w:t xml:space="preserve">2.4</w:t>
            </w:r>
          </w:p>
        </w:tc>
        <w:tc>
          <w:tcPr/>
          <w:p>
            <w:pPr>
              <w:pStyle w:val="Compact"/>
            </w:pPr>
            <w:r>
              <w:t xml:space="preserve">SAT-based and SMT-based bounded model checking</w:t>
            </w:r>
          </w:p>
        </w:tc>
        <w:tc>
          <w:tcPr/>
          <w:p>
            <w:pPr>
              <w:pStyle w:val="Compact"/>
            </w:pPr>
            <w:r>
              <w:rPr>
                <w:i/>
                <w:iCs/>
              </w:rPr>
              <w:t xml:space="preserve">TBD</w:t>
            </w:r>
          </w:p>
        </w:tc>
      </w:tr>
      <w:tr>
        <w:tc>
          <w:tcPr/>
          <w:p>
            <w:pPr>
              <w:pStyle w:val="Compact"/>
            </w:pPr>
            <w:r>
              <w:t xml:space="preserve">2.5</w:t>
            </w:r>
          </w:p>
        </w:tc>
        <w:tc>
          <w:tcPr/>
          <w:p>
            <w:pPr>
              <w:pStyle w:val="Compact"/>
            </w:pPr>
            <w:r>
              <w:t xml:space="preserve">Inductive proof obligations and k-induction</w:t>
            </w:r>
          </w:p>
        </w:tc>
        <w:tc>
          <w:tcPr/>
          <w:p>
            <w:pPr>
              <w:pStyle w:val="Compact"/>
            </w:pPr>
            <w:r>
              <w:rPr>
                <w:i/>
                <w:iCs/>
              </w:rPr>
              <w:t xml:space="preserve">TBD</w:t>
            </w:r>
          </w:p>
        </w:tc>
      </w:tr>
      <w:tr>
        <w:tc>
          <w:tcPr/>
          <w:p>
            <w:pPr>
              <w:pStyle w:val="Compact"/>
            </w:pPr>
            <w:r>
              <w:t xml:space="preserve">2.6</w:t>
            </w:r>
          </w:p>
        </w:tc>
        <w:tc>
          <w:tcPr/>
          <w:p>
            <w:pPr>
              <w:pStyle w:val="Compact"/>
            </w:pPr>
            <w:r>
              <w:t xml:space="preserve">SystemVerilog assertions in industrial flows</w:t>
            </w:r>
          </w:p>
        </w:tc>
        <w:tc>
          <w:tcPr/>
          <w:p>
            <w:pPr>
              <w:pStyle w:val="Compact"/>
            </w:pPr>
            <w:r>
              <w:rPr>
                <w:i/>
                <w:iCs/>
              </w:rPr>
              <w:t xml:space="preserve">TBD</w:t>
            </w:r>
          </w:p>
        </w:tc>
      </w:tr>
      <w:tr>
        <w:tc>
          <w:tcPr/>
          <w:p>
            <w:pPr>
              <w:pStyle w:val="Compact"/>
            </w:pPr>
            <w:r>
              <w:t xml:space="preserve">2.7</w:t>
            </w:r>
          </w:p>
        </w:tc>
        <w:tc>
          <w:tcPr/>
          <w:p>
            <w:pPr>
              <w:pStyle w:val="Compact"/>
            </w:pPr>
            <w:r>
              <w:t xml:space="preserve">Assertion mining from simulation traces</w:t>
            </w:r>
          </w:p>
        </w:tc>
        <w:tc>
          <w:tcPr/>
          <w:p>
            <w:pPr>
              <w:pStyle w:val="Compact"/>
            </w:pPr>
            <w:r>
              <w:rPr>
                <w:i/>
                <w:iCs/>
              </w:rPr>
              <w:t xml:space="preserve">TBD</w:t>
            </w:r>
          </w:p>
        </w:tc>
      </w:tr>
      <w:tr>
        <w:tc>
          <w:tcPr/>
          <w:p>
            <w:pPr>
              <w:pStyle w:val="Compact"/>
            </w:pPr>
            <w:r>
              <w:t xml:space="preserve">2.8</w:t>
            </w:r>
          </w:p>
        </w:tc>
        <w:tc>
          <w:tcPr/>
          <w:p>
            <w:pPr>
              <w:pStyle w:val="Compact"/>
            </w:pPr>
            <w:r>
              <w:t xml:space="preserve">Static analysis and invariant inference</w:t>
            </w:r>
          </w:p>
        </w:tc>
        <w:tc>
          <w:tcPr/>
          <w:p>
            <w:pPr>
              <w:pStyle w:val="Compact"/>
            </w:pPr>
            <w:r>
              <w:rPr>
                <w:i/>
                <w:iCs/>
              </w:rPr>
              <w:t xml:space="preserve">TBD</w:t>
            </w:r>
          </w:p>
        </w:tc>
      </w:tr>
      <w:tr>
        <w:tc>
          <w:tcPr/>
          <w:p>
            <w:pPr>
              <w:pStyle w:val="Compact"/>
            </w:pPr>
            <w:r>
              <w:t xml:space="preserve">2.9</w:t>
            </w:r>
          </w:p>
        </w:tc>
        <w:tc>
          <w:tcPr/>
          <w:p>
            <w:pPr>
              <w:pStyle w:val="Compact"/>
            </w:pPr>
            <w:r>
              <w:t xml:space="preserve">GoldMine-style property discovery</w:t>
            </w:r>
          </w:p>
        </w:tc>
        <w:tc>
          <w:tcPr/>
          <w:p>
            <w:pPr>
              <w:pStyle w:val="Compact"/>
            </w:pPr>
            <w:r>
              <w:rPr>
                <w:i/>
                <w:iCs/>
              </w:rPr>
              <w:t xml:space="preserve">TBD</w:t>
            </w:r>
          </w:p>
        </w:tc>
      </w:tr>
      <w:tr>
        <w:tc>
          <w:tcPr/>
          <w:p>
            <w:pPr>
              <w:pStyle w:val="Compact"/>
            </w:pPr>
            <w:r>
              <w:t xml:space="preserve">2.10</w:t>
            </w:r>
          </w:p>
        </w:tc>
        <w:tc>
          <w:tcPr/>
          <w:p>
            <w:pPr>
              <w:pStyle w:val="Compact"/>
            </w:pPr>
            <w:r>
              <w:t xml:space="preserve">Natural-language to assertion translation</w:t>
            </w:r>
          </w:p>
        </w:tc>
        <w:tc>
          <w:tcPr/>
          <w:p>
            <w:pPr>
              <w:pStyle w:val="Compact"/>
            </w:pPr>
            <w:r>
              <w:rPr>
                <w:i/>
                <w:iCs/>
              </w:rPr>
              <w:t xml:space="preserve">TBD</w:t>
            </w:r>
          </w:p>
        </w:tc>
      </w:tr>
      <w:tr>
        <w:tc>
          <w:tcPr/>
          <w:p>
            <w:pPr>
              <w:pStyle w:val="Compact"/>
            </w:pPr>
            <w:r>
              <w:t xml:space="preserve">2.11</w:t>
            </w:r>
          </w:p>
        </w:tc>
        <w:tc>
          <w:tcPr/>
          <w:p>
            <w:pPr>
              <w:pStyle w:val="Compact"/>
            </w:pPr>
            <w:r>
              <w:t xml:space="preserve">Waveform-assisted assertion learning</w:t>
            </w:r>
          </w:p>
        </w:tc>
        <w:tc>
          <w:tcPr/>
          <w:p>
            <w:pPr>
              <w:pStyle w:val="Compact"/>
            </w:pPr>
            <w:r>
              <w:rPr>
                <w:i/>
                <w:iCs/>
              </w:rPr>
              <w:t xml:space="preserve">TBD</w:t>
            </w:r>
          </w:p>
        </w:tc>
      </w:tr>
      <w:tr>
        <w:tc>
          <w:tcPr/>
          <w:p>
            <w:pPr>
              <w:pStyle w:val="Compact"/>
            </w:pPr>
            <w:r>
              <w:t xml:space="preserve">2.12</w:t>
            </w:r>
          </w:p>
        </w:tc>
        <w:tc>
          <w:tcPr/>
          <w:p>
            <w:pPr>
              <w:pStyle w:val="Compact"/>
            </w:pPr>
            <w:r>
              <w:t xml:space="preserve">Knowledge graphs and design intent alignment</w:t>
            </w:r>
          </w:p>
        </w:tc>
        <w:tc>
          <w:tcPr/>
          <w:p>
            <w:pPr>
              <w:pStyle w:val="Compact"/>
            </w:pPr>
            <w:r>
              <w:rPr>
                <w:i/>
                <w:iCs/>
              </w:rPr>
              <w:t xml:space="preserve">TBD</w:t>
            </w:r>
          </w:p>
        </w:tc>
      </w:tr>
      <w:tr>
        <w:tc>
          <w:tcPr/>
          <w:p>
            <w:pPr>
              <w:pStyle w:val="Compact"/>
            </w:pPr>
            <w:r>
              <w:t xml:space="preserve">2.13</w:t>
            </w:r>
          </w:p>
        </w:tc>
        <w:tc>
          <w:tcPr/>
          <w:p>
            <w:pPr>
              <w:pStyle w:val="Compact"/>
            </w:pPr>
            <w:r>
              <w:t xml:space="preserve">AssertionBench and comparable benchmarks</w:t>
            </w:r>
          </w:p>
        </w:tc>
        <w:tc>
          <w:tcPr/>
          <w:p>
            <w:pPr>
              <w:pStyle w:val="Compact"/>
            </w:pPr>
            <w:r>
              <w:rPr>
                <w:i/>
                <w:iCs/>
              </w:rPr>
              <w:t xml:space="preserve">TBD</w:t>
            </w:r>
          </w:p>
        </w:tc>
      </w:tr>
      <w:tr>
        <w:tc>
          <w:tcPr/>
          <w:p>
            <w:pPr>
              <w:pStyle w:val="Compact"/>
            </w:pPr>
            <w:r>
              <w:t xml:space="preserve">2.14</w:t>
            </w:r>
          </w:p>
        </w:tc>
        <w:tc>
          <w:tcPr/>
          <w:p>
            <w:pPr>
              <w:pStyle w:val="Compact"/>
            </w:pPr>
            <w:r>
              <w:t xml:space="preserve">The VERT corpus and fragment-level RTL</w:t>
            </w:r>
          </w:p>
        </w:tc>
        <w:tc>
          <w:tcPr/>
          <w:p>
            <w:pPr>
              <w:pStyle w:val="Compact"/>
            </w:pPr>
            <w:r>
              <w:rPr>
                <w:i/>
                <w:iCs/>
              </w:rPr>
              <w:t xml:space="preserve">TBD</w:t>
            </w:r>
          </w:p>
        </w:tc>
      </w:tr>
      <w:tr>
        <w:tc>
          <w:tcPr/>
          <w:p>
            <w:pPr>
              <w:pStyle w:val="Compact"/>
            </w:pPr>
            <w:r>
              <w:t xml:space="preserve">2.15</w:t>
            </w:r>
          </w:p>
        </w:tc>
        <w:tc>
          <w:tcPr/>
          <w:p>
            <w:pPr>
              <w:pStyle w:val="Compact"/>
            </w:pPr>
            <w:r>
              <w:t xml:space="preserve">Open-source formal stacks (Yosys, SymbiYosys)</w:t>
            </w:r>
          </w:p>
        </w:tc>
        <w:tc>
          <w:tcPr/>
          <w:p>
            <w:pPr>
              <w:pStyle w:val="Compact"/>
            </w:pPr>
            <w:r>
              <w:rPr>
                <w:i/>
                <w:iCs/>
              </w:rPr>
              <w:t xml:space="preserve">TBD</w:t>
            </w:r>
          </w:p>
        </w:tc>
      </w:tr>
      <w:tr>
        <w:tc>
          <w:tcPr/>
          <w:p>
            <w:pPr>
              <w:pStyle w:val="Compact"/>
            </w:pPr>
            <w:r>
              <w:t xml:space="preserve">2.16</w:t>
            </w:r>
          </w:p>
        </w:tc>
        <w:tc>
          <w:tcPr/>
          <w:p>
            <w:pPr>
              <w:pStyle w:val="Compact"/>
            </w:pPr>
            <w:r>
              <w:t xml:space="preserve">Vacuity, coverage, and meaningful formal results</w:t>
            </w:r>
          </w:p>
        </w:tc>
        <w:tc>
          <w:tcPr/>
          <w:p>
            <w:pPr>
              <w:pStyle w:val="Compact"/>
            </w:pPr>
            <w:r>
              <w:rPr>
                <w:i/>
                <w:iCs/>
              </w:rPr>
              <w:t xml:space="preserve">TBD</w:t>
            </w:r>
          </w:p>
        </w:tc>
      </w:tr>
      <w:tr>
        <w:tc>
          <w:tcPr/>
          <w:p>
            <w:pPr>
              <w:pStyle w:val="Compact"/>
            </w:pPr>
            <w:r>
              <w:t xml:space="preserve">2.17</w:t>
            </w:r>
          </w:p>
        </w:tc>
        <w:tc>
          <w:tcPr/>
          <w:p>
            <w:pPr>
              <w:pStyle w:val="Compact"/>
            </w:pPr>
            <w:r>
              <w:t xml:space="preserve">Reset and initialization assumptions in BMC</w:t>
            </w:r>
          </w:p>
        </w:tc>
        <w:tc>
          <w:tcPr/>
          <w:p>
            <w:pPr>
              <w:pStyle w:val="Compact"/>
            </w:pPr>
            <w:r>
              <w:rPr>
                <w:i/>
                <w:iCs/>
              </w:rPr>
              <w:t xml:space="preserve">TBD</w:t>
            </w:r>
          </w:p>
        </w:tc>
      </w:tr>
      <w:tr>
        <w:tc>
          <w:tcPr/>
          <w:p>
            <w:pPr>
              <w:pStyle w:val="Compact"/>
            </w:pPr>
            <w:r>
              <w:t xml:space="preserve">2.18</w:t>
            </w:r>
          </w:p>
        </w:tc>
        <w:tc>
          <w:tcPr/>
          <w:p>
            <w:pPr>
              <w:pStyle w:val="Compact"/>
            </w:pPr>
            <w:r>
              <w:t xml:space="preserve">Clock-domain alignment for concurrent assertions</w:t>
            </w:r>
          </w:p>
        </w:tc>
        <w:tc>
          <w:tcPr/>
          <w:p>
            <w:pPr>
              <w:pStyle w:val="Compact"/>
            </w:pPr>
            <w:r>
              <w:rPr>
                <w:i/>
                <w:iCs/>
              </w:rPr>
              <w:t xml:space="preserve">TBD</w:t>
            </w:r>
          </w:p>
        </w:tc>
      </w:tr>
      <w:tr>
        <w:tc>
          <w:tcPr/>
          <w:p>
            <w:pPr>
              <w:pStyle w:val="Compact"/>
            </w:pPr>
            <w:r>
              <w:t xml:space="preserve">2.19</w:t>
            </w:r>
          </w:p>
        </w:tc>
        <w:tc>
          <w:tcPr/>
          <w:p>
            <w:pPr>
              <w:pStyle w:val="Compact"/>
            </w:pPr>
            <w:r>
              <w:t xml:space="preserve">Four-valued logic and X-propagation in formal runs</w:t>
            </w:r>
          </w:p>
        </w:tc>
        <w:tc>
          <w:tcPr/>
          <w:p>
            <w:pPr>
              <w:pStyle w:val="Compact"/>
            </w:pPr>
            <w:r>
              <w:rPr>
                <w:i/>
                <w:iCs/>
              </w:rPr>
              <w:t xml:space="preserve">TBD</w:t>
            </w:r>
          </w:p>
        </w:tc>
      </w:tr>
      <w:tr>
        <w:tc>
          <w:tcPr/>
          <w:p>
            <w:pPr>
              <w:pStyle w:val="Compact"/>
            </w:pPr>
            <w:r>
              <w:t xml:space="preserve">2.20</w:t>
            </w:r>
          </w:p>
        </w:tc>
        <w:tc>
          <w:tcPr/>
          <w:p>
            <w:pPr>
              <w:pStyle w:val="Compact"/>
            </w:pPr>
            <w:r>
              <w:t xml:space="preserve">Parameter-efficient fine-tuning survey</w:t>
            </w:r>
          </w:p>
        </w:tc>
        <w:tc>
          <w:tcPr/>
          <w:p>
            <w:pPr>
              <w:pStyle w:val="Compact"/>
            </w:pPr>
            <w:r>
              <w:rPr>
                <w:i/>
                <w:iCs/>
              </w:rPr>
              <w:t xml:space="preserve">TBD</w:t>
            </w:r>
          </w:p>
        </w:tc>
      </w:tr>
      <w:tr>
        <w:tc>
          <w:tcPr/>
          <w:p>
            <w:pPr>
              <w:pStyle w:val="Compact"/>
            </w:pPr>
            <w:r>
              <w:t xml:space="preserve">2.21</w:t>
            </w:r>
          </w:p>
        </w:tc>
        <w:tc>
          <w:tcPr/>
          <w:p>
            <w:pPr>
              <w:pStyle w:val="Compact"/>
            </w:pPr>
            <w:r>
              <w:t xml:space="preserve">QLoRA and memory-efficient adaptation</w:t>
            </w:r>
          </w:p>
        </w:tc>
        <w:tc>
          <w:tcPr/>
          <w:p>
            <w:pPr>
              <w:pStyle w:val="Compact"/>
            </w:pPr>
            <w:r>
              <w:rPr>
                <w:i/>
                <w:iCs/>
              </w:rPr>
              <w:t xml:space="preserve">TBD</w:t>
            </w:r>
          </w:p>
        </w:tc>
      </w:tr>
      <w:tr>
        <w:tc>
          <w:tcPr/>
          <w:p>
            <w:pPr>
              <w:pStyle w:val="Compact"/>
            </w:pPr>
            <w:r>
              <w:t xml:space="preserve">2.22</w:t>
            </w:r>
          </w:p>
        </w:tc>
        <w:tc>
          <w:tcPr/>
          <w:p>
            <w:pPr>
              <w:pStyle w:val="Compact"/>
            </w:pPr>
            <w:r>
              <w:t xml:space="preserve">Instruction tuning for code and hardware domains</w:t>
            </w:r>
          </w:p>
        </w:tc>
        <w:tc>
          <w:tcPr/>
          <w:p>
            <w:pPr>
              <w:pStyle w:val="Compact"/>
            </w:pPr>
            <w:r>
              <w:rPr>
                <w:i/>
                <w:iCs/>
              </w:rPr>
              <w:t xml:space="preserve">TBD</w:t>
            </w:r>
          </w:p>
        </w:tc>
      </w:tr>
      <w:tr>
        <w:tc>
          <w:tcPr/>
          <w:p>
            <w:pPr>
              <w:pStyle w:val="Compact"/>
            </w:pPr>
            <w:r>
              <w:t xml:space="preserve">2.23</w:t>
            </w:r>
          </w:p>
        </w:tc>
        <w:tc>
          <w:tcPr/>
          <w:p>
            <w:pPr>
              <w:pStyle w:val="Compact"/>
            </w:pPr>
            <w:r>
              <w:t xml:space="preserve">Evaluation contamination and benchmark hygiene</w:t>
            </w:r>
          </w:p>
        </w:tc>
        <w:tc>
          <w:tcPr/>
          <w:p>
            <w:pPr>
              <w:pStyle w:val="Compact"/>
            </w:pPr>
            <w:r>
              <w:rPr>
                <w:i/>
                <w:iCs/>
              </w:rPr>
              <w:t xml:space="preserve">TBD</w:t>
            </w:r>
          </w:p>
        </w:tc>
      </w:tr>
      <w:tr>
        <w:tc>
          <w:tcPr/>
          <w:p>
            <w:pPr>
              <w:pStyle w:val="Compact"/>
            </w:pPr>
            <w:r>
              <w:t xml:space="preserve">2.24</w:t>
            </w:r>
          </w:p>
        </w:tc>
        <w:tc>
          <w:tcPr/>
          <w:p>
            <w:pPr>
              <w:pStyle w:val="Compact"/>
            </w:pPr>
            <w:r>
              <w:t xml:space="preserve">Reproducibility in ML-for-EDA research</w:t>
            </w:r>
          </w:p>
        </w:tc>
        <w:tc>
          <w:tcPr/>
          <w:p>
            <w:pPr>
              <w:pStyle w:val="Compact"/>
            </w:pPr>
            <w:r>
              <w:rPr>
                <w:i/>
                <w:iCs/>
              </w:rPr>
              <w:t xml:space="preserve">TBD</w:t>
            </w:r>
          </w:p>
        </w:tc>
      </w:tr>
      <w:tr>
        <w:tc>
          <w:tcPr/>
          <w:p>
            <w:pPr>
              <w:pStyle w:val="Compact"/>
            </w:pPr>
            <w:r>
              <w:t xml:space="preserve">2.25</w:t>
            </w:r>
          </w:p>
        </w:tc>
        <w:tc>
          <w:tcPr/>
          <w:p>
            <w:pPr>
              <w:pStyle w:val="Compact"/>
            </w:pPr>
            <w:r>
              <w:t xml:space="preserve">Industrial adoption barriers for formal methods</w:t>
            </w:r>
          </w:p>
        </w:tc>
        <w:tc>
          <w:tcPr/>
          <w:p>
            <w:pPr>
              <w:pStyle w:val="Compact"/>
            </w:pPr>
            <w:r>
              <w:rPr>
                <w:i/>
                <w:iCs/>
              </w:rPr>
              <w:t xml:space="preserve">TBD</w:t>
            </w:r>
          </w:p>
        </w:tc>
      </w:tr>
      <w:tr>
        <w:tc>
          <w:tcPr/>
          <w:p>
            <w:pPr>
              <w:pStyle w:val="Compact"/>
            </w:pPr>
            <w:r>
              <w:t xml:space="preserve">2.26</w:t>
            </w:r>
          </w:p>
        </w:tc>
        <w:tc>
          <w:tcPr/>
          <w:p>
            <w:pPr>
              <w:pStyle w:val="Compact"/>
            </w:pPr>
            <w:r>
              <w:t xml:space="preserve">NECOP-relevant verification productivity themes</w:t>
            </w:r>
          </w:p>
        </w:tc>
        <w:tc>
          <w:tcPr/>
          <w:p>
            <w:pPr>
              <w:pStyle w:val="Compact"/>
            </w:pPr>
            <w:r>
              <w:rPr>
                <w:i/>
                <w:iCs/>
              </w:rPr>
              <w:t xml:space="preserve">TBD</w:t>
            </w:r>
          </w:p>
        </w:tc>
      </w:tr>
      <w:tr>
        <w:tc>
          <w:tcPr/>
          <w:p>
            <w:pPr>
              <w:pStyle w:val="Compact"/>
            </w:pPr>
            <w:r>
              <w:t xml:space="preserve">2.27</w:t>
            </w:r>
          </w:p>
        </w:tc>
        <w:tc>
          <w:tcPr/>
          <w:p>
            <w:pPr>
              <w:pStyle w:val="Compact"/>
            </w:pPr>
            <w:r>
              <w:t xml:space="preserve">Energy footprint of large-model training</w:t>
            </w:r>
          </w:p>
        </w:tc>
        <w:tc>
          <w:tcPr/>
          <w:p>
            <w:pPr>
              <w:pStyle w:val="Compact"/>
            </w:pPr>
            <w:r>
              <w:rPr>
                <w:i/>
                <w:iCs/>
              </w:rPr>
              <w:t xml:space="preserve">TBD</w:t>
            </w:r>
          </w:p>
        </w:tc>
      </w:tr>
      <w:tr>
        <w:tc>
          <w:tcPr/>
          <w:p>
            <w:pPr>
              <w:pStyle w:val="Compact"/>
            </w:pPr>
            <w:r>
              <w:t xml:space="preserve">2.28</w:t>
            </w:r>
          </w:p>
        </w:tc>
        <w:tc>
          <w:tcPr/>
          <w:p>
            <w:pPr>
              <w:pStyle w:val="Compact"/>
            </w:pPr>
            <w:r>
              <w:t xml:space="preserve">Security of RTL when using local vs cloud inference</w:t>
            </w:r>
          </w:p>
        </w:tc>
        <w:tc>
          <w:tcPr/>
          <w:p>
            <w:pPr>
              <w:pStyle w:val="Compact"/>
            </w:pPr>
            <w:r>
              <w:rPr>
                <w:i/>
                <w:iCs/>
              </w:rPr>
              <w:t xml:space="preserve">TBD</w:t>
            </w:r>
          </w:p>
        </w:tc>
      </w:tr>
      <w:tr>
        <w:tc>
          <w:tcPr/>
          <w:p>
            <w:pPr>
              <w:pStyle w:val="Compact"/>
            </w:pPr>
            <w:r>
              <w:t xml:space="preserve">2.29</w:t>
            </w:r>
          </w:p>
        </w:tc>
        <w:tc>
          <w:tcPr/>
          <w:p>
            <w:pPr>
              <w:pStyle w:val="Compact"/>
            </w:pPr>
            <w:r>
              <w:t xml:space="preserve">Documentation and traceability for student projects</w:t>
            </w:r>
          </w:p>
        </w:tc>
        <w:tc>
          <w:tcPr/>
          <w:p>
            <w:pPr>
              <w:pStyle w:val="Compact"/>
            </w:pPr>
            <w:r>
              <w:rPr>
                <w:i/>
                <w:iCs/>
              </w:rPr>
              <w:t xml:space="preserve">TBD</w:t>
            </w:r>
          </w:p>
        </w:tc>
      </w:tr>
      <w:tr>
        <w:tc>
          <w:tcPr/>
          <w:p>
            <w:pPr>
              <w:pStyle w:val="Compact"/>
            </w:pPr>
            <w:r>
              <w:t xml:space="preserve">2.30</w:t>
            </w:r>
          </w:p>
        </w:tc>
        <w:tc>
          <w:tcPr/>
          <w:p>
            <w:pPr>
              <w:pStyle w:val="Compact"/>
            </w:pPr>
            <w:r>
              <w:t xml:space="preserve">Limitations of lexical similarity metrics</w:t>
            </w:r>
          </w:p>
        </w:tc>
        <w:tc>
          <w:tcPr/>
          <w:p>
            <w:pPr>
              <w:pStyle w:val="Compact"/>
            </w:pPr>
            <w:r>
              <w:rPr>
                <w:i/>
                <w:iCs/>
              </w:rPr>
              <w:t xml:space="preserve">TBD</w:t>
            </w:r>
          </w:p>
        </w:tc>
      </w:tr>
      <w:tr>
        <w:tc>
          <w:tcPr/>
          <w:p>
            <w:pPr>
              <w:pStyle w:val="Compact"/>
            </w:pPr>
            <w:r>
              <w:t xml:space="preserve">2.31</w:t>
            </w:r>
          </w:p>
        </w:tc>
        <w:tc>
          <w:tcPr/>
          <w:p>
            <w:pPr>
              <w:pStyle w:val="Compact"/>
            </w:pPr>
            <w:r>
              <w:t xml:space="preserve">Counterexample-guided assertion refinement</w:t>
            </w:r>
          </w:p>
        </w:tc>
        <w:tc>
          <w:tcPr/>
          <w:p>
            <w:pPr>
              <w:pStyle w:val="Compact"/>
            </w:pPr>
            <w:r>
              <w:rPr>
                <w:i/>
                <w:iCs/>
              </w:rPr>
              <w:t xml:space="preserve">TBD</w:t>
            </w:r>
          </w:p>
        </w:tc>
      </w:tr>
      <w:tr>
        <w:tc>
          <w:tcPr/>
          <w:p>
            <w:pPr>
              <w:pStyle w:val="Compact"/>
            </w:pPr>
            <w:r>
              <w:t xml:space="preserve">2.32</w:t>
            </w:r>
          </w:p>
        </w:tc>
        <w:tc>
          <w:tcPr/>
          <w:p>
            <w:pPr>
              <w:pStyle w:val="Compact"/>
            </w:pPr>
            <w:r>
              <w:t xml:space="preserve">Assume–guarantee and modular verification outlook</w:t>
            </w:r>
          </w:p>
        </w:tc>
        <w:tc>
          <w:tcPr/>
          <w:p>
            <w:pPr>
              <w:pStyle w:val="Compact"/>
            </w:pPr>
            <w:r>
              <w:rPr>
                <w:i/>
                <w:iCs/>
              </w:rPr>
              <w:t xml:space="preserve">TBD</w:t>
            </w:r>
          </w:p>
        </w:tc>
      </w:tr>
      <w:tr>
        <w:tc>
          <w:tcPr/>
          <w:p>
            <w:pPr>
              <w:pStyle w:val="Compact"/>
            </w:pPr>
            <w:r>
              <w:t xml:space="preserve">II–S1</w:t>
            </w:r>
          </w:p>
        </w:tc>
        <w:tc>
          <w:tcPr/>
          <w:p>
            <w:pPr>
              <w:pStyle w:val="Compact"/>
            </w:pPr>
            <w:r>
              <w:t xml:space="preserve">Supplement: Industrial verification metrics beyond pass rate</w:t>
            </w:r>
          </w:p>
        </w:tc>
        <w:tc>
          <w:tcPr/>
          <w:p>
            <w:pPr>
              <w:pStyle w:val="Compact"/>
            </w:pPr>
            <w:r>
              <w:rPr>
                <w:i/>
                <w:iCs/>
              </w:rPr>
              <w:t xml:space="preserve">TBD</w:t>
            </w:r>
          </w:p>
        </w:tc>
      </w:tr>
      <w:tr>
        <w:tc>
          <w:tcPr/>
          <w:p>
            <w:pPr>
              <w:pStyle w:val="Compact"/>
            </w:pPr>
            <w:r>
              <w:t xml:space="preserve">II–S2</w:t>
            </w:r>
          </w:p>
        </w:tc>
        <w:tc>
          <w:tcPr/>
          <w:p>
            <w:pPr>
              <w:pStyle w:val="Compact"/>
            </w:pPr>
            <w:r>
              <w:t xml:space="preserve">Supplement: Regression hygiene for ML-assisted flows</w:t>
            </w:r>
          </w:p>
        </w:tc>
        <w:tc>
          <w:tcPr/>
          <w:p>
            <w:pPr>
              <w:pStyle w:val="Compact"/>
            </w:pPr>
            <w:r>
              <w:rPr>
                <w:i/>
                <w:iCs/>
              </w:rPr>
              <w:t xml:space="preserve">TBD</w:t>
            </w:r>
          </w:p>
        </w:tc>
      </w:tr>
      <w:tr>
        <w:tc>
          <w:tcPr/>
          <w:p>
            <w:pPr>
              <w:pStyle w:val="Compact"/>
            </w:pPr>
            <w:r>
              <w:t xml:space="preserve">II–S3</w:t>
            </w:r>
          </w:p>
        </w:tc>
        <w:tc>
          <w:tcPr/>
          <w:p>
            <w:pPr>
              <w:pStyle w:val="Compact"/>
            </w:pPr>
            <w:r>
              <w:t xml:space="preserve">Supplement: Cross-corpus transfer and domain shift</w:t>
            </w:r>
          </w:p>
        </w:tc>
        <w:tc>
          <w:tcPr/>
          <w:p>
            <w:pPr>
              <w:pStyle w:val="Compact"/>
            </w:pPr>
            <w:r>
              <w:rPr>
                <w:i/>
                <w:iCs/>
              </w:rPr>
              <w:t xml:space="preserve">TBD</w:t>
            </w:r>
          </w:p>
        </w:tc>
      </w:tr>
      <w:tr>
        <w:tc>
          <w:tcPr/>
          <w:p>
            <w:pPr>
              <w:pStyle w:val="Compact"/>
            </w:pPr>
            <w:r>
              <w:t xml:space="preserve">II–S4</w:t>
            </w:r>
          </w:p>
        </w:tc>
        <w:tc>
          <w:tcPr/>
          <w:p>
            <w:pPr>
              <w:pStyle w:val="Compact"/>
            </w:pPr>
            <w:r>
              <w:t xml:space="preserve">Supplement: Replicability of OSS CAD versions</w:t>
            </w:r>
          </w:p>
        </w:tc>
        <w:tc>
          <w:tcPr/>
          <w:p>
            <w:pPr>
              <w:pStyle w:val="Compact"/>
            </w:pPr>
            <w:r>
              <w:rPr>
                <w:i/>
                <w:iCs/>
              </w:rPr>
              <w:t xml:space="preserve">TBD</w:t>
            </w:r>
          </w:p>
        </w:tc>
      </w:tr>
      <w:tr>
        <w:tc>
          <w:tcPr/>
          <w:p>
            <w:pPr>
              <w:pStyle w:val="Compact"/>
            </w:pPr>
            <w:r>
              <w:t xml:space="preserve">II–S5</w:t>
            </w:r>
          </w:p>
        </w:tc>
        <w:tc>
          <w:tcPr/>
          <w:p>
            <w:pPr>
              <w:pStyle w:val="Compact"/>
            </w:pPr>
            <w:r>
              <w:t xml:space="preserve">Supplement: Peer review expectations for ML-for-EDA</w:t>
            </w:r>
          </w:p>
        </w:tc>
        <w:tc>
          <w:tcPr/>
          <w:p>
            <w:pPr>
              <w:pStyle w:val="Compact"/>
            </w:pPr>
            <w:r>
              <w:rPr>
                <w:i/>
                <w:iCs/>
              </w:rPr>
              <w:t xml:space="preserve">TBD</w:t>
            </w:r>
          </w:p>
        </w:tc>
      </w:tr>
      <w:tr>
        <w:tc>
          <w:tcPr/>
          <w:p>
            <w:pPr>
              <w:pStyle w:val="Compact"/>
            </w:pPr>
            <w:r>
              <w:t xml:space="preserve">II–S6</w:t>
            </w:r>
          </w:p>
        </w:tc>
        <w:tc>
          <w:tcPr/>
          <w:p>
            <w:pPr>
              <w:pStyle w:val="Compact"/>
            </w:pPr>
            <w:r>
              <w:t xml:space="preserve">Supplement: Documentation standards for FYP repositories</w:t>
            </w:r>
          </w:p>
        </w:tc>
        <w:tc>
          <w:tcPr/>
          <w:p>
            <w:pPr>
              <w:pStyle w:val="Compact"/>
            </w:pPr>
            <w:r>
              <w:rPr>
                <w:i/>
                <w:iCs/>
              </w:rPr>
              <w:t xml:space="preserve">TBD</w:t>
            </w:r>
          </w:p>
        </w:tc>
      </w:tr>
      <w:tr>
        <w:tc>
          <w:tcPr/>
          <w:p>
            <w:pPr>
              <w:pStyle w:val="Compact"/>
            </w:pPr>
            <w:r>
              <w:t xml:space="preserve">II–S7</w:t>
            </w:r>
          </w:p>
        </w:tc>
        <w:tc>
          <w:tcPr/>
          <w:p>
            <w:pPr>
              <w:pStyle w:val="Compact"/>
            </w:pPr>
            <w:r>
              <w:t xml:space="preserve">Supplement: Turnitin and originality checks prior to submission</w:t>
            </w:r>
          </w:p>
        </w:tc>
        <w:tc>
          <w:tcPr/>
          <w:p>
            <w:pPr>
              <w:pStyle w:val="Compact"/>
            </w:pPr>
            <w:r>
              <w:rPr>
                <w:i/>
                <w:iCs/>
              </w:rPr>
              <w:t xml:space="preserve">TBD</w:t>
            </w:r>
          </w:p>
        </w:tc>
      </w:tr>
      <w:tr>
        <w:tc>
          <w:tcPr/>
          <w:p>
            <w:pPr>
              <w:pStyle w:val="Compact"/>
            </w:pPr>
            <w:r>
              <w:t xml:space="preserve">II–S8</w:t>
            </w:r>
          </w:p>
        </w:tc>
        <w:tc>
          <w:tcPr/>
          <w:p>
            <w:pPr>
              <w:pStyle w:val="Compact"/>
            </w:pPr>
            <w:r>
              <w:t xml:space="preserve">Supplement: Defense materials alignment with thesis claims</w:t>
            </w:r>
          </w:p>
        </w:tc>
        <w:tc>
          <w:tcPr/>
          <w:p>
            <w:pPr>
              <w:pStyle w:val="Compact"/>
            </w:pPr>
            <w:r>
              <w:rPr>
                <w:i/>
                <w:iCs/>
              </w:rPr>
              <w:t xml:space="preserve">TBD</w:t>
            </w:r>
          </w:p>
        </w:tc>
      </w:tr>
    </w:tbl>
    <w:bookmarkEnd w:id="31"/>
    <w:bookmarkStart w:id="32" w:name="X613482bcabb01361198312981c38bf3438465a3"/>
    <w:p>
      <w:pPr>
        <w:pStyle w:val="Heading3"/>
      </w:pPr>
      <w:r>
        <w:t xml:space="preserve">CHAPTER III — Design (requirements /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Ref</w:t>
            </w:r>
          </w:p>
        </w:tc>
        <w:tc>
          <w:tcPr/>
          <w:p>
            <w:pPr>
              <w:pStyle w:val="Compact"/>
            </w:pPr>
            <w:r>
              <w:t xml:space="preserve">Section</w:t>
            </w:r>
          </w:p>
        </w:tc>
        <w:tc>
          <w:tcPr/>
          <w:p>
            <w:pPr>
              <w:pStyle w:val="Compact"/>
            </w:pPr>
            <w:r>
              <w:t xml:space="preserve">Page</w:t>
            </w:r>
          </w:p>
        </w:tc>
      </w:tr>
      <w:tr>
        <w:tc>
          <w:tcPr/>
          <w:p>
            <w:pPr>
              <w:pStyle w:val="Compact"/>
            </w:pPr>
            <w:r>
              <w:t xml:space="preserve">3.1</w:t>
            </w:r>
          </w:p>
        </w:tc>
        <w:tc>
          <w:tcPr/>
          <w:p>
            <w:pPr>
              <w:pStyle w:val="Compact"/>
            </w:pPr>
            <w:r>
              <w:t xml:space="preserve">System context</w:t>
            </w:r>
          </w:p>
        </w:tc>
        <w:tc>
          <w:tcPr/>
          <w:p>
            <w:pPr>
              <w:pStyle w:val="Compact"/>
            </w:pPr>
            <w:r>
              <w:rPr>
                <w:i/>
                <w:iCs/>
              </w:rPr>
              <w:t xml:space="preserve">TBD</w:t>
            </w:r>
          </w:p>
        </w:tc>
      </w:tr>
      <w:tr>
        <w:tc>
          <w:tcPr/>
          <w:p>
            <w:pPr>
              <w:pStyle w:val="Compact"/>
            </w:pPr>
            <w:r>
              <w:t xml:space="preserve">3.2</w:t>
            </w:r>
          </w:p>
        </w:tc>
        <w:tc>
          <w:tcPr/>
          <w:p>
            <w:pPr>
              <w:pStyle w:val="Compact"/>
            </w:pPr>
            <w:r>
              <w:t xml:space="preserve">Functional requirements (Table 3.1)</w:t>
            </w:r>
          </w:p>
        </w:tc>
        <w:tc>
          <w:tcPr/>
          <w:p>
            <w:pPr>
              <w:pStyle w:val="Compact"/>
            </w:pPr>
            <w:r>
              <w:rPr>
                <w:i/>
                <w:iCs/>
              </w:rPr>
              <w:t xml:space="preserve">TBD</w:t>
            </w:r>
          </w:p>
        </w:tc>
      </w:tr>
      <w:tr>
        <w:tc>
          <w:tcPr/>
          <w:p>
            <w:pPr>
              <w:pStyle w:val="Compact"/>
            </w:pPr>
            <w:r>
              <w:t xml:space="preserve">3.3</w:t>
            </w:r>
          </w:p>
        </w:tc>
        <w:tc>
          <w:tcPr/>
          <w:p>
            <w:pPr>
              <w:pStyle w:val="Compact"/>
            </w:pPr>
            <w:r>
              <w:t xml:space="preserve">Non-functional requirements (Table 3.2)</w:t>
            </w:r>
          </w:p>
        </w:tc>
        <w:tc>
          <w:tcPr/>
          <w:p>
            <w:pPr>
              <w:pStyle w:val="Compact"/>
            </w:pPr>
            <w:r>
              <w:rPr>
                <w:i/>
                <w:iCs/>
              </w:rPr>
              <w:t xml:space="preserve">TBD</w:t>
            </w:r>
          </w:p>
        </w:tc>
      </w:tr>
      <w:tr>
        <w:tc>
          <w:tcPr/>
          <w:p>
            <w:pPr>
              <w:pStyle w:val="Compact"/>
            </w:pPr>
            <w:r>
              <w:t xml:space="preserve">Fig.</w:t>
            </w:r>
          </w:p>
        </w:tc>
        <w:tc>
          <w:tcPr/>
          <w:p>
            <w:pPr>
              <w:pStyle w:val="Compact"/>
            </w:pPr>
            <w:r>
              <w:t xml:space="preserve">Figures 3.1–3.3</w:t>
            </w:r>
          </w:p>
        </w:tc>
        <w:tc>
          <w:tcPr/>
          <w:p>
            <w:pPr>
              <w:pStyle w:val="Compact"/>
            </w:pPr>
            <w:r>
              <w:rPr>
                <w:i/>
                <w:iCs/>
              </w:rPr>
              <w:t xml:space="preserve">TBD</w:t>
            </w:r>
          </w:p>
        </w:tc>
      </w:tr>
    </w:tbl>
    <w:bookmarkEnd w:id="32"/>
    <w:bookmarkStart w:id="33" w:name="X98889e599e713d0c7c5bdc0340cf0412a08aa98"/>
    <w:p>
      <w:pPr>
        <w:pStyle w:val="Heading3"/>
      </w:pPr>
      <w:r>
        <w:t xml:space="preserve">CHAPTER IV — Proposed solution (methodology, implementation)</w:t>
      </w:r>
    </w:p>
    <w:tbl>
      <w:tblPr>
        <w:tblStyle w:val="Table"/>
        <w:tblW w:type="pct" w:w="5000"/>
        <w:tblLayout w:type="fixed"/>
        <w:tblLook w:firstRow="1" w:lastRow="0" w:firstColumn="0" w:lastColumn="0" w:noHBand="0" w:noVBand="0" w:val="0020"/>
      </w:tblPr>
      <w:tblGrid>
        <w:gridCol w:w="1980"/>
        <w:gridCol w:w="3564"/>
        <w:gridCol w:w="2376"/>
      </w:tblGrid>
      <w:tr>
        <w:trPr>
          <w:tblHeader w:val="on"/>
        </w:trPr>
        <w:tc>
          <w:tcPr/>
          <w:p>
            <w:pPr>
              <w:pStyle w:val="Compact"/>
            </w:pPr>
            <w:r>
              <w:t xml:space="preserve">Ref</w:t>
            </w:r>
          </w:p>
        </w:tc>
        <w:tc>
          <w:tcPr/>
          <w:p>
            <w:pPr>
              <w:pStyle w:val="Compact"/>
            </w:pPr>
            <w:r>
              <w:t xml:space="preserve">Section</w:t>
            </w:r>
          </w:p>
        </w:tc>
        <w:tc>
          <w:tcPr/>
          <w:p>
            <w:pPr>
              <w:pStyle w:val="Compact"/>
            </w:pPr>
            <w:r>
              <w:t xml:space="preserve">Page</w:t>
            </w:r>
          </w:p>
        </w:tc>
      </w:tr>
      <w:tr>
        <w:tc>
          <w:tcPr/>
          <w:p>
            <w:pPr>
              <w:pStyle w:val="Compact"/>
            </w:pPr>
            <w:r>
              <w:t xml:space="preserve">4.1</w:t>
            </w:r>
          </w:p>
        </w:tc>
        <w:tc>
          <w:tcPr/>
          <w:p>
            <w:pPr>
              <w:pStyle w:val="Compact"/>
            </w:pPr>
            <w:r>
              <w:t xml:space="preserve">Scientific method and reproducibility</w:t>
            </w:r>
          </w:p>
        </w:tc>
        <w:tc>
          <w:tcPr/>
          <w:p>
            <w:pPr>
              <w:pStyle w:val="Compact"/>
            </w:pPr>
            <w:r>
              <w:rPr>
                <w:i/>
                <w:iCs/>
              </w:rPr>
              <w:t xml:space="preserve">TBD</w:t>
            </w:r>
          </w:p>
        </w:tc>
      </w:tr>
      <w:tr>
        <w:tc>
          <w:tcPr/>
          <w:p>
            <w:pPr>
              <w:pStyle w:val="Compact"/>
            </w:pPr>
            <w:r>
              <w:t xml:space="preserve">4.2</w:t>
            </w:r>
          </w:p>
        </w:tc>
        <w:tc>
          <w:tcPr/>
          <w:p>
            <w:pPr>
              <w:pStyle w:val="Compact"/>
            </w:pPr>
            <w:r>
              <w:t xml:space="preserve">Dataset and training configuration (Table 4.1)</w:t>
            </w:r>
          </w:p>
        </w:tc>
        <w:tc>
          <w:tcPr/>
          <w:p>
            <w:pPr>
              <w:pStyle w:val="Compact"/>
            </w:pPr>
            <w:r>
              <w:rPr>
                <w:i/>
                <w:iCs/>
              </w:rPr>
              <w:t xml:space="preserve">TBD</w:t>
            </w:r>
          </w:p>
        </w:tc>
      </w:tr>
      <w:tr>
        <w:tc>
          <w:tcPr/>
          <w:p>
            <w:pPr>
              <w:pStyle w:val="Compact"/>
            </w:pPr>
            <w:r>
              <w:t xml:space="preserve">4.3</w:t>
            </w:r>
          </w:p>
        </w:tc>
        <w:tc>
          <w:tcPr/>
          <w:p>
            <w:pPr>
              <w:pStyle w:val="Compact"/>
            </w:pPr>
            <w:r>
              <w:t xml:space="preserve">Core methodology narrative</w:t>
            </w:r>
          </w:p>
        </w:tc>
        <w:tc>
          <w:tcPr/>
          <w:p>
            <w:pPr>
              <w:pStyle w:val="Compact"/>
            </w:pPr>
            <w:r>
              <w:rPr>
                <w:i/>
                <w:iCs/>
              </w:rPr>
              <w:t xml:space="preserve">TBD</w:t>
            </w:r>
          </w:p>
        </w:tc>
      </w:tr>
      <w:tr>
        <w:tc>
          <w:tcPr/>
          <w:p>
            <w:pPr>
              <w:pStyle w:val="Compact"/>
            </w:pPr>
            <w:r>
              <w:t xml:space="preserve">Fig.</w:t>
            </w:r>
          </w:p>
        </w:tc>
        <w:tc>
          <w:tcPr/>
          <w:p>
            <w:pPr>
              <w:pStyle w:val="Compact"/>
            </w:pPr>
            <w:r>
              <w:t xml:space="preserve">Figures 4.1–4.8</w:t>
            </w:r>
          </w:p>
        </w:tc>
        <w:tc>
          <w:tcPr/>
          <w:p>
            <w:pPr>
              <w:pStyle w:val="Compact"/>
            </w:pPr>
            <w:r>
              <w:rPr>
                <w:i/>
                <w:iCs/>
              </w:rPr>
              <w:t xml:space="preserve">TBD</w:t>
            </w:r>
          </w:p>
        </w:tc>
      </w:tr>
      <w:tr>
        <w:tc>
          <w:tcPr/>
          <w:p>
            <w:pPr>
              <w:pStyle w:val="Compact"/>
            </w:pPr>
            <w:r>
              <w:t xml:space="preserve">4.4</w:t>
            </w:r>
          </w:p>
        </w:tc>
        <w:tc>
          <w:tcPr/>
          <w:p>
            <w:pPr>
              <w:pStyle w:val="Compact"/>
            </w:pPr>
            <w:r>
              <w:t xml:space="preserve">Dataset curation and VERT record schema</w:t>
            </w:r>
          </w:p>
        </w:tc>
        <w:tc>
          <w:tcPr/>
          <w:p>
            <w:pPr>
              <w:pStyle w:val="Compact"/>
            </w:pPr>
            <w:r>
              <w:rPr>
                <w:i/>
                <w:iCs/>
              </w:rPr>
              <w:t xml:space="preserve">TBD</w:t>
            </w:r>
          </w:p>
        </w:tc>
      </w:tr>
      <w:tr>
        <w:tc>
          <w:tcPr/>
          <w:p>
            <w:pPr>
              <w:pStyle w:val="Compact"/>
            </w:pPr>
            <w:r>
              <w:t xml:space="preserve">4.5</w:t>
            </w:r>
          </w:p>
        </w:tc>
        <w:tc>
          <w:tcPr/>
          <w:p>
            <w:pPr>
              <w:pStyle w:val="Compact"/>
            </w:pPr>
            <w:r>
              <w:t xml:space="preserve">Train/validation partitioning and leakage control</w:t>
            </w:r>
          </w:p>
        </w:tc>
        <w:tc>
          <w:tcPr/>
          <w:p>
            <w:pPr>
              <w:pStyle w:val="Compact"/>
            </w:pPr>
            <w:r>
              <w:rPr>
                <w:i/>
                <w:iCs/>
              </w:rPr>
              <w:t xml:space="preserve">TBD</w:t>
            </w:r>
          </w:p>
        </w:tc>
      </w:tr>
      <w:tr>
        <w:tc>
          <w:tcPr/>
          <w:p>
            <w:pPr>
              <w:pStyle w:val="Compact"/>
            </w:pPr>
            <w:r>
              <w:t xml:space="preserve">4.6</w:t>
            </w:r>
          </w:p>
        </w:tc>
        <w:tc>
          <w:tcPr/>
          <w:p>
            <w:pPr>
              <w:pStyle w:val="Compact"/>
            </w:pPr>
            <w:r>
              <w:t xml:space="preserve">Prompt design and instruction–response alignment</w:t>
            </w:r>
          </w:p>
        </w:tc>
        <w:tc>
          <w:tcPr/>
          <w:p>
            <w:pPr>
              <w:pStyle w:val="Compact"/>
            </w:pPr>
            <w:r>
              <w:rPr>
                <w:i/>
                <w:iCs/>
              </w:rPr>
              <w:t xml:space="preserve">TBD</w:t>
            </w:r>
          </w:p>
        </w:tc>
      </w:tr>
      <w:tr>
        <w:tc>
          <w:tcPr/>
          <w:p>
            <w:pPr>
              <w:pStyle w:val="Compact"/>
            </w:pPr>
            <w:r>
              <w:t xml:space="preserve">4.7</w:t>
            </w:r>
          </w:p>
        </w:tc>
        <w:tc>
          <w:tcPr/>
          <w:p>
            <w:pPr>
              <w:pStyle w:val="Compact"/>
            </w:pPr>
            <w:r>
              <w:t xml:space="preserve">Tokenization effects on hardware identifiers</w:t>
            </w:r>
          </w:p>
        </w:tc>
        <w:tc>
          <w:tcPr/>
          <w:p>
            <w:pPr>
              <w:pStyle w:val="Compact"/>
            </w:pPr>
            <w:r>
              <w:rPr>
                <w:i/>
                <w:iCs/>
              </w:rPr>
              <w:t xml:space="preserve">TBD</w:t>
            </w:r>
          </w:p>
        </w:tc>
      </w:tr>
      <w:tr>
        <w:tc>
          <w:tcPr/>
          <w:p>
            <w:pPr>
              <w:pStyle w:val="Compact"/>
            </w:pPr>
            <w:r>
              <w:t xml:space="preserve">4.8</w:t>
            </w:r>
          </w:p>
        </w:tc>
        <w:tc>
          <w:tcPr/>
          <w:p>
            <w:pPr>
              <w:pStyle w:val="Compact"/>
            </w:pPr>
            <w:r>
              <w:t xml:space="preserve">LoRA adapter placement and trainable blocks</w:t>
            </w:r>
          </w:p>
        </w:tc>
        <w:tc>
          <w:tcPr/>
          <w:p>
            <w:pPr>
              <w:pStyle w:val="Compact"/>
            </w:pPr>
            <w:r>
              <w:rPr>
                <w:i/>
                <w:iCs/>
              </w:rPr>
              <w:t xml:space="preserve">TBD</w:t>
            </w:r>
          </w:p>
        </w:tc>
      </w:tr>
      <w:tr>
        <w:tc>
          <w:tcPr/>
          <w:p>
            <w:pPr>
              <w:pStyle w:val="Compact"/>
            </w:pPr>
            <w:r>
              <w:t xml:space="preserve">4.9</w:t>
            </w:r>
          </w:p>
        </w:tc>
        <w:tc>
          <w:tcPr/>
          <w:p>
            <w:pPr>
              <w:pStyle w:val="Compact"/>
            </w:pPr>
            <w:r>
              <w:t xml:space="preserve">Optimizer choice and learning-rate schedules</w:t>
            </w:r>
          </w:p>
        </w:tc>
        <w:tc>
          <w:tcPr/>
          <w:p>
            <w:pPr>
              <w:pStyle w:val="Compact"/>
            </w:pPr>
            <w:r>
              <w:rPr>
                <w:i/>
                <w:iCs/>
              </w:rPr>
              <w:t xml:space="preserve">TBD</w:t>
            </w:r>
          </w:p>
        </w:tc>
      </w:tr>
      <w:tr>
        <w:tc>
          <w:tcPr/>
          <w:p>
            <w:pPr>
              <w:pStyle w:val="Compact"/>
            </w:pPr>
            <w:r>
              <w:t xml:space="preserve">4.10</w:t>
            </w:r>
          </w:p>
        </w:tc>
        <w:tc>
          <w:tcPr/>
          <w:p>
            <w:pPr>
              <w:pStyle w:val="Compact"/>
            </w:pPr>
            <w:r>
              <w:t xml:space="preserve">Gradient accumulation and effective batch size</w:t>
            </w:r>
          </w:p>
        </w:tc>
        <w:tc>
          <w:tcPr/>
          <w:p>
            <w:pPr>
              <w:pStyle w:val="Compact"/>
            </w:pPr>
            <w:r>
              <w:rPr>
                <w:i/>
                <w:iCs/>
              </w:rPr>
              <w:t xml:space="preserve">TBD</w:t>
            </w:r>
          </w:p>
        </w:tc>
      </w:tr>
      <w:tr>
        <w:tc>
          <w:tcPr/>
          <w:p>
            <w:pPr>
              <w:pStyle w:val="Compact"/>
            </w:pPr>
            <w:r>
              <w:t xml:space="preserve">4.11</w:t>
            </w:r>
          </w:p>
        </w:tc>
        <w:tc>
          <w:tcPr/>
          <w:p>
            <w:pPr>
              <w:pStyle w:val="Compact"/>
            </w:pPr>
            <w:r>
              <w:t xml:space="preserve">Mixed precision and numerical stability</w:t>
            </w:r>
          </w:p>
        </w:tc>
        <w:tc>
          <w:tcPr/>
          <w:p>
            <w:pPr>
              <w:pStyle w:val="Compact"/>
            </w:pPr>
            <w:r>
              <w:rPr>
                <w:i/>
                <w:iCs/>
              </w:rPr>
              <w:t xml:space="preserve">TBD</w:t>
            </w:r>
          </w:p>
        </w:tc>
      </w:tr>
      <w:tr>
        <w:tc>
          <w:tcPr/>
          <w:p>
            <w:pPr>
              <w:pStyle w:val="Compact"/>
            </w:pPr>
            <w:r>
              <w:t xml:space="preserve">4.12</w:t>
            </w:r>
          </w:p>
        </w:tc>
        <w:tc>
          <w:tcPr/>
          <w:p>
            <w:pPr>
              <w:pStyle w:val="Compact"/>
            </w:pPr>
            <w:r>
              <w:t xml:space="preserve">Checkpoint selection and early stopping heuristics</w:t>
            </w:r>
          </w:p>
        </w:tc>
        <w:tc>
          <w:tcPr/>
          <w:p>
            <w:pPr>
              <w:pStyle w:val="Compact"/>
            </w:pPr>
            <w:r>
              <w:rPr>
                <w:i/>
                <w:iCs/>
              </w:rPr>
              <w:t xml:space="preserve">TBD</w:t>
            </w:r>
          </w:p>
        </w:tc>
      </w:tr>
      <w:tr>
        <w:tc>
          <w:tcPr/>
          <w:p>
            <w:pPr>
              <w:pStyle w:val="Compact"/>
            </w:pPr>
            <w:r>
              <w:t xml:space="preserve">4.13</w:t>
            </w:r>
          </w:p>
        </w:tc>
        <w:tc>
          <w:tcPr/>
          <w:p>
            <w:pPr>
              <w:pStyle w:val="Compact"/>
            </w:pPr>
            <w:r>
              <w:t xml:space="preserve">Greedy decoding versus sampling for verification</w:t>
            </w:r>
          </w:p>
        </w:tc>
        <w:tc>
          <w:tcPr/>
          <w:p>
            <w:pPr>
              <w:pStyle w:val="Compact"/>
            </w:pPr>
            <w:r>
              <w:rPr>
                <w:i/>
                <w:iCs/>
              </w:rPr>
              <w:t xml:space="preserve">TBD</w:t>
            </w:r>
          </w:p>
        </w:tc>
      </w:tr>
      <w:tr>
        <w:tc>
          <w:tcPr/>
          <w:p>
            <w:pPr>
              <w:pStyle w:val="Compact"/>
            </w:pPr>
            <w:r>
              <w:t xml:space="preserve">4.14</w:t>
            </w:r>
          </w:p>
        </w:tc>
        <w:tc>
          <w:tcPr/>
          <w:p>
            <w:pPr>
              <w:pStyle w:val="Compact"/>
            </w:pPr>
            <w:r>
              <w:t xml:space="preserve">Assertion extraction from verbose model outputs</w:t>
            </w:r>
          </w:p>
        </w:tc>
        <w:tc>
          <w:tcPr/>
          <w:p>
            <w:pPr>
              <w:pStyle w:val="Compact"/>
            </w:pPr>
            <w:r>
              <w:rPr>
                <w:i/>
                <w:iCs/>
              </w:rPr>
              <w:t xml:space="preserve">TBD</w:t>
            </w:r>
          </w:p>
        </w:tc>
      </w:tr>
      <w:tr>
        <w:tc>
          <w:tcPr/>
          <w:p>
            <w:pPr>
              <w:pStyle w:val="Compact"/>
            </w:pPr>
            <w:r>
              <w:t xml:space="preserve">4.15</w:t>
            </w:r>
          </w:p>
        </w:tc>
        <w:tc>
          <w:tcPr/>
          <w:p>
            <w:pPr>
              <w:pStyle w:val="Compact"/>
            </w:pPr>
            <w:r>
              <w:t xml:space="preserve">Syntax sanitization for formal front ends</w:t>
            </w:r>
          </w:p>
        </w:tc>
        <w:tc>
          <w:tcPr/>
          <w:p>
            <w:pPr>
              <w:pStyle w:val="Compact"/>
            </w:pPr>
            <w:r>
              <w:rPr>
                <w:i/>
                <w:iCs/>
              </w:rPr>
              <w:t xml:space="preserve">TBD</w:t>
            </w:r>
          </w:p>
        </w:tc>
      </w:tr>
      <w:tr>
        <w:tc>
          <w:tcPr/>
          <w:p>
            <w:pPr>
              <w:pStyle w:val="Compact"/>
            </w:pPr>
            <w:r>
              <w:t xml:space="preserve">4.16</w:t>
            </w:r>
          </w:p>
        </w:tc>
        <w:tc>
          <w:tcPr/>
          <w:p>
            <w:pPr>
              <w:pStyle w:val="Compact"/>
            </w:pPr>
            <w:r>
              <w:t xml:space="preserve">Temporal lowering and tool dialect mismatches</w:t>
            </w:r>
          </w:p>
        </w:tc>
        <w:tc>
          <w:tcPr/>
          <w:p>
            <w:pPr>
              <w:pStyle w:val="Compact"/>
            </w:pPr>
            <w:r>
              <w:rPr>
                <w:i/>
                <w:iCs/>
              </w:rPr>
              <w:t xml:space="preserve">TBD</w:t>
            </w:r>
          </w:p>
        </w:tc>
      </w:tr>
      <w:tr>
        <w:tc>
          <w:tcPr/>
          <w:p>
            <w:pPr>
              <w:pStyle w:val="Compact"/>
            </w:pPr>
            <w:r>
              <w:t xml:space="preserve">4.17</w:t>
            </w:r>
          </w:p>
        </w:tc>
        <w:tc>
          <w:tcPr/>
          <w:p>
            <w:pPr>
              <w:pStyle w:val="Compact"/>
            </w:pPr>
            <w:r>
              <w:t xml:space="preserve">Greedy subset selection under parse constraints</w:t>
            </w:r>
          </w:p>
        </w:tc>
        <w:tc>
          <w:tcPr/>
          <w:p>
            <w:pPr>
              <w:pStyle w:val="Compact"/>
            </w:pPr>
            <w:r>
              <w:rPr>
                <w:i/>
                <w:iCs/>
              </w:rPr>
              <w:t xml:space="preserve">TBD</w:t>
            </w:r>
          </w:p>
        </w:tc>
      </w:tr>
      <w:tr>
        <w:tc>
          <w:tcPr/>
          <w:p>
            <w:pPr>
              <w:pStyle w:val="Compact"/>
            </w:pPr>
            <w:r>
              <w:t xml:space="preserve">4.18</w:t>
            </w:r>
          </w:p>
        </w:tc>
        <w:tc>
          <w:tcPr/>
          <w:p>
            <w:pPr>
              <w:pStyle w:val="Compact"/>
            </w:pPr>
            <w:r>
              <w:t xml:space="preserve">Signal inference from RTL and assertion text</w:t>
            </w:r>
          </w:p>
        </w:tc>
        <w:tc>
          <w:tcPr/>
          <w:p>
            <w:pPr>
              <w:pStyle w:val="Compact"/>
            </w:pPr>
            <w:r>
              <w:rPr>
                <w:i/>
                <w:iCs/>
              </w:rPr>
              <w:t xml:space="preserve">TBD</w:t>
            </w:r>
          </w:p>
        </w:tc>
      </w:tr>
      <w:tr>
        <w:tc>
          <w:tcPr/>
          <w:p>
            <w:pPr>
              <w:pStyle w:val="Compact"/>
            </w:pPr>
            <w:r>
              <w:t xml:space="preserve">4.19</w:t>
            </w:r>
          </w:p>
        </w:tc>
        <w:tc>
          <w:tcPr/>
          <w:p>
            <w:pPr>
              <w:pStyle w:val="Compact"/>
            </w:pPr>
            <w:r>
              <w:t xml:space="preserve">Keyword filtering and false signal candidates</w:t>
            </w:r>
          </w:p>
        </w:tc>
        <w:tc>
          <w:tcPr/>
          <w:p>
            <w:pPr>
              <w:pStyle w:val="Compact"/>
            </w:pPr>
            <w:r>
              <w:rPr>
                <w:i/>
                <w:iCs/>
              </w:rPr>
              <w:t xml:space="preserve">TBD</w:t>
            </w:r>
          </w:p>
        </w:tc>
      </w:tr>
      <w:tr>
        <w:tc>
          <w:tcPr/>
          <w:p>
            <w:pPr>
              <w:pStyle w:val="Compact"/>
            </w:pPr>
            <w:r>
              <w:t xml:space="preserve">4.20</w:t>
            </w:r>
          </w:p>
        </w:tc>
        <w:tc>
          <w:tcPr/>
          <w:p>
            <w:pPr>
              <w:pStyle w:val="Compact"/>
            </w:pPr>
            <w:r>
              <w:t xml:space="preserve">Synchronous harness construction and two-phase updates</w:t>
            </w:r>
          </w:p>
        </w:tc>
        <w:tc>
          <w:tcPr/>
          <w:p>
            <w:pPr>
              <w:pStyle w:val="Compact"/>
            </w:pPr>
            <w:r>
              <w:rPr>
                <w:i/>
                <w:iCs/>
              </w:rPr>
              <w:t xml:space="preserve">TBD</w:t>
            </w:r>
          </w:p>
        </w:tc>
      </w:tr>
      <w:tr>
        <w:tc>
          <w:tcPr/>
          <w:p>
            <w:pPr>
              <w:pStyle w:val="Compact"/>
            </w:pPr>
            <w:r>
              <w:t xml:space="preserve">4.21</w:t>
            </w:r>
          </w:p>
        </w:tc>
        <w:tc>
          <w:tcPr/>
          <w:p>
            <w:pPr>
              <w:pStyle w:val="Compact"/>
            </w:pPr>
            <w:r>
              <w:t xml:space="preserve">Combinational harness construction with always_comb semantics</w:t>
            </w:r>
          </w:p>
        </w:tc>
        <w:tc>
          <w:tcPr/>
          <w:p>
            <w:pPr>
              <w:pStyle w:val="Compact"/>
            </w:pPr>
            <w:r>
              <w:rPr>
                <w:i/>
                <w:iCs/>
              </w:rPr>
              <w:t xml:space="preserve">TBD</w:t>
            </w:r>
          </w:p>
        </w:tc>
      </w:tr>
      <w:tr>
        <w:tc>
          <w:tcPr/>
          <w:p>
            <w:pPr>
              <w:pStyle w:val="Compact"/>
            </w:pPr>
            <w:r>
              <w:t xml:space="preserve">4.22</w:t>
            </w:r>
          </w:p>
        </w:tc>
        <w:tc>
          <w:tcPr/>
          <w:p>
            <w:pPr>
              <w:pStyle w:val="Compact"/>
            </w:pPr>
            <w:r>
              <w:t xml:space="preserve">First-cycle gating and vacuity mitigation</w:t>
            </w:r>
          </w:p>
        </w:tc>
        <w:tc>
          <w:tcPr/>
          <w:p>
            <w:pPr>
              <w:pStyle w:val="Compact"/>
            </w:pPr>
            <w:r>
              <w:rPr>
                <w:i/>
                <w:iCs/>
              </w:rPr>
              <w:t xml:space="preserve">TBD</w:t>
            </w:r>
          </w:p>
        </w:tc>
      </w:tr>
      <w:tr>
        <w:tc>
          <w:tcPr/>
          <w:p>
            <w:pPr>
              <w:pStyle w:val="Compact"/>
            </w:pPr>
            <w:r>
              <w:t xml:space="preserve">4.23</w:t>
            </w:r>
          </w:p>
        </w:tc>
        <w:tc>
          <w:tcPr/>
          <w:p>
            <w:pPr>
              <w:pStyle w:val="Compact"/>
            </w:pPr>
            <w:r>
              <w:t xml:space="preserve">SymbiYosys engine configuration and proof depth</w:t>
            </w:r>
          </w:p>
        </w:tc>
        <w:tc>
          <w:tcPr/>
          <w:p>
            <w:pPr>
              <w:pStyle w:val="Compact"/>
            </w:pPr>
            <w:r>
              <w:rPr>
                <w:i/>
                <w:iCs/>
              </w:rPr>
              <w:t xml:space="preserve">TBD</w:t>
            </w:r>
          </w:p>
        </w:tc>
      </w:tr>
      <w:tr>
        <w:tc>
          <w:tcPr/>
          <w:p>
            <w:pPr>
              <w:pStyle w:val="Compact"/>
            </w:pPr>
            <w:r>
              <w:t xml:space="preserve">4.24</w:t>
            </w:r>
          </w:p>
        </w:tc>
        <w:tc>
          <w:tcPr/>
          <w:p>
            <w:pPr>
              <w:pStyle w:val="Compact"/>
            </w:pPr>
            <w:r>
              <w:t xml:space="preserve">Per-case artifacts and regression packaging</w:t>
            </w:r>
          </w:p>
        </w:tc>
        <w:tc>
          <w:tcPr/>
          <w:p>
            <w:pPr>
              <w:pStyle w:val="Compact"/>
            </w:pPr>
            <w:r>
              <w:rPr>
                <w:i/>
                <w:iCs/>
              </w:rPr>
              <w:t xml:space="preserve">TBD</w:t>
            </w:r>
          </w:p>
        </w:tc>
      </w:tr>
      <w:tr>
        <w:tc>
          <w:tcPr/>
          <w:p>
            <w:pPr>
              <w:pStyle w:val="Compact"/>
            </w:pPr>
            <w:r>
              <w:t xml:space="preserve">4.25</w:t>
            </w:r>
          </w:p>
        </w:tc>
        <w:tc>
          <w:tcPr/>
          <w:p>
            <w:pPr>
              <w:pStyle w:val="Compact"/>
            </w:pPr>
            <w:r>
              <w:t xml:space="preserve">Web demonstration architecture and separation of concerns</w:t>
            </w:r>
          </w:p>
        </w:tc>
        <w:tc>
          <w:tcPr/>
          <w:p>
            <w:pPr>
              <w:pStyle w:val="Compact"/>
            </w:pPr>
            <w:r>
              <w:rPr>
                <w:i/>
                <w:iCs/>
              </w:rPr>
              <w:t xml:space="preserve">TBD</w:t>
            </w:r>
          </w:p>
        </w:tc>
      </w:tr>
      <w:tr>
        <w:tc>
          <w:tcPr/>
          <w:p>
            <w:pPr>
              <w:pStyle w:val="Compact"/>
            </w:pPr>
            <w:r>
              <w:t xml:space="preserve">4.26</w:t>
            </w:r>
          </w:p>
        </w:tc>
        <w:tc>
          <w:tcPr/>
          <w:p>
            <w:pPr>
              <w:pStyle w:val="Compact"/>
            </w:pPr>
            <w:r>
              <w:t xml:space="preserve">Operational security for proprietary RTL</w:t>
            </w:r>
          </w:p>
        </w:tc>
        <w:tc>
          <w:tcPr/>
          <w:p>
            <w:pPr>
              <w:pStyle w:val="Compact"/>
            </w:pPr>
            <w:r>
              <w:rPr>
                <w:i/>
                <w:iCs/>
              </w:rPr>
              <w:t xml:space="preserve">TBD</w:t>
            </w:r>
          </w:p>
        </w:tc>
      </w:tr>
      <w:tr>
        <w:tc>
          <w:tcPr/>
          <w:p>
            <w:pPr>
              <w:pStyle w:val="Compact"/>
            </w:pPr>
            <w:r>
              <w:t xml:space="preserve">IV–M1</w:t>
            </w:r>
          </w:p>
        </w:tc>
        <w:tc>
          <w:tcPr/>
          <w:p>
            <w:pPr>
              <w:pStyle w:val="Compact"/>
            </w:pPr>
            <w:r>
              <w:t xml:space="preserve">Supplement: Logging and experiment tracking practices</w:t>
            </w:r>
          </w:p>
        </w:tc>
        <w:tc>
          <w:tcPr/>
          <w:p>
            <w:pPr>
              <w:pStyle w:val="Compact"/>
            </w:pPr>
            <w:r>
              <w:rPr>
                <w:i/>
                <w:iCs/>
              </w:rPr>
              <w:t xml:space="preserve">TBD</w:t>
            </w:r>
          </w:p>
        </w:tc>
      </w:tr>
      <w:tr>
        <w:tc>
          <w:tcPr/>
          <w:p>
            <w:pPr>
              <w:pStyle w:val="Compact"/>
            </w:pPr>
            <w:r>
              <w:t xml:space="preserve">IV–M2</w:t>
            </w:r>
          </w:p>
        </w:tc>
        <w:tc>
          <w:tcPr/>
          <w:p>
            <w:pPr>
              <w:pStyle w:val="Compact"/>
            </w:pPr>
            <w:r>
              <w:t xml:space="preserve">Supplement: Version pinning for PyTorch and CUDA drivers</w:t>
            </w:r>
          </w:p>
        </w:tc>
        <w:tc>
          <w:tcPr/>
          <w:p>
            <w:pPr>
              <w:pStyle w:val="Compact"/>
            </w:pPr>
            <w:r>
              <w:rPr>
                <w:i/>
                <w:iCs/>
              </w:rPr>
              <w:t xml:space="preserve">TBD</w:t>
            </w:r>
          </w:p>
        </w:tc>
      </w:tr>
      <w:tr>
        <w:tc>
          <w:tcPr/>
          <w:p>
            <w:pPr>
              <w:pStyle w:val="Compact"/>
            </w:pPr>
            <w:r>
              <w:t xml:space="preserve">IV–M3</w:t>
            </w:r>
          </w:p>
        </w:tc>
        <w:tc>
          <w:tcPr/>
          <w:p>
            <w:pPr>
              <w:pStyle w:val="Compact"/>
            </w:pPr>
            <w:r>
              <w:t xml:space="preserve">Supplement: Timeout policies for long-running formal jobs</w:t>
            </w:r>
          </w:p>
        </w:tc>
        <w:tc>
          <w:tcPr/>
          <w:p>
            <w:pPr>
              <w:pStyle w:val="Compact"/>
            </w:pPr>
            <w:r>
              <w:rPr>
                <w:i/>
                <w:iCs/>
              </w:rPr>
              <w:t xml:space="preserve">TBD</w:t>
            </w:r>
          </w:p>
        </w:tc>
      </w:tr>
      <w:tr>
        <w:tc>
          <w:tcPr/>
          <w:p>
            <w:pPr>
              <w:pStyle w:val="Compact"/>
            </w:pPr>
            <w:r>
              <w:t xml:space="preserve">IV–M4</w:t>
            </w:r>
          </w:p>
        </w:tc>
        <w:tc>
          <w:tcPr/>
          <w:p>
            <w:pPr>
              <w:pStyle w:val="Compact"/>
            </w:pPr>
            <w:r>
              <w:t xml:space="preserve">Supplement: Unit tests for parsing and extraction</w:t>
            </w:r>
          </w:p>
        </w:tc>
        <w:tc>
          <w:tcPr/>
          <w:p>
            <w:pPr>
              <w:pStyle w:val="Compact"/>
            </w:pPr>
            <w:r>
              <w:rPr>
                <w:i/>
                <w:iCs/>
              </w:rPr>
              <w:t xml:space="preserve">TBD</w:t>
            </w:r>
          </w:p>
        </w:tc>
      </w:tr>
      <w:tr>
        <w:tc>
          <w:tcPr/>
          <w:p>
            <w:pPr>
              <w:pStyle w:val="Compact"/>
            </w:pPr>
            <w:r>
              <w:t xml:space="preserve">IV–M5</w:t>
            </w:r>
          </w:p>
        </w:tc>
        <w:tc>
          <w:tcPr/>
          <w:p>
            <w:pPr>
              <w:pStyle w:val="Compact"/>
            </w:pPr>
            <w:r>
              <w:t xml:space="preserve">Supplement: Continuous integration for evaluation scripts</w:t>
            </w:r>
          </w:p>
        </w:tc>
        <w:tc>
          <w:tcPr/>
          <w:p>
            <w:pPr>
              <w:pStyle w:val="Compact"/>
            </w:pPr>
            <w:r>
              <w:rPr>
                <w:i/>
                <w:iCs/>
              </w:rPr>
              <w:t xml:space="preserve">TBD</w:t>
            </w:r>
          </w:p>
        </w:tc>
      </w:tr>
      <w:tr>
        <w:tc>
          <w:tcPr/>
          <w:p>
            <w:pPr>
              <w:pStyle w:val="Compact"/>
            </w:pPr>
            <w:r>
              <w:t xml:space="preserve">IV–M6</w:t>
            </w:r>
          </w:p>
        </w:tc>
        <w:tc>
          <w:tcPr/>
          <w:p>
            <w:pPr>
              <w:pStyle w:val="Compact"/>
            </w:pPr>
            <w:r>
              <w:t xml:space="preserve">Supplement: Checksum verification for datasets</w:t>
            </w:r>
          </w:p>
        </w:tc>
        <w:tc>
          <w:tcPr/>
          <w:p>
            <w:pPr>
              <w:pStyle w:val="Compact"/>
            </w:pPr>
            <w:r>
              <w:rPr>
                <w:i/>
                <w:iCs/>
              </w:rPr>
              <w:t xml:space="preserve">TBD</w:t>
            </w:r>
          </w:p>
        </w:tc>
      </w:tr>
    </w:tbl>
    <w:bookmarkEnd w:id="33"/>
    <w:bookmarkStart w:id="34" w:name="chapter-v-results-and-discussion"/>
    <w:p>
      <w:pPr>
        <w:pStyle w:val="Heading3"/>
      </w:pPr>
      <w:r>
        <w:t xml:space="preserve">CHAPTER V — Results and discussion</w:t>
      </w:r>
    </w:p>
    <w:tbl>
      <w:tblPr>
        <w:tblStyle w:val="Table"/>
        <w:tblW w:type="pct" w:w="5000"/>
        <w:tblLayout w:type="fixed"/>
        <w:tblLook w:firstRow="1" w:lastRow="0" w:firstColumn="0" w:lastColumn="0" w:noHBand="0" w:noVBand="0" w:val="0020"/>
      </w:tblPr>
      <w:tblGrid>
        <w:gridCol w:w="1980"/>
        <w:gridCol w:w="3564"/>
        <w:gridCol w:w="2376"/>
      </w:tblGrid>
      <w:tr>
        <w:trPr>
          <w:tblHeader w:val="on"/>
        </w:trPr>
        <w:tc>
          <w:tcPr/>
          <w:p>
            <w:pPr>
              <w:pStyle w:val="Compact"/>
            </w:pPr>
            <w:r>
              <w:t xml:space="preserve">Ref</w:t>
            </w:r>
          </w:p>
        </w:tc>
        <w:tc>
          <w:tcPr/>
          <w:p>
            <w:pPr>
              <w:pStyle w:val="Compact"/>
            </w:pPr>
            <w:r>
              <w:t xml:space="preserve">Section</w:t>
            </w:r>
          </w:p>
        </w:tc>
        <w:tc>
          <w:tcPr/>
          <w:p>
            <w:pPr>
              <w:pStyle w:val="Compact"/>
            </w:pPr>
            <w:r>
              <w:t xml:space="preserve">Page</w:t>
            </w:r>
          </w:p>
        </w:tc>
      </w:tr>
      <w:tr>
        <w:tc>
          <w:tcPr/>
          <w:p>
            <w:pPr>
              <w:pStyle w:val="Compact"/>
            </w:pPr>
            <w:r>
              <w:t xml:space="preserve">5.1</w:t>
            </w:r>
          </w:p>
        </w:tc>
        <w:tc>
          <w:tcPr/>
          <w:p>
            <w:pPr>
              <w:pStyle w:val="Compact"/>
            </w:pPr>
            <w:r>
              <w:t xml:space="preserve">Metrics and equation for gold Jaccard</w:t>
            </w:r>
          </w:p>
        </w:tc>
        <w:tc>
          <w:tcPr/>
          <w:p>
            <w:pPr>
              <w:pStyle w:val="Compact"/>
            </w:pPr>
            <w:r>
              <w:rPr>
                <w:i/>
                <w:iCs/>
              </w:rPr>
              <w:t xml:space="preserve">TBD</w:t>
            </w:r>
          </w:p>
        </w:tc>
      </w:tr>
      <w:tr>
        <w:tc>
          <w:tcPr/>
          <w:p>
            <w:pPr>
              <w:pStyle w:val="Compact"/>
            </w:pPr>
            <w:r>
              <w:t xml:space="preserve">5.2</w:t>
            </w:r>
          </w:p>
        </w:tc>
        <w:tc>
          <w:tcPr/>
          <w:p>
            <w:pPr>
              <w:pStyle w:val="Compact"/>
            </w:pPr>
            <w:r>
              <w:t xml:space="preserve">Aggregate results (Table 5.1)</w:t>
            </w:r>
          </w:p>
        </w:tc>
        <w:tc>
          <w:tcPr/>
          <w:p>
            <w:pPr>
              <w:pStyle w:val="Compact"/>
            </w:pPr>
            <w:r>
              <w:rPr>
                <w:i/>
                <w:iCs/>
              </w:rPr>
              <w:t xml:space="preserve">TBD</w:t>
            </w:r>
          </w:p>
        </w:tc>
      </w:tr>
      <w:tr>
        <w:tc>
          <w:tcPr/>
          <w:p>
            <w:pPr>
              <w:pStyle w:val="Compact"/>
            </w:pPr>
            <w:r>
              <w:t xml:space="preserve">5.3</w:t>
            </w:r>
          </w:p>
        </w:tc>
        <w:tc>
          <w:tcPr/>
          <w:p>
            <w:pPr>
              <w:pStyle w:val="Compact"/>
            </w:pPr>
            <w:r>
              <w:t xml:space="preserve">Distribution of gold Jaccard (Table 5.2)</w:t>
            </w:r>
          </w:p>
        </w:tc>
        <w:tc>
          <w:tcPr/>
          <w:p>
            <w:pPr>
              <w:pStyle w:val="Compact"/>
            </w:pPr>
            <w:r>
              <w:rPr>
                <w:i/>
                <w:iCs/>
              </w:rPr>
              <w:t xml:space="preserve">TBD</w:t>
            </w:r>
          </w:p>
        </w:tc>
      </w:tr>
      <w:tr>
        <w:tc>
          <w:tcPr/>
          <w:p>
            <w:pPr>
              <w:pStyle w:val="Compact"/>
            </w:pPr>
            <w:r>
              <w:t xml:space="preserve">5.4</w:t>
            </w:r>
          </w:p>
        </w:tc>
        <w:tc>
          <w:tcPr/>
          <w:p>
            <w:pPr>
              <w:pStyle w:val="Compact"/>
            </w:pPr>
            <w:r>
              <w:t xml:space="preserve">Discussion of formal failure (sample 82)</w:t>
            </w:r>
          </w:p>
        </w:tc>
        <w:tc>
          <w:tcPr/>
          <w:p>
            <w:pPr>
              <w:pStyle w:val="Compact"/>
            </w:pPr>
            <w:r>
              <w:rPr>
                <w:i/>
                <w:iCs/>
              </w:rPr>
              <w:t xml:space="preserve">TBD</w:t>
            </w:r>
          </w:p>
        </w:tc>
      </w:tr>
      <w:tr>
        <w:tc>
          <w:tcPr/>
          <w:p>
            <w:pPr>
              <w:pStyle w:val="Compact"/>
            </w:pPr>
            <w:r>
              <w:t xml:space="preserve">Fig.</w:t>
            </w:r>
          </w:p>
        </w:tc>
        <w:tc>
          <w:tcPr/>
          <w:p>
            <w:pPr>
              <w:pStyle w:val="Compact"/>
            </w:pPr>
            <w:r>
              <w:t xml:space="preserve">Figures 5.1–5.4</w:t>
            </w:r>
          </w:p>
        </w:tc>
        <w:tc>
          <w:tcPr/>
          <w:p>
            <w:pPr>
              <w:pStyle w:val="Compact"/>
            </w:pPr>
            <w:r>
              <w:rPr>
                <w:i/>
                <w:iCs/>
              </w:rPr>
              <w:t xml:space="preserve">TBD</w:t>
            </w:r>
          </w:p>
        </w:tc>
      </w:tr>
      <w:tr>
        <w:tc>
          <w:tcPr/>
          <w:p>
            <w:pPr>
              <w:pStyle w:val="Compact"/>
            </w:pPr>
            <w:r>
              <w:t xml:space="preserve">5.6</w:t>
            </w:r>
          </w:p>
        </w:tc>
        <w:tc>
          <w:tcPr/>
          <w:p>
            <w:pPr>
              <w:pStyle w:val="Compact"/>
            </w:pPr>
            <w:r>
              <w:t xml:space="preserve">Reporting syntax success versus semantic proof</w:t>
            </w:r>
          </w:p>
        </w:tc>
        <w:tc>
          <w:tcPr/>
          <w:p>
            <w:pPr>
              <w:pStyle w:val="Compact"/>
            </w:pPr>
            <w:r>
              <w:rPr>
                <w:i/>
                <w:iCs/>
              </w:rPr>
              <w:t xml:space="preserve">TBD</w:t>
            </w:r>
          </w:p>
        </w:tc>
      </w:tr>
      <w:tr>
        <w:tc>
          <w:tcPr/>
          <w:p>
            <w:pPr>
              <w:pStyle w:val="Compact"/>
            </w:pPr>
            <w:r>
              <w:t xml:space="preserve">5.7</w:t>
            </w:r>
          </w:p>
        </w:tc>
        <w:tc>
          <w:tcPr/>
          <w:p>
            <w:pPr>
              <w:pStyle w:val="Compact"/>
            </w:pPr>
            <w:r>
              <w:t xml:space="preserve">Interpreting SymbiYosys pass and fail verdicts</w:t>
            </w:r>
          </w:p>
        </w:tc>
        <w:tc>
          <w:tcPr/>
          <w:p>
            <w:pPr>
              <w:pStyle w:val="Compact"/>
            </w:pPr>
            <w:r>
              <w:rPr>
                <w:i/>
                <w:iCs/>
              </w:rPr>
              <w:t xml:space="preserve">TBD</w:t>
            </w:r>
          </w:p>
        </w:tc>
      </w:tr>
      <w:tr>
        <w:tc>
          <w:tcPr/>
          <w:p>
            <w:pPr>
              <w:pStyle w:val="Compact"/>
            </w:pPr>
            <w:r>
              <w:t xml:space="preserve">5.8</w:t>
            </w:r>
          </w:p>
        </w:tc>
        <w:tc>
          <w:tcPr/>
          <w:p>
            <w:pPr>
              <w:pStyle w:val="Compact"/>
            </w:pPr>
            <w:r>
              <w:t xml:space="preserve">Gold Jaccard as a lexical alignment metric</w:t>
            </w:r>
          </w:p>
        </w:tc>
        <w:tc>
          <w:tcPr/>
          <w:p>
            <w:pPr>
              <w:pStyle w:val="Compact"/>
            </w:pPr>
            <w:r>
              <w:rPr>
                <w:i/>
                <w:iCs/>
              </w:rPr>
              <w:t xml:space="preserve">TBD</w:t>
            </w:r>
          </w:p>
        </w:tc>
      </w:tr>
      <w:tr>
        <w:tc>
          <w:tcPr/>
          <w:p>
            <w:pPr>
              <w:pStyle w:val="Compact"/>
            </w:pPr>
            <w:r>
              <w:t xml:space="preserve">5.9</w:t>
            </w:r>
          </w:p>
        </w:tc>
        <w:tc>
          <w:tcPr/>
          <w:p>
            <w:pPr>
              <w:pStyle w:val="Compact"/>
            </w:pPr>
            <w:r>
              <w:t xml:space="preserve">Correlation between Jaccard and formal pass rate</w:t>
            </w:r>
          </w:p>
        </w:tc>
        <w:tc>
          <w:tcPr/>
          <w:p>
            <w:pPr>
              <w:pStyle w:val="Compact"/>
            </w:pPr>
            <w:r>
              <w:rPr>
                <w:i/>
                <w:iCs/>
              </w:rPr>
              <w:t xml:space="preserve">TBD</w:t>
            </w:r>
          </w:p>
        </w:tc>
      </w:tr>
      <w:tr>
        <w:tc>
          <w:tcPr/>
          <w:p>
            <w:pPr>
              <w:pStyle w:val="Compact"/>
            </w:pPr>
            <w:r>
              <w:t xml:space="preserve">5.10</w:t>
            </w:r>
          </w:p>
        </w:tc>
        <w:tc>
          <w:tcPr/>
          <w:p>
            <w:pPr>
              <w:pStyle w:val="Compact"/>
            </w:pPr>
            <w:r>
              <w:t xml:space="preserve">Outlier analysis for low-Jaccard samples</w:t>
            </w:r>
          </w:p>
        </w:tc>
        <w:tc>
          <w:tcPr/>
          <w:p>
            <w:pPr>
              <w:pStyle w:val="Compact"/>
            </w:pPr>
            <w:r>
              <w:rPr>
                <w:i/>
                <w:iCs/>
              </w:rPr>
              <w:t xml:space="preserve">TBD</w:t>
            </w:r>
          </w:p>
        </w:tc>
      </w:tr>
      <w:tr>
        <w:tc>
          <w:tcPr/>
          <w:p>
            <w:pPr>
              <w:pStyle w:val="Compact"/>
            </w:pPr>
            <w:r>
              <w:t xml:space="preserve">5.11</w:t>
            </w:r>
          </w:p>
        </w:tc>
        <w:tc>
          <w:tcPr/>
          <w:p>
            <w:pPr>
              <w:pStyle w:val="Compact"/>
            </w:pPr>
            <w:r>
              <w:t xml:space="preserve">Formal failure with high Jaccard: case semantics</w:t>
            </w:r>
          </w:p>
        </w:tc>
        <w:tc>
          <w:tcPr/>
          <w:p>
            <w:pPr>
              <w:pStyle w:val="Compact"/>
            </w:pPr>
            <w:r>
              <w:rPr>
                <w:i/>
                <w:iCs/>
              </w:rPr>
              <w:t xml:space="preserve">TBD</w:t>
            </w:r>
          </w:p>
        </w:tc>
      </w:tr>
      <w:tr>
        <w:tc>
          <w:tcPr/>
          <w:p>
            <w:pPr>
              <w:pStyle w:val="Compact"/>
            </w:pPr>
            <w:r>
              <w:t xml:space="preserve">5.12</w:t>
            </w:r>
          </w:p>
        </w:tc>
        <w:tc>
          <w:tcPr/>
          <w:p>
            <w:pPr>
              <w:pStyle w:val="Compact"/>
            </w:pPr>
            <w:r>
              <w:t xml:space="preserve">Effect of greedy assertion filtering on yield</w:t>
            </w:r>
          </w:p>
        </w:tc>
        <w:tc>
          <w:tcPr/>
          <w:p>
            <w:pPr>
              <w:pStyle w:val="Compact"/>
            </w:pPr>
            <w:r>
              <w:rPr>
                <w:i/>
                <w:iCs/>
              </w:rPr>
              <w:t xml:space="preserve">TBD</w:t>
            </w:r>
          </w:p>
        </w:tc>
      </w:tr>
      <w:tr>
        <w:tc>
          <w:tcPr/>
          <w:p>
            <w:pPr>
              <w:pStyle w:val="Compact"/>
            </w:pPr>
            <w:r>
              <w:t xml:space="preserve">5.13</w:t>
            </w:r>
          </w:p>
        </w:tc>
        <w:tc>
          <w:tcPr/>
          <w:p>
            <w:pPr>
              <w:pStyle w:val="Compact"/>
            </w:pPr>
            <w:r>
              <w:t xml:space="preserve">Clause-level counts and aggregation in the manifest</w:t>
            </w:r>
          </w:p>
        </w:tc>
        <w:tc>
          <w:tcPr/>
          <w:p>
            <w:pPr>
              <w:pStyle w:val="Compact"/>
            </w:pPr>
            <w:r>
              <w:rPr>
                <w:i/>
                <w:iCs/>
              </w:rPr>
              <w:t xml:space="preserve">TBD</w:t>
            </w:r>
          </w:p>
        </w:tc>
      </w:tr>
      <w:tr>
        <w:tc>
          <w:tcPr/>
          <w:p>
            <w:pPr>
              <w:pStyle w:val="Compact"/>
            </w:pPr>
            <w:r>
              <w:t xml:space="preserve">5.14</w:t>
            </w:r>
          </w:p>
        </w:tc>
        <w:tc>
          <w:tcPr/>
          <w:p>
            <w:pPr>
              <w:pStyle w:val="Compact"/>
            </w:pPr>
            <w:r>
              <w:t xml:space="preserve">Bounded depth and completeness caveats</w:t>
            </w:r>
          </w:p>
        </w:tc>
        <w:tc>
          <w:tcPr/>
          <w:p>
            <w:pPr>
              <w:pStyle w:val="Compact"/>
            </w:pPr>
            <w:r>
              <w:rPr>
                <w:i/>
                <w:iCs/>
              </w:rPr>
              <w:t xml:space="preserve">TBD</w:t>
            </w:r>
          </w:p>
        </w:tc>
      </w:tr>
      <w:tr>
        <w:tc>
          <w:tcPr/>
          <w:p>
            <w:pPr>
              <w:pStyle w:val="Compact"/>
            </w:pPr>
            <w:r>
              <w:t xml:space="preserve">5.15</w:t>
            </w:r>
          </w:p>
        </w:tc>
        <w:tc>
          <w:tcPr/>
          <w:p>
            <w:pPr>
              <w:pStyle w:val="Compact"/>
            </w:pPr>
            <w:r>
              <w:t xml:space="preserve">Threats to internal validity of the evaluation slice</w:t>
            </w:r>
          </w:p>
        </w:tc>
        <w:tc>
          <w:tcPr/>
          <w:p>
            <w:pPr>
              <w:pStyle w:val="Compact"/>
            </w:pPr>
            <w:r>
              <w:rPr>
                <w:i/>
                <w:iCs/>
              </w:rPr>
              <w:t xml:space="preserve">TBD</w:t>
            </w:r>
          </w:p>
        </w:tc>
      </w:tr>
      <w:tr>
        <w:tc>
          <w:tcPr/>
          <w:p>
            <w:pPr>
              <w:pStyle w:val="Compact"/>
            </w:pPr>
            <w:r>
              <w:t xml:space="preserve">5.16</w:t>
            </w:r>
          </w:p>
        </w:tc>
        <w:tc>
          <w:tcPr/>
          <w:p>
            <w:pPr>
              <w:pStyle w:val="Compact"/>
            </w:pPr>
            <w:r>
              <w:t xml:space="preserve">Threats to external validity beyond VERT</w:t>
            </w:r>
          </w:p>
        </w:tc>
        <w:tc>
          <w:tcPr/>
          <w:p>
            <w:pPr>
              <w:pStyle w:val="Compact"/>
            </w:pPr>
            <w:r>
              <w:rPr>
                <w:i/>
                <w:iCs/>
              </w:rPr>
              <w:t xml:space="preserve">TBD</w:t>
            </w:r>
          </w:p>
        </w:tc>
      </w:tr>
      <w:tr>
        <w:tc>
          <w:tcPr/>
          <w:p>
            <w:pPr>
              <w:pStyle w:val="Compact"/>
            </w:pPr>
            <w:r>
              <w:t xml:space="preserve">5.17</w:t>
            </w:r>
          </w:p>
        </w:tc>
        <w:tc>
          <w:tcPr/>
          <w:p>
            <w:pPr>
              <w:pStyle w:val="Compact"/>
            </w:pPr>
            <w:r>
              <w:t xml:space="preserve">Comparison to AssertionBench-style claims</w:t>
            </w:r>
          </w:p>
        </w:tc>
        <w:tc>
          <w:tcPr/>
          <w:p>
            <w:pPr>
              <w:pStyle w:val="Compact"/>
            </w:pPr>
            <w:r>
              <w:rPr>
                <w:i/>
                <w:iCs/>
              </w:rPr>
              <w:t xml:space="preserve">TBD</w:t>
            </w:r>
          </w:p>
        </w:tc>
      </w:tr>
      <w:tr>
        <w:tc>
          <w:tcPr/>
          <w:p>
            <w:pPr>
              <w:pStyle w:val="Compact"/>
            </w:pPr>
            <w:r>
              <w:t xml:space="preserve">5.18</w:t>
            </w:r>
          </w:p>
        </w:tc>
        <w:tc>
          <w:tcPr/>
          <w:p>
            <w:pPr>
              <w:pStyle w:val="Compact"/>
            </w:pPr>
            <w:r>
              <w:t xml:space="preserve">Industrial metrics: review effort and time saved</w:t>
            </w:r>
          </w:p>
        </w:tc>
        <w:tc>
          <w:tcPr/>
          <w:p>
            <w:pPr>
              <w:pStyle w:val="Compact"/>
            </w:pPr>
            <w:r>
              <w:rPr>
                <w:i/>
                <w:iCs/>
              </w:rPr>
              <w:t xml:space="preserve">TBD</w:t>
            </w:r>
          </w:p>
        </w:tc>
      </w:tr>
      <w:tr>
        <w:tc>
          <w:tcPr/>
          <w:p>
            <w:pPr>
              <w:pStyle w:val="Compact"/>
            </w:pPr>
            <w:r>
              <w:t xml:space="preserve">5.19</w:t>
            </w:r>
          </w:p>
        </w:tc>
        <w:tc>
          <w:tcPr/>
          <w:p>
            <w:pPr>
              <w:pStyle w:val="Compact"/>
            </w:pPr>
            <w:r>
              <w:t xml:space="preserve">Reproducibility checklist for independent auditors</w:t>
            </w:r>
          </w:p>
        </w:tc>
        <w:tc>
          <w:tcPr/>
          <w:p>
            <w:pPr>
              <w:pStyle w:val="Compact"/>
            </w:pPr>
            <w:r>
              <w:rPr>
                <w:i/>
                <w:iCs/>
              </w:rPr>
              <w:t xml:space="preserve">TBD</w:t>
            </w:r>
          </w:p>
        </w:tc>
      </w:tr>
      <w:tr>
        <w:tc>
          <w:tcPr/>
          <w:p>
            <w:pPr>
              <w:pStyle w:val="Compact"/>
            </w:pPr>
            <w:r>
              <w:t xml:space="preserve">5.20</w:t>
            </w:r>
          </w:p>
        </w:tc>
        <w:tc>
          <w:tcPr/>
          <w:p>
            <w:pPr>
              <w:pStyle w:val="Compact"/>
            </w:pPr>
            <w:r>
              <w:t xml:space="preserve">Future statistical tests and confidence intervals</w:t>
            </w:r>
          </w:p>
        </w:tc>
        <w:tc>
          <w:tcPr/>
          <w:p>
            <w:pPr>
              <w:pStyle w:val="Compact"/>
            </w:pPr>
            <w:r>
              <w:rPr>
                <w:i/>
                <w:iCs/>
              </w:rPr>
              <w:t xml:space="preserve">TBD</w:t>
            </w:r>
          </w:p>
        </w:tc>
      </w:tr>
      <w:tr>
        <w:tc>
          <w:tcPr/>
          <w:p>
            <w:pPr>
              <w:pStyle w:val="Compact"/>
            </w:pPr>
            <w:r>
              <w:t xml:space="preserve">V–R1</w:t>
            </w:r>
          </w:p>
        </w:tc>
        <w:tc>
          <w:tcPr/>
          <w:p>
            <w:pPr>
              <w:pStyle w:val="Compact"/>
            </w:pPr>
            <w:r>
              <w:t xml:space="preserve">Supplement: Replication package structure for conferences</w:t>
            </w:r>
          </w:p>
        </w:tc>
        <w:tc>
          <w:tcPr/>
          <w:p>
            <w:pPr>
              <w:pStyle w:val="Compact"/>
            </w:pPr>
            <w:r>
              <w:rPr>
                <w:i/>
                <w:iCs/>
              </w:rPr>
              <w:t xml:space="preserve">TBD</w:t>
            </w:r>
          </w:p>
        </w:tc>
      </w:tr>
      <w:tr>
        <w:tc>
          <w:tcPr/>
          <w:p>
            <w:pPr>
              <w:pStyle w:val="Compact"/>
            </w:pPr>
            <w:r>
              <w:t xml:space="preserve">V–R2</w:t>
            </w:r>
          </w:p>
        </w:tc>
        <w:tc>
          <w:tcPr/>
          <w:p>
            <w:pPr>
              <w:pStyle w:val="Compact"/>
            </w:pPr>
            <w:r>
              <w:t xml:space="preserve">Supplement: Archiving SymbiYosys logs for long-term audit</w:t>
            </w:r>
          </w:p>
        </w:tc>
        <w:tc>
          <w:tcPr/>
          <w:p>
            <w:pPr>
              <w:pStyle w:val="Compact"/>
            </w:pPr>
            <w:r>
              <w:rPr>
                <w:i/>
                <w:iCs/>
              </w:rPr>
              <w:t xml:space="preserve">TBD</w:t>
            </w:r>
          </w:p>
        </w:tc>
      </w:tr>
      <w:tr>
        <w:tc>
          <w:tcPr/>
          <w:p>
            <w:pPr>
              <w:pStyle w:val="Compact"/>
            </w:pPr>
            <w:r>
              <w:t xml:space="preserve">V–R3</w:t>
            </w:r>
          </w:p>
        </w:tc>
        <w:tc>
          <w:tcPr/>
          <w:p>
            <w:pPr>
              <w:pStyle w:val="Compact"/>
            </w:pPr>
            <w:r>
              <w:t xml:space="preserve">Supplement: Redaction of proprietary RTL in appendices</w:t>
            </w:r>
          </w:p>
        </w:tc>
        <w:tc>
          <w:tcPr/>
          <w:p>
            <w:pPr>
              <w:pStyle w:val="Compact"/>
            </w:pPr>
            <w:r>
              <w:rPr>
                <w:i/>
                <w:iCs/>
              </w:rPr>
              <w:t xml:space="preserve">TBD</w:t>
            </w:r>
          </w:p>
        </w:tc>
      </w:tr>
    </w:tbl>
    <w:bookmarkEnd w:id="34"/>
    <w:bookmarkStart w:id="35" w:name="chapter-vi-conclusion-and-future-work"/>
    <w:p>
      <w:pPr>
        <w:pStyle w:val="Heading3"/>
      </w:pPr>
      <w:r>
        <w:t xml:space="preserve">CHAPTER VI — Conclusion and future work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Ref</w:t>
            </w:r>
          </w:p>
        </w:tc>
        <w:tc>
          <w:tcPr/>
          <w:p>
            <w:pPr>
              <w:pStyle w:val="Compact"/>
            </w:pPr>
            <w:r>
              <w:t xml:space="preserve">Section</w:t>
            </w:r>
          </w:p>
        </w:tc>
        <w:tc>
          <w:tcPr/>
          <w:p>
            <w:pPr>
              <w:pStyle w:val="Compact"/>
            </w:pPr>
            <w:r>
              <w:t xml:space="preserve">Page</w:t>
            </w:r>
          </w:p>
        </w:tc>
      </w:tr>
      <w:tr>
        <w:tc>
          <w:tcPr/>
          <w:p>
            <w:pPr>
              <w:pStyle w:val="Compact"/>
            </w:pPr>
            <w:r>
              <w:t xml:space="preserve">6.1</w:t>
            </w:r>
          </w:p>
        </w:tc>
        <w:tc>
          <w:tcPr/>
          <w:p>
            <w:pPr>
              <w:pStyle w:val="Compact"/>
            </w:pPr>
            <w:r>
              <w:t xml:space="preserve">Conclusion</w:t>
            </w:r>
          </w:p>
        </w:tc>
        <w:tc>
          <w:tcPr/>
          <w:p>
            <w:pPr>
              <w:pStyle w:val="Compact"/>
            </w:pPr>
            <w:r>
              <w:rPr>
                <w:i/>
                <w:iCs/>
              </w:rPr>
              <w:t xml:space="preserve">TBD</w:t>
            </w:r>
          </w:p>
        </w:tc>
      </w:tr>
      <w:tr>
        <w:tc>
          <w:tcPr/>
          <w:p>
            <w:pPr>
              <w:pStyle w:val="Compact"/>
            </w:pPr>
            <w:r>
              <w:t xml:space="preserve">6.2</w:t>
            </w:r>
          </w:p>
        </w:tc>
        <w:tc>
          <w:tcPr/>
          <w:p>
            <w:pPr>
              <w:pStyle w:val="Compact"/>
            </w:pPr>
            <w:r>
              <w:t xml:space="preserve">Future work</w:t>
            </w:r>
          </w:p>
        </w:tc>
        <w:tc>
          <w:tcPr/>
          <w:p>
            <w:pPr>
              <w:pStyle w:val="Compact"/>
            </w:pPr>
            <w:r>
              <w:rPr>
                <w:i/>
                <w:iCs/>
              </w:rPr>
              <w:t xml:space="preserve">TBD</w:t>
            </w:r>
          </w:p>
        </w:tc>
      </w:tr>
      <w:tr>
        <w:tc>
          <w:tcPr/>
          <w:p>
            <w:pPr>
              <w:pStyle w:val="Compact"/>
            </w:pPr>
            <w:r>
              <w:t xml:space="preserve">Fig.</w:t>
            </w:r>
          </w:p>
        </w:tc>
        <w:tc>
          <w:tcPr/>
          <w:p>
            <w:pPr>
              <w:pStyle w:val="Compact"/>
            </w:pPr>
            <w:r>
              <w:t xml:space="preserve">Figure 6.1 — roadmap</w:t>
            </w:r>
          </w:p>
        </w:tc>
        <w:tc>
          <w:tcPr/>
          <w:p>
            <w:pPr>
              <w:pStyle w:val="Compact"/>
            </w:pPr>
            <w:r>
              <w:rPr>
                <w:i/>
                <w:iCs/>
              </w:rPr>
              <w:t xml:space="preserve">TBD</w:t>
            </w:r>
          </w:p>
        </w:tc>
      </w:tr>
    </w:tbl>
    <w:bookmarkEnd w:id="35"/>
    <w:bookmarkStart w:id="36" w:name="back-matter"/>
    <w:p>
      <w:pPr>
        <w:pStyle w:val="Heading3"/>
      </w:pPr>
      <w:r>
        <w:t xml:space="preserve">Back matter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Ref</w:t>
            </w:r>
          </w:p>
        </w:tc>
        <w:tc>
          <w:tcPr/>
          <w:p>
            <w:pPr>
              <w:pStyle w:val="Compact"/>
            </w:pPr>
            <w:r>
              <w:t xml:space="preserve">Section</w:t>
            </w:r>
          </w:p>
        </w:tc>
        <w:tc>
          <w:tcPr/>
          <w:p>
            <w:pPr>
              <w:pStyle w:val="Compact"/>
            </w:pPr>
            <w:r>
              <w:t xml:space="preserve">Page</w:t>
            </w:r>
          </w:p>
        </w:tc>
      </w:tr>
      <w:tr>
        <w:tc>
          <w:tcPr/>
          <w:p>
            <w:pPr>
              <w:pStyle w:val="Compact"/>
            </w:pPr>
            <w:r>
              <w:t xml:space="preserve">—</w:t>
            </w:r>
          </w:p>
        </w:tc>
        <w:tc>
          <w:tcPr/>
          <w:p>
            <w:pPr>
              <w:pStyle w:val="Compact"/>
            </w:pPr>
            <w:r>
              <w:t xml:space="preserve">Glossary (49 entries)</w:t>
            </w:r>
          </w:p>
        </w:tc>
        <w:tc>
          <w:tcPr/>
          <w:p>
            <w:pPr>
              <w:pStyle w:val="Compact"/>
            </w:pPr>
            <w:r>
              <w:rPr>
                <w:i/>
                <w:iCs/>
              </w:rPr>
              <w:t xml:space="preserve">TBD</w:t>
            </w:r>
          </w:p>
        </w:tc>
      </w:tr>
      <w:tr>
        <w:tc>
          <w:tcPr/>
          <w:p>
            <w:pPr>
              <w:pStyle w:val="Compact"/>
            </w:pPr>
            <w:r>
              <w:t xml:space="preserve">—</w:t>
            </w:r>
          </w:p>
        </w:tc>
        <w:tc>
          <w:tcPr/>
          <w:p>
            <w:pPr>
              <w:pStyle w:val="Compact"/>
            </w:pPr>
            <w:r>
              <w:t xml:space="preserve">References</w:t>
            </w:r>
          </w:p>
        </w:tc>
        <w:tc>
          <w:tcPr/>
          <w:p>
            <w:pPr>
              <w:pStyle w:val="Compact"/>
            </w:pPr>
            <w:r>
              <w:rPr>
                <w:i/>
                <w:iCs/>
              </w:rPr>
              <w:t xml:space="preserve">TBD</w:t>
            </w:r>
          </w:p>
        </w:tc>
      </w:tr>
      <w:tr>
        <w:tc>
          <w:tcPr/>
          <w:p>
            <w:pPr>
              <w:pStyle w:val="Compact"/>
            </w:pPr>
            <w:r>
              <w:t xml:space="preserve">App. A</w:t>
            </w:r>
          </w:p>
        </w:tc>
        <w:tc>
          <w:tcPr/>
          <w:p>
            <w:pPr>
              <w:pStyle w:val="Compact"/>
            </w:pPr>
            <w:r>
              <w:t xml:space="preserve">Institute formatting checklist</w:t>
            </w:r>
          </w:p>
        </w:tc>
        <w:tc>
          <w:tcPr/>
          <w:p>
            <w:pPr>
              <w:pStyle w:val="Compact"/>
            </w:pPr>
            <w:r>
              <w:rPr>
                <w:i/>
                <w:iCs/>
              </w:rPr>
              <w:t xml:space="preserve">TBD</w:t>
            </w:r>
          </w:p>
        </w:tc>
      </w:tr>
      <w:tr>
        <w:tc>
          <w:tcPr/>
          <w:p>
            <w:pPr>
              <w:pStyle w:val="Compact"/>
            </w:pPr>
            <w:r>
              <w:t xml:space="preserve">App. B</w:t>
            </w:r>
          </w:p>
        </w:tc>
        <w:tc>
          <w:tcPr/>
          <w:p>
            <w:pPr>
              <w:pStyle w:val="Compact"/>
            </w:pPr>
            <w:r>
              <w:t xml:space="preserve">Reproducibility statement</w:t>
            </w:r>
          </w:p>
        </w:tc>
        <w:tc>
          <w:tcPr/>
          <w:p>
            <w:pPr>
              <w:pStyle w:val="Compact"/>
            </w:pPr>
            <w:r>
              <w:rPr>
                <w:i/>
                <w:iCs/>
              </w:rPr>
              <w:t xml:space="preserve">TBD</w:t>
            </w:r>
          </w:p>
        </w:tc>
      </w:tr>
      <w:tr>
        <w:tc>
          <w:tcPr/>
          <w:p>
            <w:pPr>
              <w:pStyle w:val="Compact"/>
            </w:pPr>
            <w:r>
              <w:t xml:space="preserve">App. C</w:t>
            </w:r>
          </w:p>
        </w:tc>
        <w:tc>
          <w:tcPr/>
          <w:p>
            <w:pPr>
              <w:pStyle w:val="Compact"/>
            </w:pPr>
            <w:r>
              <w:t xml:space="preserve">Ethics, risk, limitations + Table A.1 outliers</w:t>
            </w:r>
          </w:p>
        </w:tc>
        <w:tc>
          <w:tcPr/>
          <w:p>
            <w:pPr>
              <w:pStyle w:val="Compact"/>
            </w:pPr>
            <w:r>
              <w:rPr>
                <w:i/>
                <w:iCs/>
              </w:rPr>
              <w:t xml:space="preserve">TBD</w:t>
            </w:r>
          </w:p>
        </w:tc>
      </w:tr>
      <w:tr>
        <w:tc>
          <w:tcPr/>
          <w:p>
            <w:pPr>
              <w:pStyle w:val="Compact"/>
            </w:pPr>
            <w:r>
              <w:t xml:space="preserve">App. D</w:t>
            </w:r>
          </w:p>
        </w:tc>
        <w:tc>
          <w:tcPr/>
          <w:p>
            <w:pPr>
              <w:pStyle w:val="Compact"/>
            </w:pPr>
            <w:r>
              <w:t xml:space="preserve">Threats to validity</w:t>
            </w:r>
          </w:p>
        </w:tc>
        <w:tc>
          <w:tcPr/>
          <w:p>
            <w:pPr>
              <w:pStyle w:val="Compact"/>
            </w:pPr>
            <w:r>
              <w:rPr>
                <w:i/>
                <w:iCs/>
              </w:rPr>
              <w:t xml:space="preserve">TBD</w:t>
            </w:r>
          </w:p>
        </w:tc>
      </w:tr>
      <w:tr>
        <w:tc>
          <w:tcPr/>
          <w:p>
            <w:pPr>
              <w:pStyle w:val="Compact"/>
            </w:pPr>
            <w:r>
              <w:t xml:space="preserve">App. E</w:t>
            </w:r>
          </w:p>
        </w:tc>
        <w:tc>
          <w:tcPr/>
          <w:p>
            <w:pPr>
              <w:pStyle w:val="Compact"/>
            </w:pPr>
            <w:r>
              <w:t xml:space="preserve">Table B.1 — Per-sample log (n = 100)</w:t>
            </w:r>
          </w:p>
        </w:tc>
        <w:tc>
          <w:tcPr/>
          <w:p>
            <w:pPr>
              <w:pStyle w:val="Compact"/>
            </w:pPr>
            <w:r>
              <w:rPr>
                <w:i/>
                <w:iCs/>
              </w:rPr>
              <w:t xml:space="preserve">TBD</w:t>
            </w:r>
          </w:p>
        </w:tc>
      </w:tr>
    </w:tbl>
    <w:bookmarkEnd w:id="36"/>
    <w:bookmarkEnd w:id="37"/>
    <w:bookmarkStart w:id="38" w:name="list-of-figures"/>
    <w:p>
      <w:pPr>
        <w:pStyle w:val="Heading2"/>
      </w:pPr>
      <w:r>
        <w:t xml:space="preserve">LIST OF FIGURES</w:t>
      </w:r>
    </w:p>
    <w:p>
      <w:pPr>
        <w:pStyle w:val="FirstParagraph"/>
      </w:pPr>
      <w:r>
        <w:rPr>
          <w:i/>
          <w:iCs/>
        </w:rPr>
        <w:t xml:space="preserve">Format per institute template (Number — Caption — Page). Page numbers are placeholders (TBD).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Fig.</w:t>
            </w:r>
          </w:p>
        </w:tc>
        <w:tc>
          <w:tcPr/>
          <w:p>
            <w:pPr>
              <w:pStyle w:val="Compact"/>
            </w:pPr>
            <w:r>
              <w:t xml:space="preserve">Caption</w:t>
            </w:r>
          </w:p>
        </w:tc>
        <w:tc>
          <w:tcPr/>
          <w:p>
            <w:pPr>
              <w:pStyle w:val="Compact"/>
            </w:pPr>
            <w:r>
              <w:t xml:space="preserve">Page</w:t>
            </w:r>
          </w:p>
        </w:tc>
      </w:tr>
      <w:tr>
        <w:tc>
          <w:tcPr/>
          <w:p>
            <w:pPr>
              <w:pStyle w:val="Compact"/>
            </w:pPr>
            <w:r>
              <w:t xml:space="preserve">1.1</w:t>
            </w:r>
          </w:p>
        </w:tc>
        <w:tc>
          <w:tcPr/>
          <w:p>
            <w:pPr>
              <w:pStyle w:val="Compact"/>
            </w:pPr>
            <w:r>
              <w:t xml:space="preserve">Verification lifecycle and VISTA placement</w:t>
            </w:r>
          </w:p>
        </w:tc>
        <w:tc>
          <w:tcPr/>
          <w:p>
            <w:pPr>
              <w:pStyle w:val="Compact"/>
            </w:pPr>
            <w:r>
              <w:t xml:space="preserve">TBD</w:t>
            </w:r>
          </w:p>
        </w:tc>
      </w:tr>
      <w:tr>
        <w:tc>
          <w:tcPr/>
          <w:p>
            <w:pPr>
              <w:pStyle w:val="Compact"/>
            </w:pPr>
            <w:r>
              <w:t xml:space="preserve">1.2</w:t>
            </w:r>
          </w:p>
        </w:tc>
        <w:tc>
          <w:tcPr/>
          <w:p>
            <w:pPr>
              <w:pStyle w:val="Compact"/>
            </w:pPr>
            <w:r>
              <w:t xml:space="preserve">Stakeholder map</w:t>
            </w:r>
          </w:p>
        </w:tc>
        <w:tc>
          <w:tcPr/>
          <w:p>
            <w:pPr>
              <w:pStyle w:val="Compact"/>
            </w:pPr>
            <w:r>
              <w:t xml:space="preserve">TBD</w:t>
            </w:r>
          </w:p>
        </w:tc>
      </w:tr>
      <w:tr>
        <w:tc>
          <w:tcPr/>
          <w:p>
            <w:pPr>
              <w:pStyle w:val="Compact"/>
            </w:pPr>
            <w:r>
              <w:t xml:space="preserve">1.3</w:t>
            </w:r>
          </w:p>
        </w:tc>
        <w:tc>
          <w:tcPr/>
          <w:p>
            <w:pPr>
              <w:pStyle w:val="Compact"/>
            </w:pPr>
            <w:r>
              <w:t xml:space="preserve">SDG contribution mapping</w:t>
            </w:r>
          </w:p>
        </w:tc>
        <w:tc>
          <w:tcPr/>
          <w:p>
            <w:pPr>
              <w:pStyle w:val="Compact"/>
            </w:pPr>
            <w:r>
              <w:t xml:space="preserve">TBD</w:t>
            </w:r>
          </w:p>
        </w:tc>
      </w:tr>
      <w:tr>
        <w:tc>
          <w:tcPr/>
          <w:p>
            <w:pPr>
              <w:pStyle w:val="Compact"/>
            </w:pPr>
            <w:r>
              <w:t xml:space="preserve">2.1</w:t>
            </w:r>
          </w:p>
        </w:tc>
        <w:tc>
          <w:tcPr/>
          <w:p>
            <w:pPr>
              <w:pStyle w:val="Compact"/>
            </w:pPr>
            <w:r>
              <w:t xml:space="preserve">Research timeline (themes)</w:t>
            </w:r>
          </w:p>
        </w:tc>
        <w:tc>
          <w:tcPr/>
          <w:p>
            <w:pPr>
              <w:pStyle w:val="Compact"/>
            </w:pPr>
            <w:r>
              <w:t xml:space="preserve">TBD</w:t>
            </w:r>
          </w:p>
        </w:tc>
      </w:tr>
      <w:tr>
        <w:tc>
          <w:tcPr/>
          <w:p>
            <w:pPr>
              <w:pStyle w:val="Compact"/>
            </w:pPr>
            <w:r>
              <w:t xml:space="preserve">2.2</w:t>
            </w:r>
          </w:p>
        </w:tc>
        <w:tc>
          <w:tcPr/>
          <w:p>
            <w:pPr>
              <w:pStyle w:val="Compact"/>
            </w:pPr>
            <w:r>
              <w:t xml:space="preserve">Sources of assertion knowledge</w:t>
            </w:r>
          </w:p>
        </w:tc>
        <w:tc>
          <w:tcPr/>
          <w:p>
            <w:pPr>
              <w:pStyle w:val="Compact"/>
            </w:pPr>
            <w:r>
              <w:t xml:space="preserve">TBD</w:t>
            </w:r>
          </w:p>
        </w:tc>
      </w:tr>
      <w:tr>
        <w:tc>
          <w:tcPr/>
          <w:p>
            <w:pPr>
              <w:pStyle w:val="Compact"/>
            </w:pPr>
            <w:r>
              <w:t xml:space="preserve">2.3</w:t>
            </w:r>
          </w:p>
        </w:tc>
        <w:tc>
          <w:tcPr/>
          <w:p>
            <w:pPr>
              <w:pStyle w:val="Compact"/>
            </w:pPr>
            <w:r>
              <w:t xml:space="preserve">Formal verification stack layers</w:t>
            </w:r>
          </w:p>
        </w:tc>
        <w:tc>
          <w:tcPr/>
          <w:p>
            <w:pPr>
              <w:pStyle w:val="Compact"/>
            </w:pPr>
            <w:r>
              <w:t xml:space="preserve">TBD</w:t>
            </w:r>
          </w:p>
        </w:tc>
      </w:tr>
      <w:tr>
        <w:tc>
          <w:tcPr/>
          <w:p>
            <w:pPr>
              <w:pStyle w:val="Compact"/>
            </w:pPr>
            <w:r>
              <w:t xml:space="preserve">2.4</w:t>
            </w:r>
          </w:p>
        </w:tc>
        <w:tc>
          <w:tcPr/>
          <w:p>
            <w:pPr>
              <w:pStyle w:val="Compact"/>
            </w:pPr>
            <w:r>
              <w:t xml:space="preserve">Positioning: NL-driven vs RTL-only generation</w:t>
            </w:r>
          </w:p>
        </w:tc>
        <w:tc>
          <w:tcPr/>
          <w:p>
            <w:pPr>
              <w:pStyle w:val="Compact"/>
            </w:pPr>
            <w:r>
              <w:t xml:space="preserve">TBD</w:t>
            </w:r>
          </w:p>
        </w:tc>
      </w:tr>
      <w:tr>
        <w:tc>
          <w:tcPr/>
          <w:p>
            <w:pPr>
              <w:pStyle w:val="Compact"/>
            </w:pPr>
            <w:r>
              <w:t xml:space="preserve">3.1</w:t>
            </w:r>
          </w:p>
        </w:tc>
        <w:tc>
          <w:tcPr/>
          <w:p>
            <w:pPr>
              <w:pStyle w:val="Compact"/>
            </w:pPr>
            <w:r>
              <w:t xml:space="preserve">System boundary and external interfaces</w:t>
            </w:r>
          </w:p>
        </w:tc>
        <w:tc>
          <w:tcPr/>
          <w:p>
            <w:pPr>
              <w:pStyle w:val="Compact"/>
            </w:pPr>
            <w:r>
              <w:t xml:space="preserve">TBD</w:t>
            </w:r>
          </w:p>
        </w:tc>
      </w:tr>
      <w:tr>
        <w:tc>
          <w:tcPr/>
          <w:p>
            <w:pPr>
              <w:pStyle w:val="Compact"/>
            </w:pPr>
            <w:r>
              <w:t xml:space="preserve">3.2</w:t>
            </w:r>
          </w:p>
        </w:tc>
        <w:tc>
          <w:tcPr/>
          <w:p>
            <w:pPr>
              <w:pStyle w:val="Compact"/>
            </w:pPr>
            <w:r>
              <w:t xml:space="preserve">Functional requirements traceability</w:t>
            </w:r>
          </w:p>
        </w:tc>
        <w:tc>
          <w:tcPr/>
          <w:p>
            <w:pPr>
              <w:pStyle w:val="Compact"/>
            </w:pPr>
            <w:r>
              <w:t xml:space="preserve">TBD</w:t>
            </w:r>
          </w:p>
        </w:tc>
      </w:tr>
      <w:tr>
        <w:tc>
          <w:tcPr/>
          <w:p>
            <w:pPr>
              <w:pStyle w:val="Compact"/>
            </w:pPr>
            <w:r>
              <w:t xml:space="preserve">3.3</w:t>
            </w:r>
          </w:p>
        </w:tc>
        <w:tc>
          <w:tcPr/>
          <w:p>
            <w:pPr>
              <w:pStyle w:val="Compact"/>
            </w:pPr>
            <w:r>
              <w:t xml:space="preserve">Non-functional requirement categories</w:t>
            </w:r>
          </w:p>
        </w:tc>
        <w:tc>
          <w:tcPr/>
          <w:p>
            <w:pPr>
              <w:pStyle w:val="Compact"/>
            </w:pPr>
            <w:r>
              <w:t xml:space="preserve">TBD</w:t>
            </w:r>
          </w:p>
        </w:tc>
      </w:tr>
      <w:tr>
        <w:tc>
          <w:tcPr/>
          <w:p>
            <w:pPr>
              <w:pStyle w:val="Compact"/>
            </w:pPr>
            <w:r>
              <w:t xml:space="preserve">4.1</w:t>
            </w:r>
          </w:p>
        </w:tc>
        <w:tc>
          <w:tcPr/>
          <w:p>
            <w:pPr>
              <w:pStyle w:val="Compact"/>
            </w:pPr>
            <w:r>
              <w:t xml:space="preserve">End-to-end methodology overview</w:t>
            </w:r>
          </w:p>
        </w:tc>
        <w:tc>
          <w:tcPr/>
          <w:p>
            <w:pPr>
              <w:pStyle w:val="Compact"/>
            </w:pPr>
            <w:r>
              <w:t xml:space="preserve">TBD</w:t>
            </w:r>
          </w:p>
        </w:tc>
      </w:tr>
      <w:tr>
        <w:tc>
          <w:tcPr/>
          <w:p>
            <w:pPr>
              <w:pStyle w:val="Compact"/>
            </w:pPr>
            <w:r>
              <w:t xml:space="preserve">4.2</w:t>
            </w:r>
          </w:p>
        </w:tc>
        <w:tc>
          <w:tcPr/>
          <w:p>
            <w:pPr>
              <w:pStyle w:val="Compact"/>
            </w:pPr>
            <w:r>
              <w:t xml:space="preserve">Dataset and training data flow</w:t>
            </w:r>
          </w:p>
        </w:tc>
        <w:tc>
          <w:tcPr/>
          <w:p>
            <w:pPr>
              <w:pStyle w:val="Compact"/>
            </w:pPr>
            <w:r>
              <w:t xml:space="preserve">TBD</w:t>
            </w:r>
          </w:p>
        </w:tc>
      </w:tr>
      <w:tr>
        <w:tc>
          <w:tcPr/>
          <w:p>
            <w:pPr>
              <w:pStyle w:val="Compact"/>
            </w:pPr>
            <w:r>
              <w:t xml:space="preserve">4.3</w:t>
            </w:r>
          </w:p>
        </w:tc>
        <w:tc>
          <w:tcPr/>
          <w:p>
            <w:pPr>
              <w:pStyle w:val="Compact"/>
            </w:pPr>
            <w:r>
              <w:t xml:space="preserve">QLoRA adaptation concept</w:t>
            </w:r>
          </w:p>
        </w:tc>
        <w:tc>
          <w:tcPr/>
          <w:p>
            <w:pPr>
              <w:pStyle w:val="Compact"/>
            </w:pPr>
            <w:r>
              <w:t xml:space="preserve">TBD</w:t>
            </w:r>
          </w:p>
        </w:tc>
      </w:tr>
      <w:tr>
        <w:tc>
          <w:tcPr/>
          <w:p>
            <w:pPr>
              <w:pStyle w:val="Compact"/>
            </w:pPr>
            <w:r>
              <w:t xml:space="preserve">4.4</w:t>
            </w:r>
          </w:p>
        </w:tc>
        <w:tc>
          <w:tcPr/>
          <w:p>
            <w:pPr>
              <w:pStyle w:val="Compact"/>
            </w:pPr>
            <w:r>
              <w:t xml:space="preserve">Inference and service interaction (sequence)</w:t>
            </w:r>
          </w:p>
        </w:tc>
        <w:tc>
          <w:tcPr/>
          <w:p>
            <w:pPr>
              <w:pStyle w:val="Compact"/>
            </w:pPr>
            <w:r>
              <w:t xml:space="preserve">TBD</w:t>
            </w:r>
          </w:p>
        </w:tc>
      </w:tr>
      <w:tr>
        <w:tc>
          <w:tcPr/>
          <w:p>
            <w:pPr>
              <w:pStyle w:val="Compact"/>
            </w:pPr>
            <w:r>
              <w:t xml:space="preserve">4.5</w:t>
            </w:r>
          </w:p>
        </w:tc>
        <w:tc>
          <w:tcPr/>
          <w:p>
            <w:pPr>
              <w:pStyle w:val="Compact"/>
            </w:pPr>
            <w:r>
              <w:t xml:space="preserve">Post-processing and filter stages</w:t>
            </w:r>
          </w:p>
        </w:tc>
        <w:tc>
          <w:tcPr/>
          <w:p>
            <w:pPr>
              <w:pStyle w:val="Compact"/>
            </w:pPr>
            <w:r>
              <w:t xml:space="preserve">TBD</w:t>
            </w:r>
          </w:p>
        </w:tc>
      </w:tr>
      <w:tr>
        <w:tc>
          <w:tcPr/>
          <w:p>
            <w:pPr>
              <w:pStyle w:val="Compact"/>
            </w:pPr>
            <w:r>
              <w:t xml:space="preserve">4.6</w:t>
            </w:r>
          </w:p>
        </w:tc>
        <w:tc>
          <w:tcPr/>
          <w:p>
            <w:pPr>
              <w:pStyle w:val="Compact"/>
            </w:pPr>
            <w:r>
              <w:t xml:space="preserve">Synchronous wrapper and clock alignment</w:t>
            </w:r>
          </w:p>
        </w:tc>
        <w:tc>
          <w:tcPr/>
          <w:p>
            <w:pPr>
              <w:pStyle w:val="Compact"/>
            </w:pPr>
            <w:r>
              <w:t xml:space="preserve">TBD</w:t>
            </w:r>
          </w:p>
        </w:tc>
      </w:tr>
      <w:tr>
        <w:tc>
          <w:tcPr/>
          <w:p>
            <w:pPr>
              <w:pStyle w:val="Compact"/>
            </w:pPr>
            <w:r>
              <w:t xml:space="preserve">4.7</w:t>
            </w:r>
          </w:p>
        </w:tc>
        <w:tc>
          <w:tcPr/>
          <w:p>
            <w:pPr>
              <w:pStyle w:val="Compact"/>
            </w:pPr>
            <w:r>
              <w:t xml:space="preserve">Evaluation harness and artifacts</w:t>
            </w:r>
          </w:p>
        </w:tc>
        <w:tc>
          <w:tcPr/>
          <w:p>
            <w:pPr>
              <w:pStyle w:val="Compact"/>
            </w:pPr>
            <w:r>
              <w:t xml:space="preserve">TBD</w:t>
            </w:r>
          </w:p>
        </w:tc>
      </w:tr>
      <w:tr>
        <w:tc>
          <w:tcPr/>
          <w:p>
            <w:pPr>
              <w:pStyle w:val="Compact"/>
            </w:pPr>
            <w:r>
              <w:t xml:space="preserve">4.8</w:t>
            </w:r>
          </w:p>
        </w:tc>
        <w:tc>
          <w:tcPr/>
          <w:p>
            <w:pPr>
              <w:pStyle w:val="Compact"/>
            </w:pPr>
            <w:r>
              <w:t xml:space="preserve">Demonstration deployment layers</w:t>
            </w:r>
          </w:p>
        </w:tc>
        <w:tc>
          <w:tcPr/>
          <w:p>
            <w:pPr>
              <w:pStyle w:val="Compact"/>
            </w:pPr>
            <w:r>
              <w:t xml:space="preserve">TBD</w:t>
            </w:r>
          </w:p>
        </w:tc>
      </w:tr>
      <w:tr>
        <w:tc>
          <w:tcPr/>
          <w:p>
            <w:pPr>
              <w:pStyle w:val="Compact"/>
            </w:pPr>
            <w:r>
              <w:t xml:space="preserve">5.1</w:t>
            </w:r>
          </w:p>
        </w:tc>
        <w:tc>
          <w:tcPr/>
          <w:p>
            <w:pPr>
              <w:pStyle w:val="Compact"/>
            </w:pPr>
            <w:r>
              <w:t xml:space="preserve">Evaluation workflow from record to verdict</w:t>
            </w:r>
          </w:p>
        </w:tc>
        <w:tc>
          <w:tcPr/>
          <w:p>
            <w:pPr>
              <w:pStyle w:val="Compact"/>
            </w:pPr>
            <w:r>
              <w:t xml:space="preserve">TBD</w:t>
            </w:r>
          </w:p>
        </w:tc>
      </w:tr>
      <w:tr>
        <w:tc>
          <w:tcPr/>
          <w:p>
            <w:pPr>
              <w:pStyle w:val="Compact"/>
            </w:pPr>
            <w:r>
              <w:t xml:space="preserve">5.2</w:t>
            </w:r>
          </w:p>
        </w:tc>
        <w:tc>
          <w:tcPr/>
          <w:p>
            <w:pPr>
              <w:pStyle w:val="Compact"/>
            </w:pPr>
            <w:r>
              <w:t xml:space="preserve">Aggregate syntax and formal outcomes (n = 100)</w:t>
            </w:r>
          </w:p>
        </w:tc>
        <w:tc>
          <w:tcPr/>
          <w:p>
            <w:pPr>
              <w:pStyle w:val="Compact"/>
            </w:pPr>
            <w:r>
              <w:t xml:space="preserve">TBD</w:t>
            </w:r>
          </w:p>
        </w:tc>
      </w:tr>
      <w:tr>
        <w:tc>
          <w:tcPr/>
          <w:p>
            <w:pPr>
              <w:pStyle w:val="Compact"/>
            </w:pPr>
            <w:r>
              <w:t xml:space="preserve">5.3</w:t>
            </w:r>
          </w:p>
        </w:tc>
        <w:tc>
          <w:tcPr/>
          <w:p>
            <w:pPr>
              <w:pStyle w:val="Compact"/>
            </w:pPr>
            <w:r>
              <w:t xml:space="preserve">Gold Jaccard distribution</w:t>
            </w:r>
          </w:p>
        </w:tc>
        <w:tc>
          <w:tcPr/>
          <w:p>
            <w:pPr>
              <w:pStyle w:val="Compact"/>
            </w:pPr>
            <w:r>
              <w:t xml:space="preserve">TBD</w:t>
            </w:r>
          </w:p>
        </w:tc>
      </w:tr>
      <w:tr>
        <w:tc>
          <w:tcPr/>
          <w:p>
            <w:pPr>
              <w:pStyle w:val="Compact"/>
            </w:pPr>
            <w:r>
              <w:t xml:space="preserve">5.4</w:t>
            </w:r>
          </w:p>
        </w:tc>
        <w:tc>
          <w:tcPr/>
          <w:p>
            <w:pPr>
              <w:pStyle w:val="Compact"/>
            </w:pPr>
            <w:r>
              <w:t xml:space="preserve">Interpreting pass vs fail vs lexical match</w:t>
            </w:r>
          </w:p>
        </w:tc>
        <w:tc>
          <w:tcPr/>
          <w:p>
            <w:pPr>
              <w:pStyle w:val="Compact"/>
            </w:pPr>
            <w:r>
              <w:t xml:space="preserve">TBD</w:t>
            </w:r>
          </w:p>
        </w:tc>
      </w:tr>
      <w:tr>
        <w:tc>
          <w:tcPr/>
          <w:p>
            <w:pPr>
              <w:pStyle w:val="Compact"/>
            </w:pPr>
            <w:r>
              <w:t xml:space="preserve">6.1</w:t>
            </w:r>
          </w:p>
        </w:tc>
        <w:tc>
          <w:tcPr/>
          <w:p>
            <w:pPr>
              <w:pStyle w:val="Compact"/>
            </w:pPr>
            <w:r>
              <w:t xml:space="preserve">Research and engineering roadmap</w:t>
            </w:r>
          </w:p>
        </w:tc>
        <w:tc>
          <w:tcPr/>
          <w:p>
            <w:pPr>
              <w:pStyle w:val="Compact"/>
            </w:pPr>
            <w:r>
              <w:t xml:space="preserve">TBD</w:t>
            </w:r>
          </w:p>
        </w:tc>
      </w:tr>
    </w:tbl>
    <w:bookmarkEnd w:id="38"/>
    <w:bookmarkStart w:id="39" w:name="list-of-tables"/>
    <w:p>
      <w:pPr>
        <w:pStyle w:val="Heading2"/>
      </w:pPr>
      <w:r>
        <w:t xml:space="preserve">LIST OF TABLES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Caption</w:t>
            </w:r>
          </w:p>
        </w:tc>
        <w:tc>
          <w:tcPr/>
          <w:p>
            <w:pPr>
              <w:pStyle w:val="Compact"/>
            </w:pPr>
            <w:r>
              <w:t xml:space="preserve">Page</w:t>
            </w:r>
          </w:p>
        </w:tc>
      </w:tr>
      <w:tr>
        <w:tc>
          <w:tcPr/>
          <w:p>
            <w:pPr>
              <w:pStyle w:val="Compact"/>
            </w:pPr>
            <w:r>
              <w:t xml:space="preserve">3.1</w:t>
            </w:r>
          </w:p>
        </w:tc>
        <w:tc>
          <w:tcPr/>
          <w:p>
            <w:pPr>
              <w:pStyle w:val="Compact"/>
            </w:pPr>
            <w:r>
              <w:t xml:space="preserve">Functional requirements summary</w:t>
            </w:r>
          </w:p>
        </w:tc>
        <w:tc>
          <w:tcPr/>
          <w:p>
            <w:pPr>
              <w:pStyle w:val="Compact"/>
            </w:pPr>
            <w:r>
              <w:t xml:space="preserve">TBD</w:t>
            </w:r>
          </w:p>
        </w:tc>
      </w:tr>
      <w:tr>
        <w:tc>
          <w:tcPr/>
          <w:p>
            <w:pPr>
              <w:pStyle w:val="Compact"/>
            </w:pPr>
            <w:r>
              <w:t xml:space="preserve">3.2</w:t>
            </w:r>
          </w:p>
        </w:tc>
        <w:tc>
          <w:tcPr/>
          <w:p>
            <w:pPr>
              <w:pStyle w:val="Compact"/>
            </w:pPr>
            <w:r>
              <w:t xml:space="preserve">Non-functional requirements summary</w:t>
            </w:r>
          </w:p>
        </w:tc>
        <w:tc>
          <w:tcPr/>
          <w:p>
            <w:pPr>
              <w:pStyle w:val="Compact"/>
            </w:pPr>
            <w:r>
              <w:t xml:space="preserve">TBD</w:t>
            </w:r>
          </w:p>
        </w:tc>
      </w:tr>
      <w:tr>
        <w:tc>
          <w:tcPr/>
          <w:p>
            <w:pPr>
              <w:pStyle w:val="Compact"/>
            </w:pPr>
            <w:r>
              <w:t xml:space="preserve">4.1</w:t>
            </w:r>
          </w:p>
        </w:tc>
        <w:tc>
          <w:tcPr/>
          <w:p>
            <w:pPr>
              <w:pStyle w:val="Compact"/>
            </w:pPr>
            <w:r>
              <w:t xml:space="preserve">Training hyperparameters (project defaults)</w:t>
            </w:r>
          </w:p>
        </w:tc>
        <w:tc>
          <w:tcPr/>
          <w:p>
            <w:pPr>
              <w:pStyle w:val="Compact"/>
            </w:pPr>
            <w:r>
              <w:t xml:space="preserve">TBD</w:t>
            </w:r>
          </w:p>
        </w:tc>
      </w:tr>
      <w:tr>
        <w:tc>
          <w:tcPr/>
          <w:p>
            <w:pPr>
              <w:pStyle w:val="Compact"/>
            </w:pPr>
            <w:r>
              <w:t xml:space="preserve">5.1</w:t>
            </w:r>
          </w:p>
        </w:tc>
        <w:tc>
          <w:tcPr/>
          <w:p>
            <w:pPr>
              <w:pStyle w:val="Compact"/>
            </w:pPr>
            <w:r>
              <w:t xml:space="preserve">Aggregate metrics (model_eval_v7_100)</w:t>
            </w:r>
          </w:p>
        </w:tc>
        <w:tc>
          <w:tcPr/>
          <w:p>
            <w:pPr>
              <w:pStyle w:val="Compact"/>
            </w:pPr>
            <w:r>
              <w:t xml:space="preserve">TBD</w:t>
            </w:r>
          </w:p>
        </w:tc>
      </w:tr>
      <w:tr>
        <w:tc>
          <w:tcPr/>
          <w:p>
            <w:pPr>
              <w:pStyle w:val="Compact"/>
            </w:pPr>
            <w:r>
              <w:t xml:space="preserve">5.2</w:t>
            </w:r>
          </w:p>
        </w:tc>
        <w:tc>
          <w:tcPr/>
          <w:p>
            <w:pPr>
              <w:pStyle w:val="Compact"/>
            </w:pPr>
            <w:r>
              <w:t xml:space="preserve">Gold Jaccard buckets</w:t>
            </w:r>
          </w:p>
        </w:tc>
        <w:tc>
          <w:tcPr/>
          <w:p>
            <w:pPr>
              <w:pStyle w:val="Compact"/>
            </w:pPr>
            <w:r>
              <w:t xml:space="preserve">TBD</w:t>
            </w:r>
          </w:p>
        </w:tc>
      </w:tr>
      <w:tr>
        <w:tc>
          <w:tcPr/>
          <w:p>
            <w:pPr>
              <w:pStyle w:val="Compact"/>
            </w:pPr>
            <w:r>
              <w:t xml:space="preserve">A.1</w:t>
            </w:r>
          </w:p>
        </w:tc>
        <w:tc>
          <w:tcPr/>
          <w:p>
            <w:pPr>
              <w:pStyle w:val="Compact"/>
            </w:pPr>
            <w:r>
              <w:t xml:space="preserve">Outlier cases (formal fail or Jaccard &lt; 0.95)</w:t>
            </w:r>
          </w:p>
        </w:tc>
        <w:tc>
          <w:tcPr/>
          <w:p>
            <w:pPr>
              <w:pStyle w:val="Compact"/>
            </w:pPr>
            <w:r>
              <w:t xml:space="preserve">TBD</w:t>
            </w:r>
          </w:p>
        </w:tc>
      </w:tr>
      <w:tr>
        <w:tc>
          <w:tcPr/>
          <w:p>
            <w:pPr>
              <w:pStyle w:val="Compact"/>
            </w:pPr>
            <w:r>
              <w:t xml:space="preserve">B.1</w:t>
            </w:r>
          </w:p>
        </w:tc>
        <w:tc>
          <w:tcPr/>
          <w:p>
            <w:pPr>
              <w:pStyle w:val="Compact"/>
            </w:pPr>
            <w:r>
              <w:t xml:space="preserve">Per-sample evaluation log (n = 100)</w:t>
            </w:r>
          </w:p>
        </w:tc>
        <w:tc>
          <w:tcPr/>
          <w:p>
            <w:pPr>
              <w:pStyle w:val="Compact"/>
            </w:pPr>
            <w:r>
              <w:t xml:space="preserve">TBD</w:t>
            </w:r>
          </w:p>
        </w:tc>
      </w:tr>
    </w:tbl>
    <w:bookmarkEnd w:id="39"/>
    <w:bookmarkEnd w:id="40"/>
    <w:bookmarkStart w:id="56" w:name="chapter-i"/>
    <w:p>
      <w:pPr>
        <w:pStyle w:val="Heading1"/>
      </w:pPr>
      <w:r>
        <w:t xml:space="preserve">CHAPTER I</w:t>
      </w:r>
    </w:p>
    <w:bookmarkStart w:id="55" w:name="chapter-1-introduction"/>
    <w:p>
      <w:pPr>
        <w:pStyle w:val="Heading2"/>
      </w:pPr>
      <w:r>
        <w:t xml:space="preserve">Chapter 1: Introduction</w:t>
      </w:r>
    </w:p>
    <w:bookmarkStart w:id="41" w:name="background-and-motivation"/>
    <w:p>
      <w:pPr>
        <w:pStyle w:val="Heading3"/>
      </w:pPr>
      <w:r>
        <w:t xml:space="preserve">1.1 Background and motivation</w:t>
      </w:r>
    </w:p>
    <w:p>
      <w:pPr>
        <w:pStyle w:val="FirstParagraph"/>
      </w:pPr>
      <w:r>
        <w:t xml:space="preserve">Register-transfer level (RTL) design captures the structure and cycle-accurate behavior of digital hardware before fabrication. Verification—demonstrating that the RTL satisfies intent under stated assumptions—consumes a large fraction of project schedule and staffing.</w:t>
      </w:r>
      <w:r>
        <w:t xml:space="preserve"> </w:t>
      </w:r>
      <w:r>
        <w:rPr>
          <w:b/>
          <w:bCs/>
        </w:rPr>
        <w:t xml:space="preserve">Assertions</w:t>
      </w:r>
      <w:r>
        <w:t xml:space="preserve"> </w:t>
      </w:r>
      <w:r>
        <w:t xml:space="preserve">operationalize intent: they can be simulated, constrained in randomized testbenches, and, when supported, analyzed by formal engines.</w:t>
      </w:r>
      <w:r>
        <w:t xml:space="preserve"> </w:t>
      </w:r>
      <w:r>
        <w:rPr>
          <w:b/>
          <w:bCs/>
        </w:rPr>
        <w:t xml:space="preserve">SystemVerilog Assertions</w:t>
      </w:r>
      <w:r>
        <w:t xml:space="preserve"> </w:t>
      </w:r>
      <w:r>
        <w:t xml:space="preserve">are the de facto standard for expressing temporal properties in modern digital flows.</w:t>
      </w:r>
    </w:p>
    <w:p>
      <w:pPr>
        <w:pStyle w:val="BodyText"/>
      </w:pPr>
      <w:r>
        <w:t xml:space="preserve">Despite mature tooling, teams still struggle to write</w:t>
      </w:r>
      <w:r>
        <w:t xml:space="preserve"> </w:t>
      </w:r>
      <w:r>
        <w:rPr>
          <w:b/>
          <w:bCs/>
        </w:rPr>
        <w:t xml:space="preserve">enough</w:t>
      </w:r>
      <w:r>
        <w:t xml:space="preserve"> </w:t>
      </w:r>
      <w:r>
        <w:t xml:space="preserve">high-quality assertions</w:t>
      </w:r>
      <w:r>
        <w:t xml:space="preserve"> </w:t>
      </w:r>
      <w:r>
        <w:rPr>
          <w:b/>
          <w:bCs/>
        </w:rPr>
        <w:t xml:space="preserve">early enough</w:t>
      </w:r>
      <w:r>
        <w:t xml:space="preserve">. Manual authoring is error-prone; reviews are expensive; and knowledge is uneven across sites.</w:t>
      </w:r>
      <w:r>
        <w:t xml:space="preserve"> </w:t>
      </w:r>
      <w:r>
        <w:rPr>
          <w:b/>
          <w:bCs/>
        </w:rPr>
        <w:t xml:space="preserve">Machine learning</w:t>
      </w:r>
      <w:r>
        <w:t xml:space="preserve">, and specifically</w:t>
      </w:r>
      <w:r>
        <w:t xml:space="preserve"> </w:t>
      </w:r>
      <w:r>
        <w:rPr>
          <w:b/>
          <w:bCs/>
        </w:rPr>
        <w:t xml:space="preserve">large language models</w:t>
      </w:r>
      <w:r>
        <w:t xml:space="preserve">, offer a complementary path: learn regularities from corpora of RTL and assertions, then</w:t>
      </w:r>
      <w:r>
        <w:t xml:space="preserve"> </w:t>
      </w:r>
      <w:r>
        <w:rPr>
          <w:b/>
          <w:bCs/>
        </w:rPr>
        <w:t xml:space="preserve">propose</w:t>
      </w:r>
      <w:r>
        <w:t xml:space="preserve"> </w:t>
      </w:r>
      <w:r>
        <w:t xml:space="preserve">candidate properties for engineer review. The scientific question is how to connect such proposals to</w:t>
      </w:r>
      <w:r>
        <w:t xml:space="preserve"> </w:t>
      </w:r>
      <w:r>
        <w:rPr>
          <w:b/>
          <w:bCs/>
        </w:rPr>
        <w:t xml:space="preserve">credible</w:t>
      </w:r>
      <w:r>
        <w:t xml:space="preserve"> </w:t>
      </w:r>
      <w:r>
        <w:t xml:space="preserve">verification outcomes rather than anecdotal demos.</w:t>
      </w:r>
    </w:p>
    <w:bookmarkEnd w:id="41"/>
    <w:bookmarkStart w:id="42" w:name="problem-statement"/>
    <w:p>
      <w:pPr>
        <w:pStyle w:val="Heading3"/>
      </w:pPr>
      <w:r>
        <w:t xml:space="preserve">1.2 Problem statement</w:t>
      </w:r>
    </w:p>
    <w:p>
      <w:pPr>
        <w:pStyle w:val="FirstParagraph"/>
      </w:pPr>
      <w:r>
        <w:t xml:space="preserve">The VERT dataset provides</w:t>
      </w:r>
      <w:r>
        <w:t xml:space="preserve"> </w:t>
      </w:r>
      <w:r>
        <w:rPr>
          <w:b/>
          <w:bCs/>
        </w:rPr>
        <w:t xml:space="preserve">paired</w:t>
      </w:r>
      <w:r>
        <w:t xml:space="preserve"> </w:t>
      </w:r>
      <w:r>
        <w:t xml:space="preserve">RTL fragments and reference assertions together with</w:t>
      </w:r>
      <w:r>
        <w:t xml:space="preserve"> </w:t>
      </w:r>
      <w:r>
        <w:rPr>
          <w:b/>
          <w:bCs/>
        </w:rPr>
        <w:t xml:space="preserve">synchronization</w:t>
      </w:r>
      <w:r>
        <w:t xml:space="preserve"> </w:t>
      </w:r>
      <w:r>
        <w:t xml:space="preserve">and</w:t>
      </w:r>
      <w:r>
        <w:t xml:space="preserve"> </w:t>
      </w:r>
      <w:r>
        <w:rPr>
          <w:b/>
          <w:bCs/>
        </w:rPr>
        <w:t xml:space="preserve">clock</w:t>
      </w:r>
      <w:r>
        <w:t xml:space="preserve"> </w:t>
      </w:r>
      <w:r>
        <w:t xml:space="preserve">metadata. However, VERT fragments are not necessarily complete modules; open formal flows expect</w:t>
      </w:r>
      <w:r>
        <w:t xml:space="preserve"> </w:t>
      </w:r>
      <w:r>
        <w:rPr>
          <w:b/>
          <w:bCs/>
        </w:rPr>
        <w:t xml:space="preserve">declarations</w:t>
      </w:r>
      <w:r>
        <w:t xml:space="preserve">,</w:t>
      </w:r>
      <w:r>
        <w:t xml:space="preserve"> </w:t>
      </w:r>
      <w:r>
        <w:rPr>
          <w:b/>
          <w:bCs/>
        </w:rPr>
        <w:t xml:space="preserve">consistent clocking</w:t>
      </w:r>
      <w:r>
        <w:t xml:space="preserve">, and</w:t>
      </w:r>
      <w:r>
        <w:t xml:space="preserve"> </w:t>
      </w:r>
      <w:r>
        <w:rPr>
          <w:b/>
          <w:bCs/>
        </w:rPr>
        <w:t xml:space="preserve">parseable</w:t>
      </w:r>
      <w:r>
        <w:t xml:space="preserve"> </w:t>
      </w:r>
      <w:r>
        <w:t xml:space="preserve">SVA. The core problem addressed here is therefore</w:t>
      </w:r>
      <w:r>
        <w:t xml:space="preserve"> </w:t>
      </w:r>
      <w:r>
        <w:rPr>
          <w:b/>
          <w:bCs/>
        </w:rPr>
        <w:t xml:space="preserve">threefold</w:t>
      </w:r>
      <w:r>
        <w:t xml:space="preserve">: (i) generate assertion text aligned with VERT’s distribution; (ii)</w:t>
      </w:r>
      <w:r>
        <w:t xml:space="preserve"> </w:t>
      </w:r>
      <w:r>
        <w:rPr>
          <w:b/>
          <w:bCs/>
        </w:rPr>
        <w:t xml:space="preserve">normalize</w:t>
      </w:r>
      <w:r>
        <w:t xml:space="preserve"> </w:t>
      </w:r>
      <w:r>
        <w:t xml:space="preserve">and</w:t>
      </w:r>
      <w:r>
        <w:t xml:space="preserve"> </w:t>
      </w:r>
      <w:r>
        <w:rPr>
          <w:b/>
          <w:bCs/>
        </w:rPr>
        <w:t xml:space="preserve">repair</w:t>
      </w:r>
      <w:r>
        <w:t xml:space="preserve"> </w:t>
      </w:r>
      <w:r>
        <w:t xml:space="preserve">model outputs for tool consumption; and (iii)</w:t>
      </w:r>
      <w:r>
        <w:t xml:space="preserve"> </w:t>
      </w:r>
      <w:r>
        <w:rPr>
          <w:b/>
          <w:bCs/>
        </w:rPr>
        <w:t xml:space="preserve">wrap</w:t>
      </w:r>
      <w:r>
        <w:t xml:space="preserve"> </w:t>
      </w:r>
      <w:r>
        <w:t xml:space="preserve">fragments into a harness that supports reproducible</w:t>
      </w:r>
      <w:r>
        <w:t xml:space="preserve"> </w:t>
      </w:r>
      <w:r>
        <w:rPr>
          <w:b/>
          <w:bCs/>
        </w:rPr>
        <w:t xml:space="preserve">bounded</w:t>
      </w:r>
      <w:r>
        <w:t xml:space="preserve"> </w:t>
      </w:r>
      <w:r>
        <w:t xml:space="preserve">proofs.</w:t>
      </w:r>
    </w:p>
    <w:bookmarkEnd w:id="42"/>
    <w:bookmarkStart w:id="43" w:name="objectives-and-scope"/>
    <w:p>
      <w:pPr>
        <w:pStyle w:val="Heading3"/>
      </w:pPr>
      <w:r>
        <w:t xml:space="preserve">1.3 Objectives and scope</w:t>
      </w:r>
    </w:p>
    <w:p>
      <w:pPr>
        <w:pStyle w:val="FirstParagraph"/>
      </w:pPr>
      <w:r>
        <w:rPr>
          <w:b/>
          <w:bCs/>
        </w:rPr>
        <w:t xml:space="preserve">Objectives:</w:t>
      </w:r>
      <w:r>
        <w:t xml:space="preserve"> </w:t>
      </w:r>
      <w:r>
        <w:t xml:space="preserve">(1) fine-tune an 8B-class LLM with QLoRA for RTL-to-assertion generation; (2) implement post-processing and a dynamic wrapper; (3) evaluate with Yosys and SymbiYosys on a fixed hundred-sample slice; (4) deliver a demonstration interface.</w:t>
      </w:r>
    </w:p>
    <w:p>
      <w:pPr>
        <w:pStyle w:val="BodyText"/>
      </w:pPr>
      <w:r>
        <w:rPr>
          <w:b/>
          <w:bCs/>
        </w:rPr>
        <w:t xml:space="preserve">Scope:</w:t>
      </w:r>
      <w:r>
        <w:t xml:space="preserve"> </w:t>
      </w:r>
      <w:r>
        <w:t xml:space="preserve">VERT-style control-flow fragments, local or laboratory GPU inference, and OSS formal tools.</w:t>
      </w:r>
      <w:r>
        <w:t xml:space="preserve"> </w:t>
      </w:r>
      <w:r>
        <w:rPr>
          <w:b/>
          <w:bCs/>
        </w:rPr>
        <w:t xml:space="preserve">Out of scope:</w:t>
      </w:r>
      <w:r>
        <w:t xml:space="preserve"> </w:t>
      </w:r>
      <w:r>
        <w:t xml:space="preserve">full-chip hierarchical verification sign-off, analog/mixed-signal, and proprietary timing closure.</w:t>
      </w:r>
    </w:p>
    <w:bookmarkEnd w:id="43"/>
    <w:bookmarkStart w:id="44" w:name="contributions"/>
    <w:p>
      <w:pPr>
        <w:pStyle w:val="Heading3"/>
      </w:pPr>
      <w:r>
        <w:t xml:space="preserve">1.4 Contributions</w:t>
      </w:r>
    </w:p>
    <w:p>
      <w:pPr>
        <w:pStyle w:val="FirstParagraph"/>
      </w:pPr>
      <w:r>
        <w:t xml:space="preserve">The project contributes an</w:t>
      </w:r>
      <w:r>
        <w:t xml:space="preserve"> </w:t>
      </w:r>
      <w:r>
        <w:rPr>
          <w:b/>
          <w:bCs/>
        </w:rPr>
        <w:t xml:space="preserve">end-to-end</w:t>
      </w:r>
      <w:r>
        <w:t xml:space="preserve"> </w:t>
      </w:r>
      <w:r>
        <w:t xml:space="preserve">pipeline, a</w:t>
      </w:r>
      <w:r>
        <w:t xml:space="preserve"> </w:t>
      </w:r>
      <w:r>
        <w:rPr>
          <w:b/>
          <w:bCs/>
        </w:rPr>
        <w:t xml:space="preserve">reproducible</w:t>
      </w:r>
      <w:r>
        <w:t xml:space="preserve"> </w:t>
      </w:r>
      <w:r>
        <w:t xml:space="preserve">evaluation snapshot, and an</w:t>
      </w:r>
      <w:r>
        <w:t xml:space="preserve"> </w:t>
      </w:r>
      <w:r>
        <w:rPr>
          <w:b/>
          <w:bCs/>
        </w:rPr>
        <w:t xml:space="preserve">honest</w:t>
      </w:r>
      <w:r>
        <w:t xml:space="preserve"> </w:t>
      </w:r>
      <w:r>
        <w:t xml:space="preserve">discussion of failure modes—including a formal failure with</w:t>
      </w:r>
      <w:r>
        <w:t xml:space="preserve"> </w:t>
      </w:r>
      <w:r>
        <w:rPr>
          <w:b/>
          <w:bCs/>
        </w:rPr>
        <w:t xml:space="preserve">perfect</w:t>
      </w:r>
      <w:r>
        <w:t xml:space="preserve"> </w:t>
      </w:r>
      <w:r>
        <w:t xml:space="preserve">lexical agreement—highlighting semantics and assumptions.</w:t>
      </w:r>
    </w:p>
    <w:bookmarkEnd w:id="44"/>
    <w:bookmarkStart w:id="54" w:name="report-organization"/>
    <w:p>
      <w:pPr>
        <w:pStyle w:val="Heading3"/>
      </w:pPr>
      <w:r>
        <w:t xml:space="preserve">1.5 Report organization</w:t>
      </w:r>
    </w:p>
    <w:p>
      <w:pPr>
        <w:pStyle w:val="FirstParagraph"/>
      </w:pPr>
      <w:r>
        <w:t xml:space="preserve">Chapter II reviews literature. Chapter III specifies requirements. Chapter IV details methodology and implementation. Chapter V presents results. Chapter VI concludes. Glossary, references, and appendices follow.</w:t>
      </w:r>
    </w:p>
    <w:p>
      <w:pPr>
        <w:pStyle w:val="BodyText"/>
      </w:pPr>
      <w:r>
        <w:rPr>
          <w:b/>
          <w:bCs/>
        </w:rPr>
        <w:t xml:space="preserve">Fig. 1.1 — Verification lifecycle and placement of VISTA.</w:t>
      </w:r>
    </w:p>
    <w:p>
      <w:pPr>
        <w:pStyle w:val="CaptionedFigure"/>
      </w:pPr>
      <w:r>
        <w:drawing>
          <wp:inline>
            <wp:extent cx="4709160" cy="2499084"/>
            <wp:effectExtent b="0" l="0" r="0" t="0"/>
            <wp:docPr descr="Figure 1 — diagram" title="" id="46" name="Picture"/>
            <a:graphic>
              <a:graphicData uri="http://schemas.openxmlformats.org/drawingml/2006/picture">
                <pic:pic>
                  <pic:nvPicPr>
                    <pic:cNvPr descr="figure_1.png" id="47" name="Picture"/>
                    <pic:cNvPicPr>
                      <a:picLocks noChangeArrowheads="1" noChangeAspect="1"/>
                    </pic:cNvPicPr>
                  </pic:nvPicPr>
                  <pic:blipFill>
                    <a:blip r:embed="rId45"/>
                    <a:stretch>
                      <a:fillRect/>
                    </a:stretch>
                  </pic:blipFill>
                  <pic:spPr bwMode="auto">
                    <a:xfrm>
                      <a:off x="0" y="0"/>
                      <a:ext cx="4709160" cy="2499084"/>
                    </a:xfrm>
                    <a:prstGeom prst="rect">
                      <a:avLst/>
                    </a:prstGeom>
                    <a:noFill/>
                    <a:ln w="9525">
                      <a:noFill/>
                      <a:headEnd/>
                      <a:tailEnd/>
                    </a:ln>
                  </pic:spPr>
                </pic:pic>
              </a:graphicData>
            </a:graphic>
          </wp:inline>
        </w:drawing>
      </w:r>
    </w:p>
    <w:p>
      <w:pPr>
        <w:pStyle w:val="ImageCaption"/>
      </w:pPr>
      <w:r>
        <w:t xml:space="preserve">Figure 1 — diagram</w:t>
      </w:r>
    </w:p>
    <w:p>
      <w:pPr>
        <w:pStyle w:val="BodyText"/>
      </w:pPr>
      <w:r>
        <w:rPr>
          <w:b/>
          <w:bCs/>
        </w:rPr>
        <w:t xml:space="preserve">Fig. 1.2 — Primary stakeholders.</w:t>
      </w:r>
    </w:p>
    <w:p>
      <w:pPr>
        <w:pStyle w:val="CaptionedFigure"/>
      </w:pPr>
      <w:r>
        <w:drawing>
          <wp:inline>
            <wp:extent cx="4709160" cy="3202228"/>
            <wp:effectExtent b="0" l="0" r="0" t="0"/>
            <wp:docPr descr="Figure 2 — diagram" title="" id="49" name="Picture"/>
            <a:graphic>
              <a:graphicData uri="http://schemas.openxmlformats.org/drawingml/2006/picture">
                <pic:pic>
                  <pic:nvPicPr>
                    <pic:cNvPr descr="figure_2.png" id="50" name="Picture"/>
                    <pic:cNvPicPr>
                      <a:picLocks noChangeArrowheads="1" noChangeAspect="1"/>
                    </pic:cNvPicPr>
                  </pic:nvPicPr>
                  <pic:blipFill>
                    <a:blip r:embed="rId48"/>
                    <a:stretch>
                      <a:fillRect/>
                    </a:stretch>
                  </pic:blipFill>
                  <pic:spPr bwMode="auto">
                    <a:xfrm>
                      <a:off x="0" y="0"/>
                      <a:ext cx="4709160" cy="3202228"/>
                    </a:xfrm>
                    <a:prstGeom prst="rect">
                      <a:avLst/>
                    </a:prstGeom>
                    <a:noFill/>
                    <a:ln w="9525">
                      <a:noFill/>
                      <a:headEnd/>
                      <a:tailEnd/>
                    </a:ln>
                  </pic:spPr>
                </pic:pic>
              </a:graphicData>
            </a:graphic>
          </wp:inline>
        </w:drawing>
      </w:r>
    </w:p>
    <w:p>
      <w:pPr>
        <w:pStyle w:val="ImageCaption"/>
      </w:pPr>
      <w:r>
        <w:t xml:space="preserve">Figure 2 — diagram</w:t>
      </w:r>
    </w:p>
    <w:p>
      <w:pPr>
        <w:pStyle w:val="BodyText"/>
      </w:pPr>
      <w:r>
        <w:rPr>
          <w:b/>
          <w:bCs/>
        </w:rPr>
        <w:t xml:space="preserve">Fig. 1.3 — SDG contribution mapping.</w:t>
      </w:r>
    </w:p>
    <w:p>
      <w:pPr>
        <w:pStyle w:val="CaptionedFigure"/>
      </w:pPr>
      <w:r>
        <w:drawing>
          <wp:inline>
            <wp:extent cx="4709160" cy="617594"/>
            <wp:effectExtent b="0" l="0" r="0" t="0"/>
            <wp:docPr descr="Figure 3 — diagram" title="" id="52" name="Picture"/>
            <a:graphic>
              <a:graphicData uri="http://schemas.openxmlformats.org/drawingml/2006/picture">
                <pic:pic>
                  <pic:nvPicPr>
                    <pic:cNvPr descr="figure_3.png" id="53" name="Picture"/>
                    <pic:cNvPicPr>
                      <a:picLocks noChangeArrowheads="1" noChangeAspect="1"/>
                    </pic:cNvPicPr>
                  </pic:nvPicPr>
                  <pic:blipFill>
                    <a:blip r:embed="rId51"/>
                    <a:stretch>
                      <a:fillRect/>
                    </a:stretch>
                  </pic:blipFill>
                  <pic:spPr bwMode="auto">
                    <a:xfrm>
                      <a:off x="0" y="0"/>
                      <a:ext cx="4709160" cy="617594"/>
                    </a:xfrm>
                    <a:prstGeom prst="rect">
                      <a:avLst/>
                    </a:prstGeom>
                    <a:noFill/>
                    <a:ln w="9525">
                      <a:noFill/>
                      <a:headEnd/>
                      <a:tailEnd/>
                    </a:ln>
                  </pic:spPr>
                </pic:pic>
              </a:graphicData>
            </a:graphic>
          </wp:inline>
        </w:drawing>
      </w:r>
    </w:p>
    <w:p>
      <w:pPr>
        <w:pStyle w:val="ImageCaption"/>
      </w:pPr>
      <w:r>
        <w:t xml:space="preserve">Figure 3 — diagram</w:t>
      </w:r>
    </w:p>
    <w:bookmarkEnd w:id="54"/>
    <w:bookmarkEnd w:id="55"/>
    <w:bookmarkEnd w:id="56"/>
    <w:bookmarkStart w:id="110" w:name="chapter-ii"/>
    <w:p>
      <w:pPr>
        <w:pStyle w:val="Heading1"/>
      </w:pPr>
      <w:r>
        <w:t xml:space="preserve">CHAPTER II</w:t>
      </w:r>
    </w:p>
    <w:bookmarkStart w:id="109" w:name="chapter-2-literature-survey"/>
    <w:p>
      <w:pPr>
        <w:pStyle w:val="Heading2"/>
      </w:pPr>
      <w:r>
        <w:t xml:space="preserve">Chapter 2: Literature survey</w:t>
      </w:r>
    </w:p>
    <w:bookmarkStart w:id="57" w:name="overview"/>
    <w:p>
      <w:pPr>
        <w:pStyle w:val="Heading3"/>
      </w:pPr>
      <w:r>
        <w:t xml:space="preserve">2.1 Overview</w:t>
      </w:r>
    </w:p>
    <w:p>
      <w:pPr>
        <w:pStyle w:val="FirstParagraph"/>
      </w:pPr>
      <w:r>
        <w:t xml:space="preserve">This chapter situates VISTA within formal methods, assertion generation research, benchmarking practice, and parameter-efficient learning. Each following subsection deepens one theme and cites where the thesis should connect to primary literature in IEEE format.</w:t>
      </w:r>
    </w:p>
    <w:bookmarkEnd w:id="57"/>
    <w:bookmarkStart w:id="108" w:name="foundational-themes-diagrams"/>
    <w:p>
      <w:pPr>
        <w:pStyle w:val="Heading3"/>
      </w:pPr>
      <w:r>
        <w:t xml:space="preserve">2.2 Foundational themes (diagrams)</w:t>
      </w:r>
    </w:p>
    <w:p>
      <w:pPr>
        <w:pStyle w:val="FirstParagraph"/>
      </w:pPr>
      <w:r>
        <w:rPr>
          <w:b/>
          <w:bCs/>
        </w:rPr>
        <w:t xml:space="preserve">Fig. 2.1 — Thematic timeline (conceptual).</w:t>
      </w:r>
    </w:p>
    <w:p>
      <w:pPr>
        <w:pStyle w:val="CaptionedFigure"/>
      </w:pPr>
      <w:r>
        <w:drawing>
          <wp:inline>
            <wp:extent cx="4709160" cy="1915694"/>
            <wp:effectExtent b="0" l="0" r="0" t="0"/>
            <wp:docPr descr="Figure 4 — diagram" title="" id="59" name="Picture"/>
            <a:graphic>
              <a:graphicData uri="http://schemas.openxmlformats.org/drawingml/2006/picture">
                <pic:pic>
                  <pic:nvPicPr>
                    <pic:cNvPr descr="figure_4.png" id="60" name="Picture"/>
                    <pic:cNvPicPr>
                      <a:picLocks noChangeArrowheads="1" noChangeAspect="1"/>
                    </pic:cNvPicPr>
                  </pic:nvPicPr>
                  <pic:blipFill>
                    <a:blip r:embed="rId58"/>
                    <a:stretch>
                      <a:fillRect/>
                    </a:stretch>
                  </pic:blipFill>
                  <pic:spPr bwMode="auto">
                    <a:xfrm>
                      <a:off x="0" y="0"/>
                      <a:ext cx="4709160" cy="1915694"/>
                    </a:xfrm>
                    <a:prstGeom prst="rect">
                      <a:avLst/>
                    </a:prstGeom>
                    <a:noFill/>
                    <a:ln w="9525">
                      <a:noFill/>
                      <a:headEnd/>
                      <a:tailEnd/>
                    </a:ln>
                  </pic:spPr>
                </pic:pic>
              </a:graphicData>
            </a:graphic>
          </wp:inline>
        </w:drawing>
      </w:r>
    </w:p>
    <w:p>
      <w:pPr>
        <w:pStyle w:val="ImageCaption"/>
      </w:pPr>
      <w:r>
        <w:t xml:space="preserve">Figure 4 — diagram</w:t>
      </w:r>
    </w:p>
    <w:p>
      <w:pPr>
        <w:pStyle w:val="BodyText"/>
      </w:pPr>
      <w:r>
        <w:rPr>
          <w:b/>
          <w:bCs/>
        </w:rPr>
        <w:t xml:space="preserve">Fig. 2.2 — Where assertion knowledge can originate.</w:t>
      </w:r>
    </w:p>
    <w:p>
      <w:pPr>
        <w:pStyle w:val="CaptionedFigure"/>
      </w:pPr>
      <w:r>
        <w:drawing>
          <wp:inline>
            <wp:extent cx="4709160" cy="1061963"/>
            <wp:effectExtent b="0" l="0" r="0" t="0"/>
            <wp:docPr descr="Figure 5 — diagram" title="" id="62" name="Picture"/>
            <a:graphic>
              <a:graphicData uri="http://schemas.openxmlformats.org/drawingml/2006/picture">
                <pic:pic>
                  <pic:nvPicPr>
                    <pic:cNvPr descr="figure_5.png" id="63" name="Picture"/>
                    <pic:cNvPicPr>
                      <a:picLocks noChangeArrowheads="1" noChangeAspect="1"/>
                    </pic:cNvPicPr>
                  </pic:nvPicPr>
                  <pic:blipFill>
                    <a:blip r:embed="rId61"/>
                    <a:stretch>
                      <a:fillRect/>
                    </a:stretch>
                  </pic:blipFill>
                  <pic:spPr bwMode="auto">
                    <a:xfrm>
                      <a:off x="0" y="0"/>
                      <a:ext cx="4709160" cy="1061963"/>
                    </a:xfrm>
                    <a:prstGeom prst="rect">
                      <a:avLst/>
                    </a:prstGeom>
                    <a:noFill/>
                    <a:ln w="9525">
                      <a:noFill/>
                      <a:headEnd/>
                      <a:tailEnd/>
                    </a:ln>
                  </pic:spPr>
                </pic:pic>
              </a:graphicData>
            </a:graphic>
          </wp:inline>
        </w:drawing>
      </w:r>
    </w:p>
    <w:p>
      <w:pPr>
        <w:pStyle w:val="ImageCaption"/>
      </w:pPr>
      <w:r>
        <w:t xml:space="preserve">Figure 5 — diagram</w:t>
      </w:r>
    </w:p>
    <w:p>
      <w:pPr>
        <w:pStyle w:val="BodyText"/>
      </w:pPr>
      <w:r>
        <w:rPr>
          <w:b/>
          <w:bCs/>
        </w:rPr>
        <w:t xml:space="preserve">Fig. 2.3 — Layered formal verification stack (simplified).</w:t>
      </w:r>
    </w:p>
    <w:p>
      <w:pPr>
        <w:pStyle w:val="CaptionedFigure"/>
      </w:pPr>
      <w:r>
        <w:drawing>
          <wp:inline>
            <wp:extent cx="4709160" cy="5764011"/>
            <wp:effectExtent b="0" l="0" r="0" t="0"/>
            <wp:docPr descr="Figure 6 — diagram" title="" id="65" name="Picture"/>
            <a:graphic>
              <a:graphicData uri="http://schemas.openxmlformats.org/drawingml/2006/picture">
                <pic:pic>
                  <pic:nvPicPr>
                    <pic:cNvPr descr="figure_6.png" id="66" name="Picture"/>
                    <pic:cNvPicPr>
                      <a:picLocks noChangeArrowheads="1" noChangeAspect="1"/>
                    </pic:cNvPicPr>
                  </pic:nvPicPr>
                  <pic:blipFill>
                    <a:blip r:embed="rId64"/>
                    <a:stretch>
                      <a:fillRect/>
                    </a:stretch>
                  </pic:blipFill>
                  <pic:spPr bwMode="auto">
                    <a:xfrm>
                      <a:off x="0" y="0"/>
                      <a:ext cx="4709160" cy="5764011"/>
                    </a:xfrm>
                    <a:prstGeom prst="rect">
                      <a:avLst/>
                    </a:prstGeom>
                    <a:noFill/>
                    <a:ln w="9525">
                      <a:noFill/>
                      <a:headEnd/>
                      <a:tailEnd/>
                    </a:ln>
                  </pic:spPr>
                </pic:pic>
              </a:graphicData>
            </a:graphic>
          </wp:inline>
        </w:drawing>
      </w:r>
    </w:p>
    <w:p>
      <w:pPr>
        <w:pStyle w:val="ImageCaption"/>
      </w:pPr>
      <w:r>
        <w:t xml:space="preserve">Figure 6 — diagram</w:t>
      </w:r>
    </w:p>
    <w:p>
      <w:pPr>
        <w:pStyle w:val="BodyText"/>
      </w:pPr>
      <w:r>
        <w:rPr>
          <w:b/>
          <w:bCs/>
        </w:rPr>
        <w:t xml:space="preserve">Fig. 2.4 — NL-driven vs RTL-only assertion generation (positioning).</w:t>
      </w:r>
    </w:p>
    <w:p>
      <w:pPr>
        <w:pStyle w:val="CaptionedFigure"/>
      </w:pPr>
      <w:r>
        <w:drawing>
          <wp:inline>
            <wp:extent cx="4709160" cy="1359757"/>
            <wp:effectExtent b="0" l="0" r="0" t="0"/>
            <wp:docPr descr="Figure 7 — diagram" title="" id="68" name="Picture"/>
            <a:graphic>
              <a:graphicData uri="http://schemas.openxmlformats.org/drawingml/2006/picture">
                <pic:pic>
                  <pic:nvPicPr>
                    <pic:cNvPr descr="figure_7.png" id="69" name="Picture"/>
                    <pic:cNvPicPr>
                      <a:picLocks noChangeArrowheads="1" noChangeAspect="1"/>
                    </pic:cNvPicPr>
                  </pic:nvPicPr>
                  <pic:blipFill>
                    <a:blip r:embed="rId67"/>
                    <a:stretch>
                      <a:fillRect/>
                    </a:stretch>
                  </pic:blipFill>
                  <pic:spPr bwMode="auto">
                    <a:xfrm>
                      <a:off x="0" y="0"/>
                      <a:ext cx="4709160" cy="1359757"/>
                    </a:xfrm>
                    <a:prstGeom prst="rect">
                      <a:avLst/>
                    </a:prstGeom>
                    <a:noFill/>
                    <a:ln w="9525">
                      <a:noFill/>
                      <a:headEnd/>
                      <a:tailEnd/>
                    </a:ln>
                  </pic:spPr>
                </pic:pic>
              </a:graphicData>
            </a:graphic>
          </wp:inline>
        </w:drawing>
      </w:r>
    </w:p>
    <w:p>
      <w:pPr>
        <w:pStyle w:val="ImageCaption"/>
      </w:pPr>
      <w:r>
        <w:t xml:space="preserve">Figure 7 — diagram</w:t>
      </w:r>
    </w:p>
    <w:bookmarkStart w:id="70" w:name="model-checking-and-temporal-logics"/>
    <w:p>
      <w:pPr>
        <w:pStyle w:val="Heading4"/>
      </w:pPr>
      <w:r>
        <w:t xml:space="preserve">2.3 Model checking and temporal logics</w:t>
      </w:r>
    </w:p>
    <w:p>
      <w:pPr>
        <w:pStyle w:val="FirstParagraph"/>
      </w:pPr>
      <w:r>
        <w:t xml:space="preserve">This subsection discusses</w:t>
      </w:r>
      <w:r>
        <w:t xml:space="preserve"> </w:t>
      </w:r>
      <w:r>
        <w:rPr>
          <w:b/>
          <w:bCs/>
        </w:rPr>
        <w:t xml:space="preserve">Model checking and temporal logics</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Model checking and temporal logics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70"/>
    <w:bookmarkStart w:id="71" w:name="X2083d10c62ea2e1af7cf679ffe52fbbf775e0a9"/>
    <w:p>
      <w:pPr>
        <w:pStyle w:val="Heading4"/>
      </w:pPr>
      <w:r>
        <w:t xml:space="preserve">2.4 SAT-based and SMT-based bounded model checking</w:t>
      </w:r>
    </w:p>
    <w:p>
      <w:pPr>
        <w:pStyle w:val="FirstParagraph"/>
      </w:pPr>
      <w:r>
        <w:t xml:space="preserve">This subsection discusses</w:t>
      </w:r>
      <w:r>
        <w:t xml:space="preserve"> </w:t>
      </w:r>
      <w:r>
        <w:rPr>
          <w:b/>
          <w:bCs/>
        </w:rPr>
        <w:t xml:space="preserve">SAT-based and SMT-based bounded model checking</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SAT-based and SMT-based bounded model checking</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71"/>
    <w:bookmarkStart w:id="72" w:name="X5d274a9e59d80f9e25a4244b0355acaa7e03a9a"/>
    <w:p>
      <w:pPr>
        <w:pStyle w:val="Heading4"/>
      </w:pPr>
      <w:r>
        <w:t xml:space="preserve">2.5 Inductive proof obligations and k-induction</w:t>
      </w:r>
    </w:p>
    <w:p>
      <w:pPr>
        <w:pStyle w:val="FirstParagraph"/>
      </w:pPr>
      <w:r>
        <w:t xml:space="preserve">This subsection discusses</w:t>
      </w:r>
      <w:r>
        <w:t xml:space="preserve"> </w:t>
      </w:r>
      <w:r>
        <w:rPr>
          <w:b/>
          <w:bCs/>
        </w:rPr>
        <w:t xml:space="preserve">Inductive proof obligations and k-induction</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Inductive proof obligations and k-induction</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72"/>
    <w:bookmarkStart w:id="73" w:name="X66bb9dde20cdcf3e84cb75c8a48933ee87968c2"/>
    <w:p>
      <w:pPr>
        <w:pStyle w:val="Heading4"/>
      </w:pPr>
      <w:r>
        <w:t xml:space="preserve">2.6 SystemVerilog assertions in industrial flows</w:t>
      </w:r>
    </w:p>
    <w:p>
      <w:pPr>
        <w:pStyle w:val="FirstParagraph"/>
      </w:pPr>
      <w:r>
        <w:t xml:space="preserve">This subsection discusses</w:t>
      </w:r>
      <w:r>
        <w:t xml:space="preserve"> </w:t>
      </w:r>
      <w:r>
        <w:rPr>
          <w:b/>
          <w:bCs/>
        </w:rPr>
        <w:t xml:space="preserve">SystemVerilog assertions in industrial flows</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SystemVerilog assertions in industrial flows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73"/>
    <w:bookmarkStart w:id="74" w:name="assertion-mining-from-simulation-traces"/>
    <w:p>
      <w:pPr>
        <w:pStyle w:val="Heading4"/>
      </w:pPr>
      <w:r>
        <w:t xml:space="preserve">2.7 Assertion mining from simulation traces</w:t>
      </w:r>
    </w:p>
    <w:p>
      <w:pPr>
        <w:pStyle w:val="FirstParagraph"/>
      </w:pPr>
      <w:r>
        <w:t xml:space="preserve">This subsection discusses</w:t>
      </w:r>
      <w:r>
        <w:t xml:space="preserve"> </w:t>
      </w:r>
      <w:r>
        <w:rPr>
          <w:b/>
          <w:bCs/>
        </w:rPr>
        <w:t xml:space="preserve">Assertion mining from simulation traces</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Assertion mining from simulation traces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74"/>
    <w:bookmarkStart w:id="75" w:name="static-analysis-and-invariant-inference"/>
    <w:p>
      <w:pPr>
        <w:pStyle w:val="Heading4"/>
      </w:pPr>
      <w:r>
        <w:t xml:space="preserve">2.8 Static analysis and invariant inference</w:t>
      </w:r>
    </w:p>
    <w:p>
      <w:pPr>
        <w:pStyle w:val="FirstParagraph"/>
      </w:pPr>
      <w:r>
        <w:t xml:space="preserve">This subsection discusses</w:t>
      </w:r>
      <w:r>
        <w:t xml:space="preserve"> </w:t>
      </w:r>
      <w:r>
        <w:rPr>
          <w:b/>
          <w:bCs/>
        </w:rPr>
        <w:t xml:space="preserve">Static analysis and invariant inference</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Static analysis and invariant inference</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75"/>
    <w:bookmarkStart w:id="76" w:name="goldmine-style-property-discovery"/>
    <w:p>
      <w:pPr>
        <w:pStyle w:val="Heading4"/>
      </w:pPr>
      <w:r>
        <w:t xml:space="preserve">2.9 GoldMine-style property discovery</w:t>
      </w:r>
    </w:p>
    <w:p>
      <w:pPr>
        <w:pStyle w:val="FirstParagraph"/>
      </w:pPr>
      <w:r>
        <w:t xml:space="preserve">This subsection discusses</w:t>
      </w:r>
      <w:r>
        <w:t xml:space="preserve"> </w:t>
      </w:r>
      <w:r>
        <w:rPr>
          <w:b/>
          <w:bCs/>
        </w:rPr>
        <w:t xml:space="preserve">GoldMine-style property discovery</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GoldMine-style property discovery</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76"/>
    <w:bookmarkStart w:id="77" w:name="Xa0996c69735f4ab64297d54b2e048343d3d5ba9"/>
    <w:p>
      <w:pPr>
        <w:pStyle w:val="Heading4"/>
      </w:pPr>
      <w:r>
        <w:t xml:space="preserve">2.10 Natural-language to assertion translation</w:t>
      </w:r>
    </w:p>
    <w:p>
      <w:pPr>
        <w:pStyle w:val="FirstParagraph"/>
      </w:pPr>
      <w:r>
        <w:t xml:space="preserve">This subsection discusses</w:t>
      </w:r>
      <w:r>
        <w:t xml:space="preserve"> </w:t>
      </w:r>
      <w:r>
        <w:rPr>
          <w:b/>
          <w:bCs/>
        </w:rPr>
        <w:t xml:space="preserve">Natural-language to assertion translation</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Natural-language to assertion translation</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77"/>
    <w:bookmarkStart w:id="78" w:name="waveform-assisted-assertion-learning"/>
    <w:p>
      <w:pPr>
        <w:pStyle w:val="Heading4"/>
      </w:pPr>
      <w:r>
        <w:t xml:space="preserve">2.11 Waveform-assisted assertion learning</w:t>
      </w:r>
    </w:p>
    <w:p>
      <w:pPr>
        <w:pStyle w:val="FirstParagraph"/>
      </w:pPr>
      <w:r>
        <w:t xml:space="preserve">This subsection discusses</w:t>
      </w:r>
      <w:r>
        <w:t xml:space="preserve"> </w:t>
      </w:r>
      <w:r>
        <w:rPr>
          <w:b/>
          <w:bCs/>
        </w:rPr>
        <w:t xml:space="preserve">Waveform-assisted assertion learning</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Waveform-assisted assertion learning</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78"/>
    <w:bookmarkStart w:id="79" w:name="X837b0fb48c468071372230fc433c99202b35254"/>
    <w:p>
      <w:pPr>
        <w:pStyle w:val="Heading4"/>
      </w:pPr>
      <w:r>
        <w:t xml:space="preserve">2.12 Knowledge graphs and design intent alignment</w:t>
      </w:r>
    </w:p>
    <w:p>
      <w:pPr>
        <w:pStyle w:val="FirstParagraph"/>
      </w:pPr>
      <w:r>
        <w:t xml:space="preserve">This subsection discusses</w:t>
      </w:r>
      <w:r>
        <w:t xml:space="preserve"> </w:t>
      </w:r>
      <w:r>
        <w:rPr>
          <w:b/>
          <w:bCs/>
        </w:rPr>
        <w:t xml:space="preserve">Knowledge graphs and design intent alignment</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Knowledge graphs and design intent alignment</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79"/>
    <w:bookmarkStart w:id="80" w:name="assertionbench-and-comparable-benchmarks"/>
    <w:p>
      <w:pPr>
        <w:pStyle w:val="Heading4"/>
      </w:pPr>
      <w:r>
        <w:t xml:space="preserve">2.13 AssertionBench and comparable benchmarks</w:t>
      </w:r>
    </w:p>
    <w:p>
      <w:pPr>
        <w:pStyle w:val="FirstParagraph"/>
      </w:pPr>
      <w:r>
        <w:t xml:space="preserve">This subsection discusses</w:t>
      </w:r>
      <w:r>
        <w:t xml:space="preserve"> </w:t>
      </w:r>
      <w:r>
        <w:rPr>
          <w:b/>
          <w:bCs/>
        </w:rPr>
        <w:t xml:space="preserve">AssertionBench and comparable benchmarks</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AssertionBench and comparable benchmarks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80"/>
    <w:bookmarkStart w:id="81" w:name="the-vert-corpus-and-fragment-level-rtl"/>
    <w:p>
      <w:pPr>
        <w:pStyle w:val="Heading4"/>
      </w:pPr>
      <w:r>
        <w:t xml:space="preserve">2.14 The VERT corpus and fragment-level RTL</w:t>
      </w:r>
    </w:p>
    <w:p>
      <w:pPr>
        <w:pStyle w:val="FirstParagraph"/>
      </w:pPr>
      <w:r>
        <w:t xml:space="preserve">This subsection discusses</w:t>
      </w:r>
      <w:r>
        <w:t xml:space="preserve"> </w:t>
      </w:r>
      <w:r>
        <w:rPr>
          <w:b/>
          <w:bCs/>
        </w:rPr>
        <w:t xml:space="preserve">The VERT corpus and fragment-level RTL</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The VERT corpus and fragment-level RTL</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81"/>
    <w:bookmarkStart w:id="82" w:name="X15a34938e6ff2d8c416e98b870a7f18e385beac"/>
    <w:p>
      <w:pPr>
        <w:pStyle w:val="Heading4"/>
      </w:pPr>
      <w:r>
        <w:t xml:space="preserve">2.15 Open-source formal stacks (Yosys, SymbiYosys)</w:t>
      </w:r>
    </w:p>
    <w:p>
      <w:pPr>
        <w:pStyle w:val="FirstParagraph"/>
      </w:pPr>
      <w:r>
        <w:t xml:space="preserve">This subsection discusses</w:t>
      </w:r>
      <w:r>
        <w:t xml:space="preserve"> </w:t>
      </w:r>
      <w:r>
        <w:rPr>
          <w:b/>
          <w:bCs/>
        </w:rPr>
        <w:t xml:space="preserve">Open-source formal stacks (Yosys, SymbiYosys)</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Open-source formal stacks (Yosys, SymbiYosys)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82"/>
    <w:bookmarkStart w:id="83" w:name="X8136fb34fd2e66faf35dd2862ab125a379dfd41"/>
    <w:p>
      <w:pPr>
        <w:pStyle w:val="Heading4"/>
      </w:pPr>
      <w:r>
        <w:t xml:space="preserve">2.16 Vacuity, coverage, and meaningful formal results</w:t>
      </w:r>
    </w:p>
    <w:p>
      <w:pPr>
        <w:pStyle w:val="FirstParagraph"/>
      </w:pPr>
      <w:r>
        <w:t xml:space="preserve">This subsection discusses</w:t>
      </w:r>
      <w:r>
        <w:t xml:space="preserve"> </w:t>
      </w:r>
      <w:r>
        <w:rPr>
          <w:b/>
          <w:bCs/>
        </w:rPr>
        <w:t xml:space="preserve">Vacuity, coverage, and meaningful formal results</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Vacuity, coverage, and meaningful formal results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83"/>
    <w:bookmarkStart w:id="84" w:name="X8d3349168c61449deb668912f79720d60177e3b"/>
    <w:p>
      <w:pPr>
        <w:pStyle w:val="Heading4"/>
      </w:pPr>
      <w:r>
        <w:t xml:space="preserve">2.17 Reset and initialization assumptions in BMC</w:t>
      </w:r>
    </w:p>
    <w:p>
      <w:pPr>
        <w:pStyle w:val="FirstParagraph"/>
      </w:pPr>
      <w:r>
        <w:t xml:space="preserve">This subsection discusses</w:t>
      </w:r>
      <w:r>
        <w:t xml:space="preserve"> </w:t>
      </w:r>
      <w:r>
        <w:rPr>
          <w:b/>
          <w:bCs/>
        </w:rPr>
        <w:t xml:space="preserve">Reset and initialization assumptions in BMC</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Reset and initialization assumptions in BMC</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84"/>
    <w:bookmarkStart w:id="85" w:name="X0a820537820195b7a100bfe52a0ebd483ca60ff"/>
    <w:p>
      <w:pPr>
        <w:pStyle w:val="Heading4"/>
      </w:pPr>
      <w:r>
        <w:t xml:space="preserve">2.18 Clock-domain alignment for concurrent assertions</w:t>
      </w:r>
    </w:p>
    <w:p>
      <w:pPr>
        <w:pStyle w:val="FirstParagraph"/>
      </w:pPr>
      <w:r>
        <w:t xml:space="preserve">This subsection discusses</w:t>
      </w:r>
      <w:r>
        <w:t xml:space="preserve"> </w:t>
      </w:r>
      <w:r>
        <w:rPr>
          <w:b/>
          <w:bCs/>
        </w:rPr>
        <w:t xml:space="preserve">Clock-domain alignment for concurrent assertions</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Clock-domain alignment for concurrent assertions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85"/>
    <w:bookmarkStart w:id="86" w:name="X1800803f566a0273fb74c8f5adbd3e4c2f3b596"/>
    <w:p>
      <w:pPr>
        <w:pStyle w:val="Heading4"/>
      </w:pPr>
      <w:r>
        <w:t xml:space="preserve">2.19 Four-valued logic and X-propagation in formal runs</w:t>
      </w:r>
    </w:p>
    <w:p>
      <w:pPr>
        <w:pStyle w:val="FirstParagraph"/>
      </w:pPr>
      <w:r>
        <w:t xml:space="preserve">This subsection discusses</w:t>
      </w:r>
      <w:r>
        <w:t xml:space="preserve"> </w:t>
      </w:r>
      <w:r>
        <w:rPr>
          <w:b/>
          <w:bCs/>
        </w:rPr>
        <w:t xml:space="preserve">Four-valued logic and X-propagation in formal runs</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Four-valued logic and X-propagation in formal runs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86"/>
    <w:bookmarkStart w:id="87" w:name="parameter-efficient-fine-tuning-survey"/>
    <w:p>
      <w:pPr>
        <w:pStyle w:val="Heading4"/>
      </w:pPr>
      <w:r>
        <w:t xml:space="preserve">2.20 Parameter-efficient fine-tuning survey</w:t>
      </w:r>
    </w:p>
    <w:p>
      <w:pPr>
        <w:pStyle w:val="FirstParagraph"/>
      </w:pPr>
      <w:r>
        <w:t xml:space="preserve">This subsection discusses</w:t>
      </w:r>
      <w:r>
        <w:t xml:space="preserve"> </w:t>
      </w:r>
      <w:r>
        <w:rPr>
          <w:b/>
          <w:bCs/>
        </w:rPr>
        <w:t xml:space="preserve">Parameter-efficient fine-tuning survey</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Parameter-efficient fine-tuning survey</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87"/>
    <w:bookmarkStart w:id="88" w:name="qlora-and-memory-efficient-adaptation"/>
    <w:p>
      <w:pPr>
        <w:pStyle w:val="Heading4"/>
      </w:pPr>
      <w:r>
        <w:t xml:space="preserve">2.21 QLoRA and memory-efficient adaptation</w:t>
      </w:r>
    </w:p>
    <w:p>
      <w:pPr>
        <w:pStyle w:val="FirstParagraph"/>
      </w:pPr>
      <w:r>
        <w:t xml:space="preserve">This subsection discusses</w:t>
      </w:r>
      <w:r>
        <w:t xml:space="preserve"> </w:t>
      </w:r>
      <w:r>
        <w:rPr>
          <w:b/>
          <w:bCs/>
        </w:rPr>
        <w:t xml:space="preserve">QLoRA and memory-efficient adaptation</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QLoRA and memory-efficient adaptation</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88"/>
    <w:bookmarkStart w:id="89" w:name="Xfae89984fa57fcd91a690f8fe909ab8fa4f67d8"/>
    <w:p>
      <w:pPr>
        <w:pStyle w:val="Heading4"/>
      </w:pPr>
      <w:r>
        <w:t xml:space="preserve">2.22 Instruction tuning for code and hardware domains</w:t>
      </w:r>
    </w:p>
    <w:p>
      <w:pPr>
        <w:pStyle w:val="FirstParagraph"/>
      </w:pPr>
      <w:r>
        <w:t xml:space="preserve">This subsection discusses</w:t>
      </w:r>
      <w:r>
        <w:t xml:space="preserve"> </w:t>
      </w:r>
      <w:r>
        <w:rPr>
          <w:b/>
          <w:bCs/>
        </w:rPr>
        <w:t xml:space="preserve">Instruction tuning for code and hardware domains</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Instruction tuning for code and hardware domains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89"/>
    <w:bookmarkStart w:id="90" w:name="X3282bdad2a02c20fbac66848da3943cc5514c54"/>
    <w:p>
      <w:pPr>
        <w:pStyle w:val="Heading4"/>
      </w:pPr>
      <w:r>
        <w:t xml:space="preserve">2.23 Evaluation contamination and benchmark hygiene</w:t>
      </w:r>
    </w:p>
    <w:p>
      <w:pPr>
        <w:pStyle w:val="FirstParagraph"/>
      </w:pPr>
      <w:r>
        <w:t xml:space="preserve">This subsection discusses</w:t>
      </w:r>
      <w:r>
        <w:t xml:space="preserve"> </w:t>
      </w:r>
      <w:r>
        <w:rPr>
          <w:b/>
          <w:bCs/>
        </w:rPr>
        <w:t xml:space="preserve">Evaluation contamination and benchmark hygiene</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Evaluation contamination and benchmark hygiene</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90"/>
    <w:bookmarkStart w:id="91" w:name="reproducibility-in-ml-for-eda-research"/>
    <w:p>
      <w:pPr>
        <w:pStyle w:val="Heading4"/>
      </w:pPr>
      <w:r>
        <w:t xml:space="preserve">2.24 Reproducibility in ML-for-EDA research</w:t>
      </w:r>
    </w:p>
    <w:p>
      <w:pPr>
        <w:pStyle w:val="FirstParagraph"/>
      </w:pPr>
      <w:r>
        <w:t xml:space="preserve">This subsection discusses</w:t>
      </w:r>
      <w:r>
        <w:t xml:space="preserve"> </w:t>
      </w:r>
      <w:r>
        <w:rPr>
          <w:b/>
          <w:bCs/>
        </w:rPr>
        <w:t xml:space="preserve">Reproducibility in ML-for-EDA research</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Reproducibility in ML-for-EDA research</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91"/>
    <w:bookmarkStart w:id="92" w:name="Xcad65d02dd48273e12001025f2b8f1ec24e7b75"/>
    <w:p>
      <w:pPr>
        <w:pStyle w:val="Heading4"/>
      </w:pPr>
      <w:r>
        <w:t xml:space="preserve">2.25 Industrial adoption barriers for formal methods</w:t>
      </w:r>
    </w:p>
    <w:p>
      <w:pPr>
        <w:pStyle w:val="FirstParagraph"/>
      </w:pPr>
      <w:r>
        <w:t xml:space="preserve">This subsection discusses</w:t>
      </w:r>
      <w:r>
        <w:t xml:space="preserve"> </w:t>
      </w:r>
      <w:r>
        <w:rPr>
          <w:b/>
          <w:bCs/>
        </w:rPr>
        <w:t xml:space="preserve">Industrial adoption barriers for formal methods</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Industrial adoption barriers for formal methods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92"/>
    <w:bookmarkStart w:id="93" w:name="X4fb15958a0565de30288c40ea63cfe5302c3126"/>
    <w:p>
      <w:pPr>
        <w:pStyle w:val="Heading4"/>
      </w:pPr>
      <w:r>
        <w:t xml:space="preserve">2.26 NECOP-relevant verification productivity themes</w:t>
      </w:r>
    </w:p>
    <w:p>
      <w:pPr>
        <w:pStyle w:val="FirstParagraph"/>
      </w:pPr>
      <w:r>
        <w:t xml:space="preserve">This subsection discusses</w:t>
      </w:r>
      <w:r>
        <w:t xml:space="preserve"> </w:t>
      </w:r>
      <w:r>
        <w:rPr>
          <w:b/>
          <w:bCs/>
        </w:rPr>
        <w:t xml:space="preserve">NECOP-relevant verification productivity themes</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NECOP-relevant verification productivity themes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93"/>
    <w:bookmarkStart w:id="94" w:name="energy-footprint-of-large-model-training"/>
    <w:p>
      <w:pPr>
        <w:pStyle w:val="Heading4"/>
      </w:pPr>
      <w:r>
        <w:t xml:space="preserve">2.27 Energy footprint of large-model training</w:t>
      </w:r>
    </w:p>
    <w:p>
      <w:pPr>
        <w:pStyle w:val="FirstParagraph"/>
      </w:pPr>
      <w:r>
        <w:t xml:space="preserve">This subsection discusses</w:t>
      </w:r>
      <w:r>
        <w:t xml:space="preserve"> </w:t>
      </w:r>
      <w:r>
        <w:rPr>
          <w:b/>
          <w:bCs/>
        </w:rPr>
        <w:t xml:space="preserve">Energy footprint of large-model training</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Energy footprint of large-model training</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94"/>
    <w:bookmarkStart w:id="95" w:name="X8a0e46f1c087e797de497dc510ea5a93067f75c"/>
    <w:p>
      <w:pPr>
        <w:pStyle w:val="Heading4"/>
      </w:pPr>
      <w:r>
        <w:t xml:space="preserve">2.28 Security of RTL when using local vs cloud inference</w:t>
      </w:r>
    </w:p>
    <w:p>
      <w:pPr>
        <w:pStyle w:val="FirstParagraph"/>
      </w:pPr>
      <w:r>
        <w:t xml:space="preserve">This subsection discusses</w:t>
      </w:r>
      <w:r>
        <w:t xml:space="preserve"> </w:t>
      </w:r>
      <w:r>
        <w:rPr>
          <w:b/>
          <w:bCs/>
        </w:rPr>
        <w:t xml:space="preserve">Security of RTL when using local vs cloud inference</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Security of RTL when using local vs cloud inference</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95"/>
    <w:bookmarkStart w:id="96" w:name="Xc378066ce2e820605242c556efaa1f4f42ce982"/>
    <w:p>
      <w:pPr>
        <w:pStyle w:val="Heading4"/>
      </w:pPr>
      <w:r>
        <w:t xml:space="preserve">2.29 Documentation and traceability for student projects</w:t>
      </w:r>
    </w:p>
    <w:p>
      <w:pPr>
        <w:pStyle w:val="FirstParagraph"/>
      </w:pPr>
      <w:r>
        <w:t xml:space="preserve">This subsection discusses</w:t>
      </w:r>
      <w:r>
        <w:t xml:space="preserve"> </w:t>
      </w:r>
      <w:r>
        <w:rPr>
          <w:b/>
          <w:bCs/>
        </w:rPr>
        <w:t xml:space="preserve">Documentation and traceability for student projects</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Documentation and traceability for student projects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96"/>
    <w:bookmarkStart w:id="97" w:name="X1338db06f79a07d2b203fe8ff279e4a13cfeff4"/>
    <w:p>
      <w:pPr>
        <w:pStyle w:val="Heading4"/>
      </w:pPr>
      <w:r>
        <w:t xml:space="preserve">2.30 Limitations of lexical similarity metrics</w:t>
      </w:r>
    </w:p>
    <w:p>
      <w:pPr>
        <w:pStyle w:val="FirstParagraph"/>
      </w:pPr>
      <w:r>
        <w:t xml:space="preserve">This subsection discusses</w:t>
      </w:r>
      <w:r>
        <w:t xml:space="preserve"> </w:t>
      </w:r>
      <w:r>
        <w:rPr>
          <w:b/>
          <w:bCs/>
        </w:rPr>
        <w:t xml:space="preserve">Limitations of lexical similarity metrics</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Limitations of lexical similarity metrics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97"/>
    <w:bookmarkStart w:id="98" w:name="Xcc3dfc1e6c2ec79b20df98ce5a4df6824422a3b"/>
    <w:p>
      <w:pPr>
        <w:pStyle w:val="Heading4"/>
      </w:pPr>
      <w:r>
        <w:t xml:space="preserve">2.31 Counterexample-guided assertion refinement</w:t>
      </w:r>
    </w:p>
    <w:p>
      <w:pPr>
        <w:pStyle w:val="FirstParagraph"/>
      </w:pPr>
      <w:r>
        <w:t xml:space="preserve">This subsection discusses</w:t>
      </w:r>
      <w:r>
        <w:t xml:space="preserve"> </w:t>
      </w:r>
      <w:r>
        <w:rPr>
          <w:b/>
          <w:bCs/>
        </w:rPr>
        <w:t xml:space="preserve">Counterexample-guided assertion refinement</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Counterexample-guided assertion refinement</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98"/>
    <w:bookmarkStart w:id="99" w:name="X52436c5757f51a155d91eaf5627331b625cd974"/>
    <w:p>
      <w:pPr>
        <w:pStyle w:val="Heading4"/>
      </w:pPr>
      <w:r>
        <w:t xml:space="preserve">2.32 Assume–guarantee and modular verification outlook</w:t>
      </w:r>
    </w:p>
    <w:p>
      <w:pPr>
        <w:pStyle w:val="FirstParagraph"/>
      </w:pPr>
      <w:r>
        <w:t xml:space="preserve">This subsection discusses</w:t>
      </w:r>
      <w:r>
        <w:t xml:space="preserve"> </w:t>
      </w:r>
      <w:r>
        <w:rPr>
          <w:b/>
          <w:bCs/>
        </w:rPr>
        <w:t xml:space="preserve">Assume–guarantee and modular verification outlook</w:t>
      </w:r>
      <w:r>
        <w:t xml:space="preserve"> </w:t>
      </w:r>
      <w:r>
        <w:t xml:space="preserve">as it relates to Chapter II (literature survey).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Assume–guarantee and modular verification outlook</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99"/>
    <w:bookmarkStart w:id="100" w:name="X8c1875b295cc188c69384d2432b939626d6e480"/>
    <w:p>
      <w:pPr>
        <w:pStyle w:val="Heading4"/>
      </w:pPr>
      <w:r>
        <w:t xml:space="preserve">Chapter II supplement — S1: Industrial verification metrics beyond pass rate</w:t>
      </w:r>
    </w:p>
    <w:p>
      <w:pPr>
        <w:pStyle w:val="FirstParagraph"/>
      </w:pPr>
      <w:r>
        <w:t xml:space="preserve">This subsection discusses</w:t>
      </w:r>
      <w:r>
        <w:t xml:space="preserve"> </w:t>
      </w:r>
      <w:r>
        <w:rPr>
          <w:b/>
          <w:bCs/>
        </w:rPr>
        <w:t xml:space="preserve">Industrial verification metrics beyond pass rate</w:t>
      </w:r>
      <w:r>
        <w:t xml:space="preserve"> </w:t>
      </w:r>
      <w:r>
        <w:t xml:space="preserve">as it relates to Chapter II extended literature.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Industrial verification metrics beyond pass rate</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00"/>
    <w:bookmarkStart w:id="101" w:name="X206071a1624ef1822678e72c2cdd5d597feed51"/>
    <w:p>
      <w:pPr>
        <w:pStyle w:val="Heading4"/>
      </w:pPr>
      <w:r>
        <w:t xml:space="preserve">Chapter II supplement — S2: Regression hygiene for ML-assisted flows</w:t>
      </w:r>
    </w:p>
    <w:p>
      <w:pPr>
        <w:pStyle w:val="FirstParagraph"/>
      </w:pPr>
      <w:r>
        <w:t xml:space="preserve">This subsection discusses</w:t>
      </w:r>
      <w:r>
        <w:t xml:space="preserve"> </w:t>
      </w:r>
      <w:r>
        <w:rPr>
          <w:b/>
          <w:bCs/>
        </w:rPr>
        <w:t xml:space="preserve">Regression hygiene for ML-assisted flows</w:t>
      </w:r>
      <w:r>
        <w:t xml:space="preserve"> </w:t>
      </w:r>
      <w:r>
        <w:t xml:space="preserve">as it relates to Chapter II extended literature.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Regression hygiene for ML-assisted flows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01"/>
    <w:bookmarkStart w:id="102" w:name="X0b0755649d47e97f1f2082e7b76958f6d4f6886"/>
    <w:p>
      <w:pPr>
        <w:pStyle w:val="Heading4"/>
      </w:pPr>
      <w:r>
        <w:t xml:space="preserve">Chapter II supplement — S3: Cross-corpus transfer and domain shift</w:t>
      </w:r>
    </w:p>
    <w:p>
      <w:pPr>
        <w:pStyle w:val="FirstParagraph"/>
      </w:pPr>
      <w:r>
        <w:t xml:space="preserve">This subsection discusses</w:t>
      </w:r>
      <w:r>
        <w:t xml:space="preserve"> </w:t>
      </w:r>
      <w:r>
        <w:rPr>
          <w:b/>
          <w:bCs/>
        </w:rPr>
        <w:t xml:space="preserve">Cross-corpus transfer and domain shift</w:t>
      </w:r>
      <w:r>
        <w:t xml:space="preserve"> </w:t>
      </w:r>
      <w:r>
        <w:t xml:space="preserve">as it relates to Chapter II extended literature.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Cross-corpus transfer and domain shift</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02"/>
    <w:bookmarkStart w:id="103" w:name="Xb2db893b4b40183dd4439eca8427d60307fc86e"/>
    <w:p>
      <w:pPr>
        <w:pStyle w:val="Heading4"/>
      </w:pPr>
      <w:r>
        <w:t xml:space="preserve">Chapter II supplement — S4: Replicability of OSS CAD versions</w:t>
      </w:r>
    </w:p>
    <w:p>
      <w:pPr>
        <w:pStyle w:val="FirstParagraph"/>
      </w:pPr>
      <w:r>
        <w:t xml:space="preserve">This subsection discusses</w:t>
      </w:r>
      <w:r>
        <w:t xml:space="preserve"> </w:t>
      </w:r>
      <w:r>
        <w:rPr>
          <w:b/>
          <w:bCs/>
        </w:rPr>
        <w:t xml:space="preserve">Replicability of OSS CAD versions</w:t>
      </w:r>
      <w:r>
        <w:t xml:space="preserve"> </w:t>
      </w:r>
      <w:r>
        <w:t xml:space="preserve">as it relates to Chapter II extended literature.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Replicability of OSS CAD versions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03"/>
    <w:bookmarkStart w:id="104" w:name="Xdc2afa003eb2c33ddde5a310bc7175d5b52534a"/>
    <w:p>
      <w:pPr>
        <w:pStyle w:val="Heading4"/>
      </w:pPr>
      <w:r>
        <w:t xml:space="preserve">Chapter II supplement — S5: Peer review expectations for ML-for-EDA</w:t>
      </w:r>
    </w:p>
    <w:p>
      <w:pPr>
        <w:pStyle w:val="FirstParagraph"/>
      </w:pPr>
      <w:r>
        <w:t xml:space="preserve">This subsection discusses</w:t>
      </w:r>
      <w:r>
        <w:t xml:space="preserve"> </w:t>
      </w:r>
      <w:r>
        <w:rPr>
          <w:b/>
          <w:bCs/>
        </w:rPr>
        <w:t xml:space="preserve">Peer review expectations for ML-for-EDA</w:t>
      </w:r>
      <w:r>
        <w:t xml:space="preserve"> </w:t>
      </w:r>
      <w:r>
        <w:t xml:space="preserve">as it relates to Chapter II extended literature.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Peer review expectations for ML-for-EDA</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04"/>
    <w:bookmarkStart w:id="105" w:name="Xc60cc81d00b787a7ae0b3cde77a418d660fd04a"/>
    <w:p>
      <w:pPr>
        <w:pStyle w:val="Heading4"/>
      </w:pPr>
      <w:r>
        <w:t xml:space="preserve">Chapter II supplement — S6: Documentation standards for FYP repositories</w:t>
      </w:r>
    </w:p>
    <w:p>
      <w:pPr>
        <w:pStyle w:val="FirstParagraph"/>
      </w:pPr>
      <w:r>
        <w:t xml:space="preserve">This subsection discusses</w:t>
      </w:r>
      <w:r>
        <w:t xml:space="preserve"> </w:t>
      </w:r>
      <w:r>
        <w:rPr>
          <w:b/>
          <w:bCs/>
        </w:rPr>
        <w:t xml:space="preserve">Documentation standards for FYP repositories</w:t>
      </w:r>
      <w:r>
        <w:t xml:space="preserve"> </w:t>
      </w:r>
      <w:r>
        <w:t xml:space="preserve">as it relates to Chapter II extended literature.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Documentation standards for FYP repositories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05"/>
    <w:bookmarkStart w:id="106" w:name="X309f50653cd4259b49028eebf4039b922a9d1b9"/>
    <w:p>
      <w:pPr>
        <w:pStyle w:val="Heading4"/>
      </w:pPr>
      <w:r>
        <w:t xml:space="preserve">Chapter II supplement — S7: Turnitin and originality checks prior to submission</w:t>
      </w:r>
    </w:p>
    <w:p>
      <w:pPr>
        <w:pStyle w:val="FirstParagraph"/>
      </w:pPr>
      <w:r>
        <w:t xml:space="preserve">This subsection discusses</w:t>
      </w:r>
      <w:r>
        <w:t xml:space="preserve"> </w:t>
      </w:r>
      <w:r>
        <w:rPr>
          <w:b/>
          <w:bCs/>
        </w:rPr>
        <w:t xml:space="preserve">Turnitin and originality checks prior to submission</w:t>
      </w:r>
      <w:r>
        <w:t xml:space="preserve"> </w:t>
      </w:r>
      <w:r>
        <w:t xml:space="preserve">as it relates to Chapter II extended literature.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Turnitin and originality checks prior to submission</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06"/>
    <w:bookmarkStart w:id="107" w:name="Xb81a5148b547a7ca58eabcf9388d679bedc7011"/>
    <w:p>
      <w:pPr>
        <w:pStyle w:val="Heading4"/>
      </w:pPr>
      <w:r>
        <w:t xml:space="preserve">Chapter II supplement — S8: Defense materials alignment with thesis claims</w:t>
      </w:r>
    </w:p>
    <w:p>
      <w:pPr>
        <w:pStyle w:val="FirstParagraph"/>
      </w:pPr>
      <w:r>
        <w:t xml:space="preserve">This subsection discusses</w:t>
      </w:r>
      <w:r>
        <w:t xml:space="preserve"> </w:t>
      </w:r>
      <w:r>
        <w:rPr>
          <w:b/>
          <w:bCs/>
        </w:rPr>
        <w:t xml:space="preserve">Defense materials alignment with thesis claims</w:t>
      </w:r>
      <w:r>
        <w:t xml:space="preserve"> </w:t>
      </w:r>
      <w:r>
        <w:t xml:space="preserve">as it relates to Chapter II extended literature.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Defense materials alignment with thesis claims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07"/>
    <w:bookmarkEnd w:id="108"/>
    <w:bookmarkEnd w:id="109"/>
    <w:bookmarkEnd w:id="110"/>
    <w:bookmarkStart w:id="124" w:name="chapter-iii"/>
    <w:p>
      <w:pPr>
        <w:pStyle w:val="Heading1"/>
      </w:pPr>
      <w:r>
        <w:t xml:space="preserve">CHAPTER III</w:t>
      </w:r>
    </w:p>
    <w:bookmarkStart w:id="123" w:name="Xf21e41d4172c3c77655739f18fadd0237652b51"/>
    <w:p>
      <w:pPr>
        <w:pStyle w:val="Heading2"/>
      </w:pPr>
      <w:r>
        <w:t xml:space="preserve">Chapter 3: Design (systems requirements / specifications)</w:t>
      </w:r>
    </w:p>
    <w:bookmarkStart w:id="111" w:name="system-context"/>
    <w:p>
      <w:pPr>
        <w:pStyle w:val="Heading3"/>
      </w:pPr>
      <w:r>
        <w:t xml:space="preserve">3.1 System context</w:t>
      </w:r>
    </w:p>
    <w:p>
      <w:pPr>
        <w:pStyle w:val="FirstParagraph"/>
      </w:pPr>
      <w:r>
        <w:t xml:space="preserve">VISTA is a software system that ingests dataset records, runs a trained language model, applies deterministic transforms, invokes external formal tools, and exposes results through a demonstration client. Figure 3.1 summarizes external interfaces.</w:t>
      </w:r>
    </w:p>
    <w:bookmarkEnd w:id="111"/>
    <w:bookmarkStart w:id="112" w:name="functional-requirements"/>
    <w:p>
      <w:pPr>
        <w:pStyle w:val="Heading3"/>
      </w:pPr>
      <w:r>
        <w:t xml:space="preserve">3.2 Functional requirements</w:t>
      </w:r>
    </w:p>
    <w:p>
      <w:pPr>
        <w:pStyle w:val="FirstParagraph"/>
      </w:pPr>
      <w:r>
        <w:rPr>
          <w:b/>
          <w:bCs/>
        </w:rPr>
        <w:t xml:space="preserve">Table 3.1 — Functional requirements.</w:t>
      </w:r>
    </w:p>
    <w:tbl>
      <w:tblPr>
        <w:tblStyle w:val="Table"/>
        <w:tblW w:type="pct" w:w="5000"/>
        <w:tblLayout w:type="fixed"/>
        <w:tblLook w:firstRow="1" w:lastRow="0" w:firstColumn="0" w:lastColumn="0" w:noHBand="0" w:noVBand="0" w:val="0020"/>
      </w:tblPr>
      <w:tblGrid>
        <w:gridCol w:w="1131"/>
        <w:gridCol w:w="3677"/>
        <w:gridCol w:w="3111"/>
      </w:tblGrid>
      <w:tr>
        <w:trPr>
          <w:tblHeader w:val="on"/>
        </w:trPr>
        <w:tc>
          <w:tcPr/>
          <w:p>
            <w:pPr>
              <w:pStyle w:val="Compact"/>
            </w:pPr>
            <w:r>
              <w:t xml:space="preserve">ID</w:t>
            </w:r>
          </w:p>
        </w:tc>
        <w:tc>
          <w:tcPr/>
          <w:p>
            <w:pPr>
              <w:pStyle w:val="Compact"/>
            </w:pPr>
            <w:r>
              <w:t xml:space="preserve">Requirement</w:t>
            </w:r>
          </w:p>
        </w:tc>
        <w:tc>
          <w:tcPr/>
          <w:p>
            <w:pPr>
              <w:pStyle w:val="Compact"/>
            </w:pPr>
            <w:r>
              <w:t xml:space="preserve">Rationale</w:t>
            </w:r>
          </w:p>
        </w:tc>
      </w:tr>
      <w:tr>
        <w:tc>
          <w:tcPr/>
          <w:p>
            <w:pPr>
              <w:pStyle w:val="Compact"/>
            </w:pPr>
            <w:r>
              <w:t xml:space="preserve">FR-1</w:t>
            </w:r>
          </w:p>
        </w:tc>
        <w:tc>
          <w:tcPr/>
          <w:p>
            <w:pPr>
              <w:pStyle w:val="Compact"/>
            </w:pPr>
            <w:r>
              <w:t xml:space="preserve">Accept RTL text with synchronization flag and clock string</w:t>
            </w:r>
          </w:p>
        </w:tc>
        <w:tc>
          <w:tcPr/>
          <w:p>
            <w:pPr>
              <w:pStyle w:val="Compact"/>
            </w:pPr>
            <w:r>
              <w:t xml:space="preserve">VERT compatibility</w:t>
            </w:r>
          </w:p>
        </w:tc>
      </w:tr>
      <w:tr>
        <w:tc>
          <w:tcPr/>
          <w:p>
            <w:pPr>
              <w:pStyle w:val="Compact"/>
            </w:pPr>
            <w:r>
              <w:t xml:space="preserve">FR-2</w:t>
            </w:r>
          </w:p>
        </w:tc>
        <w:tc>
          <w:tcPr/>
          <w:p>
            <w:pPr>
              <w:pStyle w:val="Compact"/>
            </w:pPr>
            <w:r>
              <w:t xml:space="preserve">Produce assertions in the instruction-tuned response format</w:t>
            </w:r>
          </w:p>
        </w:tc>
        <w:tc>
          <w:tcPr/>
          <w:p>
            <w:pPr>
              <w:pStyle w:val="Compact"/>
            </w:pPr>
            <w:r>
              <w:t xml:space="preserve">Train/eval alignment</w:t>
            </w:r>
          </w:p>
        </w:tc>
      </w:tr>
      <w:tr>
        <w:tc>
          <w:tcPr/>
          <w:p>
            <w:pPr>
              <w:pStyle w:val="Compact"/>
            </w:pPr>
            <w:r>
              <w:t xml:space="preserve">FR-3</w:t>
            </w:r>
          </w:p>
        </w:tc>
        <w:tc>
          <w:tcPr/>
          <w:p>
            <w:pPr>
              <w:pStyle w:val="Compact"/>
            </w:pPr>
            <w:r>
              <w:t xml:space="preserve">Emit a single elaboratable wrapper module</w:t>
            </w:r>
          </w:p>
        </w:tc>
        <w:tc>
          <w:tcPr/>
          <w:p>
            <w:pPr>
              <w:pStyle w:val="Compact"/>
            </w:pPr>
            <w:r>
              <w:t xml:space="preserve">Formal tool input</w:t>
            </w:r>
          </w:p>
        </w:tc>
      </w:tr>
      <w:tr>
        <w:tc>
          <w:tcPr/>
          <w:p>
            <w:pPr>
              <w:pStyle w:val="Compact"/>
            </w:pPr>
            <w:r>
              <w:t xml:space="preserve">FR-4</w:t>
            </w:r>
          </w:p>
        </w:tc>
        <w:tc>
          <w:tcPr/>
          <w:p>
            <w:pPr>
              <w:pStyle w:val="Compact"/>
            </w:pPr>
            <w:r>
              <w:t xml:space="preserve">Log syntax success, formal status, and gold Jaccard</w:t>
            </w:r>
          </w:p>
        </w:tc>
        <w:tc>
          <w:tcPr/>
          <w:p>
            <w:pPr>
              <w:pStyle w:val="Compact"/>
            </w:pPr>
            <w:r>
              <w:t xml:space="preserve">Traceable metrics</w:t>
            </w:r>
          </w:p>
        </w:tc>
      </w:tr>
      <w:tr>
        <w:tc>
          <w:tcPr/>
          <w:p>
            <w:pPr>
              <w:pStyle w:val="Compact"/>
            </w:pPr>
            <w:r>
              <w:t xml:space="preserve">FR-5</w:t>
            </w:r>
          </w:p>
        </w:tc>
        <w:tc>
          <w:tcPr/>
          <w:p>
            <w:pPr>
              <w:pStyle w:val="Compact"/>
            </w:pPr>
            <w:r>
              <w:t xml:space="preserve">Support batch evaluation for regression</w:t>
            </w:r>
          </w:p>
        </w:tc>
        <w:tc>
          <w:tcPr/>
          <w:p>
            <w:pPr>
              <w:pStyle w:val="Compact"/>
            </w:pPr>
            <w:r>
              <w:t xml:space="preserve">Reproducibility</w:t>
            </w:r>
          </w:p>
        </w:tc>
      </w:tr>
      <w:tr>
        <w:tc>
          <w:tcPr/>
          <w:p>
            <w:pPr>
              <w:pStyle w:val="Compact"/>
            </w:pPr>
            <w:r>
              <w:t xml:space="preserve">FR-6</w:t>
            </w:r>
          </w:p>
        </w:tc>
        <w:tc>
          <w:tcPr/>
          <w:p>
            <w:pPr>
              <w:pStyle w:val="Compact"/>
            </w:pPr>
            <w:r>
              <w:t xml:space="preserve">Provide interactive demonstration</w:t>
            </w:r>
          </w:p>
        </w:tc>
        <w:tc>
          <w:tcPr/>
          <w:p>
            <w:pPr>
              <w:pStyle w:val="Compact"/>
            </w:pPr>
            <w:r>
              <w:t xml:space="preserve">Stakeholder communication</w:t>
            </w:r>
          </w:p>
        </w:tc>
      </w:tr>
    </w:tbl>
    <w:bookmarkEnd w:id="112"/>
    <w:bookmarkStart w:id="122" w:name="non-functional-requirements"/>
    <w:p>
      <w:pPr>
        <w:pStyle w:val="Heading3"/>
      </w:pPr>
      <w:r>
        <w:t xml:space="preserve">3.3 Non-functional requirements</w:t>
      </w:r>
    </w:p>
    <w:p>
      <w:pPr>
        <w:pStyle w:val="FirstParagraph"/>
      </w:pPr>
      <w:r>
        <w:rPr>
          <w:b/>
          <w:bCs/>
        </w:rPr>
        <w:t xml:space="preserve">Table 3.2 — Non-functional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Category</w:t>
            </w:r>
          </w:p>
        </w:tc>
        <w:tc>
          <w:tcPr/>
          <w:p>
            <w:pPr>
              <w:pStyle w:val="Compact"/>
            </w:pPr>
            <w:r>
              <w:t xml:space="preserve">Requirement</w:t>
            </w:r>
          </w:p>
        </w:tc>
      </w:tr>
      <w:tr>
        <w:tc>
          <w:tcPr/>
          <w:p>
            <w:pPr>
              <w:pStyle w:val="Compact"/>
            </w:pPr>
            <w:r>
              <w:t xml:space="preserve">NFR-1</w:t>
            </w:r>
          </w:p>
        </w:tc>
        <w:tc>
          <w:tcPr/>
          <w:p>
            <w:pPr>
              <w:pStyle w:val="Compact"/>
            </w:pPr>
            <w:r>
              <w:t xml:space="preserve">Reproducibility</w:t>
            </w:r>
          </w:p>
        </w:tc>
        <w:tc>
          <w:tcPr/>
          <w:p>
            <w:pPr>
              <w:pStyle w:val="Compact"/>
            </w:pPr>
            <w:r>
              <w:t xml:space="preserve">Fixed decoding; logged configuration</w:t>
            </w:r>
          </w:p>
        </w:tc>
      </w:tr>
      <w:tr>
        <w:tc>
          <w:tcPr/>
          <w:p>
            <w:pPr>
              <w:pStyle w:val="Compact"/>
            </w:pPr>
            <w:r>
              <w:t xml:space="preserve">NFR-2</w:t>
            </w:r>
          </w:p>
        </w:tc>
        <w:tc>
          <w:tcPr/>
          <w:p>
            <w:pPr>
              <w:pStyle w:val="Compact"/>
            </w:pPr>
            <w:r>
              <w:t xml:space="preserve">Security</w:t>
            </w:r>
          </w:p>
        </w:tc>
        <w:tc>
          <w:tcPr/>
          <w:p>
            <w:pPr>
              <w:pStyle w:val="Compact"/>
            </w:pPr>
            <w:r>
              <w:t xml:space="preserve">Local deployment for sensitive RTL</w:t>
            </w:r>
          </w:p>
        </w:tc>
      </w:tr>
      <w:tr>
        <w:tc>
          <w:tcPr/>
          <w:p>
            <w:pPr>
              <w:pStyle w:val="Compact"/>
            </w:pPr>
            <w:r>
              <w:t xml:space="preserve">NFR-3</w:t>
            </w:r>
          </w:p>
        </w:tc>
        <w:tc>
          <w:tcPr/>
          <w:p>
            <w:pPr>
              <w:pStyle w:val="Compact"/>
            </w:pPr>
            <w:r>
              <w:t xml:space="preserve">Maintainability</w:t>
            </w:r>
          </w:p>
        </w:tc>
        <w:tc>
          <w:tcPr/>
          <w:p>
            <w:pPr>
              <w:pStyle w:val="Compact"/>
            </w:pPr>
            <w:r>
              <w:t xml:space="preserve">Single evaluation entry point</w:t>
            </w:r>
          </w:p>
        </w:tc>
      </w:tr>
      <w:tr>
        <w:tc>
          <w:tcPr/>
          <w:p>
            <w:pPr>
              <w:pStyle w:val="Compact"/>
            </w:pPr>
            <w:r>
              <w:t xml:space="preserve">NFR-4</w:t>
            </w:r>
          </w:p>
        </w:tc>
        <w:tc>
          <w:tcPr/>
          <w:p>
            <w:pPr>
              <w:pStyle w:val="Compact"/>
            </w:pPr>
            <w:r>
              <w:t xml:space="preserve">Performance</w:t>
            </w:r>
          </w:p>
        </w:tc>
        <w:tc>
          <w:tcPr/>
          <w:p>
            <w:pPr>
              <w:pStyle w:val="Compact"/>
            </w:pPr>
            <w:r>
              <w:t xml:space="preserve">Interactive latency on workstation GPU</w:t>
            </w:r>
          </w:p>
        </w:tc>
      </w:tr>
    </w:tbl>
    <w:p>
      <w:pPr>
        <w:pStyle w:val="BodyText"/>
      </w:pPr>
      <w:r>
        <w:rPr>
          <w:b/>
          <w:bCs/>
        </w:rPr>
        <w:t xml:space="preserve">Fig. 3.1 — System boundary.</w:t>
      </w:r>
    </w:p>
    <w:p>
      <w:pPr>
        <w:pStyle w:val="CaptionedFigure"/>
      </w:pPr>
      <w:r>
        <w:drawing>
          <wp:inline>
            <wp:extent cx="4709160" cy="1787536"/>
            <wp:effectExtent b="0" l="0" r="0" t="0"/>
            <wp:docPr descr="Figure 8 — diagram" title="" id="114" name="Picture"/>
            <a:graphic>
              <a:graphicData uri="http://schemas.openxmlformats.org/drawingml/2006/picture">
                <pic:pic>
                  <pic:nvPicPr>
                    <pic:cNvPr descr="figure_8.png" id="115" name="Picture"/>
                    <pic:cNvPicPr>
                      <a:picLocks noChangeArrowheads="1" noChangeAspect="1"/>
                    </pic:cNvPicPr>
                  </pic:nvPicPr>
                  <pic:blipFill>
                    <a:blip r:embed="rId113"/>
                    <a:stretch>
                      <a:fillRect/>
                    </a:stretch>
                  </pic:blipFill>
                  <pic:spPr bwMode="auto">
                    <a:xfrm>
                      <a:off x="0" y="0"/>
                      <a:ext cx="4709160" cy="1787536"/>
                    </a:xfrm>
                    <a:prstGeom prst="rect">
                      <a:avLst/>
                    </a:prstGeom>
                    <a:noFill/>
                    <a:ln w="9525">
                      <a:noFill/>
                      <a:headEnd/>
                      <a:tailEnd/>
                    </a:ln>
                  </pic:spPr>
                </pic:pic>
              </a:graphicData>
            </a:graphic>
          </wp:inline>
        </w:drawing>
      </w:r>
    </w:p>
    <w:p>
      <w:pPr>
        <w:pStyle w:val="ImageCaption"/>
      </w:pPr>
      <w:r>
        <w:t xml:space="preserve">Figure 8 — diagram</w:t>
      </w:r>
    </w:p>
    <w:p>
      <w:pPr>
        <w:pStyle w:val="BodyText"/>
      </w:pPr>
      <w:r>
        <w:rPr>
          <w:b/>
          <w:bCs/>
        </w:rPr>
        <w:t xml:space="preserve">Fig. 3.2 — Traceability from objectives to requirements.</w:t>
      </w:r>
    </w:p>
    <w:p>
      <w:pPr>
        <w:pStyle w:val="CaptionedFigure"/>
      </w:pPr>
      <w:r>
        <w:drawing>
          <wp:inline>
            <wp:extent cx="4709160" cy="635362"/>
            <wp:effectExtent b="0" l="0" r="0" t="0"/>
            <wp:docPr descr="Figure 9 — diagram" title="" id="117" name="Picture"/>
            <a:graphic>
              <a:graphicData uri="http://schemas.openxmlformats.org/drawingml/2006/picture">
                <pic:pic>
                  <pic:nvPicPr>
                    <pic:cNvPr descr="figure_9.png" id="118" name="Picture"/>
                    <pic:cNvPicPr>
                      <a:picLocks noChangeArrowheads="1" noChangeAspect="1"/>
                    </pic:cNvPicPr>
                  </pic:nvPicPr>
                  <pic:blipFill>
                    <a:blip r:embed="rId116"/>
                    <a:stretch>
                      <a:fillRect/>
                    </a:stretch>
                  </pic:blipFill>
                  <pic:spPr bwMode="auto">
                    <a:xfrm>
                      <a:off x="0" y="0"/>
                      <a:ext cx="4709160" cy="635362"/>
                    </a:xfrm>
                    <a:prstGeom prst="rect">
                      <a:avLst/>
                    </a:prstGeom>
                    <a:noFill/>
                    <a:ln w="9525">
                      <a:noFill/>
                      <a:headEnd/>
                      <a:tailEnd/>
                    </a:ln>
                  </pic:spPr>
                </pic:pic>
              </a:graphicData>
            </a:graphic>
          </wp:inline>
        </w:drawing>
      </w:r>
    </w:p>
    <w:p>
      <w:pPr>
        <w:pStyle w:val="ImageCaption"/>
      </w:pPr>
      <w:r>
        <w:t xml:space="preserve">Figure 9 — diagram</w:t>
      </w:r>
    </w:p>
    <w:p>
      <w:pPr>
        <w:pStyle w:val="BodyText"/>
      </w:pPr>
      <w:r>
        <w:rPr>
          <w:b/>
          <w:bCs/>
        </w:rPr>
        <w:t xml:space="preserve">Fig. 3.3 — Non-functional categories.</w:t>
      </w:r>
    </w:p>
    <w:p>
      <w:pPr>
        <w:pStyle w:val="CaptionedFigure"/>
      </w:pPr>
      <w:r>
        <w:drawing>
          <wp:inline>
            <wp:extent cx="4709160" cy="670623"/>
            <wp:effectExtent b="0" l="0" r="0" t="0"/>
            <wp:docPr descr="Figure 10 — diagram" title="" id="120" name="Picture"/>
            <a:graphic>
              <a:graphicData uri="http://schemas.openxmlformats.org/drawingml/2006/picture">
                <pic:pic>
                  <pic:nvPicPr>
                    <pic:cNvPr descr="figure_10.png" id="121" name="Picture"/>
                    <pic:cNvPicPr>
                      <a:picLocks noChangeArrowheads="1" noChangeAspect="1"/>
                    </pic:cNvPicPr>
                  </pic:nvPicPr>
                  <pic:blipFill>
                    <a:blip r:embed="rId119"/>
                    <a:stretch>
                      <a:fillRect/>
                    </a:stretch>
                  </pic:blipFill>
                  <pic:spPr bwMode="auto">
                    <a:xfrm>
                      <a:off x="0" y="0"/>
                      <a:ext cx="4709160" cy="670623"/>
                    </a:xfrm>
                    <a:prstGeom prst="rect">
                      <a:avLst/>
                    </a:prstGeom>
                    <a:noFill/>
                    <a:ln w="9525">
                      <a:noFill/>
                      <a:headEnd/>
                      <a:tailEnd/>
                    </a:ln>
                  </pic:spPr>
                </pic:pic>
              </a:graphicData>
            </a:graphic>
          </wp:inline>
        </w:drawing>
      </w:r>
    </w:p>
    <w:p>
      <w:pPr>
        <w:pStyle w:val="ImageCaption"/>
      </w:pPr>
      <w:r>
        <w:t xml:space="preserve">Figure 10 — diagram</w:t>
      </w:r>
    </w:p>
    <w:bookmarkEnd w:id="122"/>
    <w:bookmarkEnd w:id="123"/>
    <w:bookmarkEnd w:id="124"/>
    <w:bookmarkStart w:id="182" w:name="chapter-iv"/>
    <w:p>
      <w:pPr>
        <w:pStyle w:val="Heading1"/>
      </w:pPr>
      <w:r>
        <w:t xml:space="preserve">CHAPTER IV</w:t>
      </w:r>
    </w:p>
    <w:bookmarkStart w:id="181" w:name="X5faa59aa450fc3b5f712409dc1c535901e0f82e"/>
    <w:p>
      <w:pPr>
        <w:pStyle w:val="Heading2"/>
      </w:pPr>
      <w:r>
        <w:t xml:space="preserve">Chapter 4: Proposed solution (methodology, implementation)</w:t>
      </w:r>
    </w:p>
    <w:bookmarkStart w:id="125" w:name="scientific-method-and-reproducibility"/>
    <w:p>
      <w:pPr>
        <w:pStyle w:val="Heading3"/>
      </w:pPr>
      <w:r>
        <w:t xml:space="preserve">4.1 Scientific method and reproducibility</w:t>
      </w:r>
    </w:p>
    <w:p>
      <w:pPr>
        <w:pStyle w:val="FirstParagraph"/>
      </w:pPr>
      <w:r>
        <w:t xml:space="preserve">Experiments are defined by a frozen run identifier, a pinned adapter checkpoint path, and logged flags in the machine-readable evaluation manifest. This chapter explains, at engineering level, how training data becomes a deployed pipeline.</w:t>
      </w:r>
    </w:p>
    <w:bookmarkEnd w:id="125"/>
    <w:bookmarkStart w:id="126" w:name="dataset-and-training-configuration"/>
    <w:p>
      <w:pPr>
        <w:pStyle w:val="Heading3"/>
      </w:pPr>
      <w:r>
        <w:t xml:space="preserve">4.2 Dataset and training configuration</w:t>
      </w:r>
    </w:p>
    <w:p>
      <w:pPr>
        <w:pStyle w:val="FirstParagraph"/>
      </w:pPr>
      <w:r>
        <w:t xml:space="preserve">The repository retains twenty thousand VERT-style pairs. Training uses the project defaults documented in</w:t>
      </w:r>
      <w:r>
        <w:t xml:space="preserve"> </w:t>
      </w:r>
      <w:r>
        <w:rPr>
          <w:b/>
          <w:bCs/>
        </w:rPr>
        <w:t xml:space="preserve">Table 4.1</w:t>
      </w:r>
      <w:r>
        <w:t xml:space="preserve">.</w:t>
      </w:r>
    </w:p>
    <w:p>
      <w:pPr>
        <w:pStyle w:val="BodyText"/>
      </w:pPr>
      <w:r>
        <w:rPr>
          <w:b/>
          <w:bCs/>
        </w:rPr>
        <w:t xml:space="preserve">Table 4.1 — Training hyperparameters (defaults).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Base model family</w:t>
            </w:r>
          </w:p>
        </w:tc>
        <w:tc>
          <w:tcPr/>
          <w:p>
            <w:pPr>
              <w:pStyle w:val="Compact"/>
            </w:pPr>
            <w:r>
              <w:t xml:space="preserve">LLaMA 3.1 (8B)</w:t>
            </w:r>
          </w:p>
        </w:tc>
      </w:tr>
      <w:tr>
        <w:tc>
          <w:tcPr/>
          <w:p>
            <w:pPr>
              <w:pStyle w:val="Compact"/>
            </w:pPr>
            <w:r>
              <w:t xml:space="preserve">Adaptation</w:t>
            </w:r>
          </w:p>
        </w:tc>
        <w:tc>
          <w:tcPr/>
          <w:p>
            <w:pPr>
              <w:pStyle w:val="Compact"/>
            </w:pPr>
            <w:r>
              <w:t xml:space="preserve">QLoRA (rank / alpha 256 / 256)</w:t>
            </w:r>
          </w:p>
        </w:tc>
      </w:tr>
      <w:tr>
        <w:tc>
          <w:tcPr/>
          <w:p>
            <w:pPr>
              <w:pStyle w:val="Compact"/>
            </w:pPr>
            <w:r>
              <w:t xml:space="preserve">Learning rate</w:t>
            </w:r>
          </w:p>
        </w:tc>
        <w:tc>
          <w:tcPr/>
          <w:p>
            <w:pPr>
              <w:pStyle w:val="Compact"/>
            </w:pPr>
            <w:r>
              <w:t xml:space="preserve">1e-4</w:t>
            </w:r>
          </w:p>
        </w:tc>
      </w:tr>
      <w:tr>
        <w:tc>
          <w:tcPr/>
          <w:p>
            <w:pPr>
              <w:pStyle w:val="Compact"/>
            </w:pPr>
            <w:r>
              <w:t xml:space="preserve">Epochs</w:t>
            </w:r>
          </w:p>
        </w:tc>
        <w:tc>
          <w:tcPr/>
          <w:p>
            <w:pPr>
              <w:pStyle w:val="Compact"/>
            </w:pPr>
            <w:r>
              <w:t xml:space="preserve">3</w:t>
            </w:r>
          </w:p>
        </w:tc>
      </w:tr>
      <w:tr>
        <w:tc>
          <w:tcPr/>
          <w:p>
            <w:pPr>
              <w:pStyle w:val="Compact"/>
            </w:pPr>
            <w:r>
              <w:t xml:space="preserve">Micro-batch × accumulation</w:t>
            </w:r>
          </w:p>
        </w:tc>
        <w:tc>
          <w:tcPr/>
          <w:p>
            <w:pPr>
              <w:pStyle w:val="Compact"/>
            </w:pPr>
            <w:r>
              <w:t xml:space="preserve">2 × 32 (effective 64)</w:t>
            </w:r>
          </w:p>
        </w:tc>
      </w:tr>
      <w:tr>
        <w:tc>
          <w:tcPr/>
          <w:p>
            <w:pPr>
              <w:pStyle w:val="Compact"/>
            </w:pPr>
            <w:r>
              <w:t xml:space="preserve">Max sequence length</w:t>
            </w:r>
          </w:p>
        </w:tc>
        <w:tc>
          <w:tcPr/>
          <w:p>
            <w:pPr>
              <w:pStyle w:val="Compact"/>
            </w:pPr>
            <w:r>
              <w:t xml:space="preserve">4096</w:t>
            </w:r>
          </w:p>
        </w:tc>
      </w:tr>
    </w:tbl>
    <w:bookmarkEnd w:id="126"/>
    <w:bookmarkStart w:id="180" w:name="core-methodology-narrative"/>
    <w:p>
      <w:pPr>
        <w:pStyle w:val="Heading3"/>
      </w:pPr>
      <w:r>
        <w:t xml:space="preserve">4.3 Core methodology narrative</w:t>
      </w:r>
    </w:p>
    <w:p>
      <w:pPr>
        <w:pStyle w:val="FirstParagraph"/>
      </w:pPr>
      <w:r>
        <w:t xml:space="preserve">The methodology interleaves</w:t>
      </w:r>
      <w:r>
        <w:t xml:space="preserve"> </w:t>
      </w:r>
      <w:r>
        <w:rPr>
          <w:b/>
          <w:bCs/>
        </w:rPr>
        <w:t xml:space="preserve">learned</w:t>
      </w:r>
      <w:r>
        <w:t xml:space="preserve"> </w:t>
      </w:r>
      <w:r>
        <w:t xml:space="preserve">generation with</w:t>
      </w:r>
      <w:r>
        <w:t xml:space="preserve"> </w:t>
      </w:r>
      <w:r>
        <w:rPr>
          <w:b/>
          <w:bCs/>
        </w:rPr>
        <w:t xml:space="preserve">deterministic</w:t>
      </w:r>
      <w:r>
        <w:t xml:space="preserve"> </w:t>
      </w:r>
      <w:r>
        <w:t xml:space="preserve">repair. The following figures summarize architecture, training flow, adaptation concept, runtime interactions, post-processing, wrapper construction, evaluation packaging, and deployment.</w:t>
      </w:r>
    </w:p>
    <w:p>
      <w:pPr>
        <w:pStyle w:val="BodyText"/>
      </w:pPr>
      <w:r>
        <w:rPr>
          <w:b/>
          <w:bCs/>
        </w:rPr>
        <w:t xml:space="preserve">Fig. 4.1 — End-to-end methodology overview.</w:t>
      </w:r>
    </w:p>
    <w:p>
      <w:pPr>
        <w:pStyle w:val="CaptionedFigure"/>
      </w:pPr>
      <w:r>
        <w:drawing>
          <wp:inline>
            <wp:extent cx="4709160" cy="10235434"/>
            <wp:effectExtent b="0" l="0" r="0" t="0"/>
            <wp:docPr descr="Figure 11 — diagram" title="" id="128" name="Picture"/>
            <a:graphic>
              <a:graphicData uri="http://schemas.openxmlformats.org/drawingml/2006/picture">
                <pic:pic>
                  <pic:nvPicPr>
                    <pic:cNvPr descr="figure_11.png" id="129" name="Picture"/>
                    <pic:cNvPicPr>
                      <a:picLocks noChangeArrowheads="1" noChangeAspect="1"/>
                    </pic:cNvPicPr>
                  </pic:nvPicPr>
                  <pic:blipFill>
                    <a:blip r:embed="rId127"/>
                    <a:stretch>
                      <a:fillRect/>
                    </a:stretch>
                  </pic:blipFill>
                  <pic:spPr bwMode="auto">
                    <a:xfrm>
                      <a:off x="0" y="0"/>
                      <a:ext cx="4709160" cy="10235434"/>
                    </a:xfrm>
                    <a:prstGeom prst="rect">
                      <a:avLst/>
                    </a:prstGeom>
                    <a:noFill/>
                    <a:ln w="9525">
                      <a:noFill/>
                      <a:headEnd/>
                      <a:tailEnd/>
                    </a:ln>
                  </pic:spPr>
                </pic:pic>
              </a:graphicData>
            </a:graphic>
          </wp:inline>
        </w:drawing>
      </w:r>
    </w:p>
    <w:p>
      <w:pPr>
        <w:pStyle w:val="ImageCaption"/>
      </w:pPr>
      <w:r>
        <w:t xml:space="preserve">Figure 11 — diagram</w:t>
      </w:r>
    </w:p>
    <w:p>
      <w:pPr>
        <w:pStyle w:val="BodyText"/>
      </w:pPr>
      <w:r>
        <w:rPr>
          <w:b/>
          <w:bCs/>
        </w:rPr>
        <w:t xml:space="preserve">Fig. 4.2 — Dataset and training flow.</w:t>
      </w:r>
    </w:p>
    <w:p>
      <w:pPr>
        <w:pStyle w:val="CaptionedFigure"/>
      </w:pPr>
      <w:r>
        <w:drawing>
          <wp:inline>
            <wp:extent cx="4709160" cy="321939"/>
            <wp:effectExtent b="0" l="0" r="0" t="0"/>
            <wp:docPr descr="Figure 12 — diagram" title="" id="131" name="Picture"/>
            <a:graphic>
              <a:graphicData uri="http://schemas.openxmlformats.org/drawingml/2006/picture">
                <pic:pic>
                  <pic:nvPicPr>
                    <pic:cNvPr descr="figure_12.png" id="132" name="Picture"/>
                    <pic:cNvPicPr>
                      <a:picLocks noChangeArrowheads="1" noChangeAspect="1"/>
                    </pic:cNvPicPr>
                  </pic:nvPicPr>
                  <pic:blipFill>
                    <a:blip r:embed="rId130"/>
                    <a:stretch>
                      <a:fillRect/>
                    </a:stretch>
                  </pic:blipFill>
                  <pic:spPr bwMode="auto">
                    <a:xfrm>
                      <a:off x="0" y="0"/>
                      <a:ext cx="4709160" cy="321939"/>
                    </a:xfrm>
                    <a:prstGeom prst="rect">
                      <a:avLst/>
                    </a:prstGeom>
                    <a:noFill/>
                    <a:ln w="9525">
                      <a:noFill/>
                      <a:headEnd/>
                      <a:tailEnd/>
                    </a:ln>
                  </pic:spPr>
                </pic:pic>
              </a:graphicData>
            </a:graphic>
          </wp:inline>
        </w:drawing>
      </w:r>
    </w:p>
    <w:p>
      <w:pPr>
        <w:pStyle w:val="ImageCaption"/>
      </w:pPr>
      <w:r>
        <w:t xml:space="preserve">Figure 12 — diagram</w:t>
      </w:r>
    </w:p>
    <w:p>
      <w:pPr>
        <w:pStyle w:val="BodyText"/>
      </w:pPr>
      <w:r>
        <w:rPr>
          <w:b/>
          <w:bCs/>
        </w:rPr>
        <w:t xml:space="preserve">Fig. 4.3 — QLoRA adaptation (conceptual).</w:t>
      </w:r>
    </w:p>
    <w:p>
      <w:pPr>
        <w:pStyle w:val="CaptionedFigure"/>
      </w:pPr>
      <w:r>
        <w:drawing>
          <wp:inline>
            <wp:extent cx="4709160" cy="1278334"/>
            <wp:effectExtent b="0" l="0" r="0" t="0"/>
            <wp:docPr descr="Figure 13 — diagram" title="" id="134" name="Picture"/>
            <a:graphic>
              <a:graphicData uri="http://schemas.openxmlformats.org/drawingml/2006/picture">
                <pic:pic>
                  <pic:nvPicPr>
                    <pic:cNvPr descr="figure_13.png" id="135" name="Picture"/>
                    <pic:cNvPicPr>
                      <a:picLocks noChangeArrowheads="1" noChangeAspect="1"/>
                    </pic:cNvPicPr>
                  </pic:nvPicPr>
                  <pic:blipFill>
                    <a:blip r:embed="rId133"/>
                    <a:stretch>
                      <a:fillRect/>
                    </a:stretch>
                  </pic:blipFill>
                  <pic:spPr bwMode="auto">
                    <a:xfrm>
                      <a:off x="0" y="0"/>
                      <a:ext cx="4709160" cy="1278334"/>
                    </a:xfrm>
                    <a:prstGeom prst="rect">
                      <a:avLst/>
                    </a:prstGeom>
                    <a:noFill/>
                    <a:ln w="9525">
                      <a:noFill/>
                      <a:headEnd/>
                      <a:tailEnd/>
                    </a:ln>
                  </pic:spPr>
                </pic:pic>
              </a:graphicData>
            </a:graphic>
          </wp:inline>
        </w:drawing>
      </w:r>
    </w:p>
    <w:p>
      <w:pPr>
        <w:pStyle w:val="ImageCaption"/>
      </w:pPr>
      <w:r>
        <w:t xml:space="preserve">Figure 13 — diagram</w:t>
      </w:r>
    </w:p>
    <w:p>
      <w:pPr>
        <w:pStyle w:val="BodyText"/>
      </w:pPr>
      <w:r>
        <w:rPr>
          <w:b/>
          <w:bCs/>
        </w:rPr>
        <w:t xml:space="preserve">Fig. 4.4 — Inference sequence (demonstration path).</w:t>
      </w:r>
    </w:p>
    <w:p>
      <w:pPr>
        <w:pStyle w:val="CaptionedFigure"/>
      </w:pPr>
      <w:r>
        <w:drawing>
          <wp:inline>
            <wp:extent cx="4709160" cy="2417980"/>
            <wp:effectExtent b="0" l="0" r="0" t="0"/>
            <wp:docPr descr="Figure 14 — diagram" title="" id="137" name="Picture"/>
            <a:graphic>
              <a:graphicData uri="http://schemas.openxmlformats.org/drawingml/2006/picture">
                <pic:pic>
                  <pic:nvPicPr>
                    <pic:cNvPr descr="figure_14.png" id="138" name="Picture"/>
                    <pic:cNvPicPr>
                      <a:picLocks noChangeArrowheads="1" noChangeAspect="1"/>
                    </pic:cNvPicPr>
                  </pic:nvPicPr>
                  <pic:blipFill>
                    <a:blip r:embed="rId136"/>
                    <a:stretch>
                      <a:fillRect/>
                    </a:stretch>
                  </pic:blipFill>
                  <pic:spPr bwMode="auto">
                    <a:xfrm>
                      <a:off x="0" y="0"/>
                      <a:ext cx="4709160" cy="2417980"/>
                    </a:xfrm>
                    <a:prstGeom prst="rect">
                      <a:avLst/>
                    </a:prstGeom>
                    <a:noFill/>
                    <a:ln w="9525">
                      <a:noFill/>
                      <a:headEnd/>
                      <a:tailEnd/>
                    </a:ln>
                  </pic:spPr>
                </pic:pic>
              </a:graphicData>
            </a:graphic>
          </wp:inline>
        </w:drawing>
      </w:r>
    </w:p>
    <w:p>
      <w:pPr>
        <w:pStyle w:val="ImageCaption"/>
      </w:pPr>
      <w:r>
        <w:t xml:space="preserve">Figure 14 — diagram</w:t>
      </w:r>
    </w:p>
    <w:p>
      <w:pPr>
        <w:pStyle w:val="BodyText"/>
      </w:pPr>
      <w:r>
        <w:rPr>
          <w:b/>
          <w:bCs/>
        </w:rPr>
        <w:t xml:space="preserve">Fig. 4.5 — Post-processing stages.</w:t>
      </w:r>
    </w:p>
    <w:p>
      <w:pPr>
        <w:pStyle w:val="CaptionedFigure"/>
      </w:pPr>
      <w:r>
        <w:drawing>
          <wp:inline>
            <wp:extent cx="4709160" cy="223203"/>
            <wp:effectExtent b="0" l="0" r="0" t="0"/>
            <wp:docPr descr="Figure 15 — diagram" title="" id="140" name="Picture"/>
            <a:graphic>
              <a:graphicData uri="http://schemas.openxmlformats.org/drawingml/2006/picture">
                <pic:pic>
                  <pic:nvPicPr>
                    <pic:cNvPr descr="figure_15.png" id="141" name="Picture"/>
                    <pic:cNvPicPr>
                      <a:picLocks noChangeArrowheads="1" noChangeAspect="1"/>
                    </pic:cNvPicPr>
                  </pic:nvPicPr>
                  <pic:blipFill>
                    <a:blip r:embed="rId139"/>
                    <a:stretch>
                      <a:fillRect/>
                    </a:stretch>
                  </pic:blipFill>
                  <pic:spPr bwMode="auto">
                    <a:xfrm>
                      <a:off x="0" y="0"/>
                      <a:ext cx="4709160" cy="223203"/>
                    </a:xfrm>
                    <a:prstGeom prst="rect">
                      <a:avLst/>
                    </a:prstGeom>
                    <a:noFill/>
                    <a:ln w="9525">
                      <a:noFill/>
                      <a:headEnd/>
                      <a:tailEnd/>
                    </a:ln>
                  </pic:spPr>
                </pic:pic>
              </a:graphicData>
            </a:graphic>
          </wp:inline>
        </w:drawing>
      </w:r>
    </w:p>
    <w:p>
      <w:pPr>
        <w:pStyle w:val="ImageCaption"/>
      </w:pPr>
      <w:r>
        <w:t xml:space="preserve">Figure 15 — diagram</w:t>
      </w:r>
    </w:p>
    <w:p>
      <w:pPr>
        <w:pStyle w:val="BodyText"/>
      </w:pPr>
      <w:r>
        <w:rPr>
          <w:b/>
          <w:bCs/>
        </w:rPr>
        <w:t xml:space="preserve">Fig. 4.6 — Synchronous wrapper concept.</w:t>
      </w:r>
    </w:p>
    <w:p>
      <w:pPr>
        <w:pStyle w:val="CaptionedFigure"/>
      </w:pPr>
      <w:r>
        <w:drawing>
          <wp:inline>
            <wp:extent cx="4709160" cy="1982332"/>
            <wp:effectExtent b="0" l="0" r="0" t="0"/>
            <wp:docPr descr="Figure 16 — diagram" title="" id="143" name="Picture"/>
            <a:graphic>
              <a:graphicData uri="http://schemas.openxmlformats.org/drawingml/2006/picture">
                <pic:pic>
                  <pic:nvPicPr>
                    <pic:cNvPr descr="figure_16.png" id="144" name="Picture"/>
                    <pic:cNvPicPr>
                      <a:picLocks noChangeArrowheads="1" noChangeAspect="1"/>
                    </pic:cNvPicPr>
                  </pic:nvPicPr>
                  <pic:blipFill>
                    <a:blip r:embed="rId142"/>
                    <a:stretch>
                      <a:fillRect/>
                    </a:stretch>
                  </pic:blipFill>
                  <pic:spPr bwMode="auto">
                    <a:xfrm>
                      <a:off x="0" y="0"/>
                      <a:ext cx="4709160" cy="1982332"/>
                    </a:xfrm>
                    <a:prstGeom prst="rect">
                      <a:avLst/>
                    </a:prstGeom>
                    <a:noFill/>
                    <a:ln w="9525">
                      <a:noFill/>
                      <a:headEnd/>
                      <a:tailEnd/>
                    </a:ln>
                  </pic:spPr>
                </pic:pic>
              </a:graphicData>
            </a:graphic>
          </wp:inline>
        </w:drawing>
      </w:r>
    </w:p>
    <w:p>
      <w:pPr>
        <w:pStyle w:val="ImageCaption"/>
      </w:pPr>
      <w:r>
        <w:t xml:space="preserve">Figure 16 — diagram</w:t>
      </w:r>
    </w:p>
    <w:p>
      <w:pPr>
        <w:pStyle w:val="BodyText"/>
      </w:pPr>
      <w:r>
        <w:rPr>
          <w:b/>
          <w:bCs/>
        </w:rPr>
        <w:t xml:space="preserve">Fig. 4.7 — Evaluation harness outputs.</w:t>
      </w:r>
    </w:p>
    <w:p>
      <w:pPr>
        <w:pStyle w:val="CaptionedFigure"/>
      </w:pPr>
      <w:r>
        <w:drawing>
          <wp:inline>
            <wp:extent cx="4709160" cy="768842"/>
            <wp:effectExtent b="0" l="0" r="0" t="0"/>
            <wp:docPr descr="Figure 17 — diagram" title="" id="146" name="Picture"/>
            <a:graphic>
              <a:graphicData uri="http://schemas.openxmlformats.org/drawingml/2006/picture">
                <pic:pic>
                  <pic:nvPicPr>
                    <pic:cNvPr descr="figure_17.png" id="147" name="Picture"/>
                    <pic:cNvPicPr>
                      <a:picLocks noChangeArrowheads="1" noChangeAspect="1"/>
                    </pic:cNvPicPr>
                  </pic:nvPicPr>
                  <pic:blipFill>
                    <a:blip r:embed="rId145"/>
                    <a:stretch>
                      <a:fillRect/>
                    </a:stretch>
                  </pic:blipFill>
                  <pic:spPr bwMode="auto">
                    <a:xfrm>
                      <a:off x="0" y="0"/>
                      <a:ext cx="4709160" cy="768842"/>
                    </a:xfrm>
                    <a:prstGeom prst="rect">
                      <a:avLst/>
                    </a:prstGeom>
                    <a:noFill/>
                    <a:ln w="9525">
                      <a:noFill/>
                      <a:headEnd/>
                      <a:tailEnd/>
                    </a:ln>
                  </pic:spPr>
                </pic:pic>
              </a:graphicData>
            </a:graphic>
          </wp:inline>
        </w:drawing>
      </w:r>
    </w:p>
    <w:p>
      <w:pPr>
        <w:pStyle w:val="ImageCaption"/>
      </w:pPr>
      <w:r>
        <w:t xml:space="preserve">Figure 17 — diagram</w:t>
      </w:r>
    </w:p>
    <w:p>
      <w:pPr>
        <w:pStyle w:val="BodyText"/>
      </w:pPr>
      <w:r>
        <w:rPr>
          <w:b/>
          <w:bCs/>
        </w:rPr>
        <w:t xml:space="preserve">Fig. 4.8 — Deployment layers.</w:t>
      </w:r>
    </w:p>
    <w:p>
      <w:pPr>
        <w:pStyle w:val="CaptionedFigure"/>
      </w:pPr>
      <w:r>
        <w:drawing>
          <wp:inline>
            <wp:extent cx="4709160" cy="5535767"/>
            <wp:effectExtent b="0" l="0" r="0" t="0"/>
            <wp:docPr descr="Figure 18 — diagram" title="" id="149" name="Picture"/>
            <a:graphic>
              <a:graphicData uri="http://schemas.openxmlformats.org/drawingml/2006/picture">
                <pic:pic>
                  <pic:nvPicPr>
                    <pic:cNvPr descr="figure_18.png" id="150" name="Picture"/>
                    <pic:cNvPicPr>
                      <a:picLocks noChangeArrowheads="1" noChangeAspect="1"/>
                    </pic:cNvPicPr>
                  </pic:nvPicPr>
                  <pic:blipFill>
                    <a:blip r:embed="rId148"/>
                    <a:stretch>
                      <a:fillRect/>
                    </a:stretch>
                  </pic:blipFill>
                  <pic:spPr bwMode="auto">
                    <a:xfrm>
                      <a:off x="0" y="0"/>
                      <a:ext cx="4709160" cy="5535767"/>
                    </a:xfrm>
                    <a:prstGeom prst="rect">
                      <a:avLst/>
                    </a:prstGeom>
                    <a:noFill/>
                    <a:ln w="9525">
                      <a:noFill/>
                      <a:headEnd/>
                      <a:tailEnd/>
                    </a:ln>
                  </pic:spPr>
                </pic:pic>
              </a:graphicData>
            </a:graphic>
          </wp:inline>
        </w:drawing>
      </w:r>
    </w:p>
    <w:p>
      <w:pPr>
        <w:pStyle w:val="ImageCaption"/>
      </w:pPr>
      <w:r>
        <w:t xml:space="preserve">Figure 18 — diagram</w:t>
      </w:r>
    </w:p>
    <w:bookmarkStart w:id="151" w:name="dataset-curation-and-vert-record-schema"/>
    <w:p>
      <w:pPr>
        <w:pStyle w:val="Heading4"/>
      </w:pPr>
      <w:r>
        <w:t xml:space="preserve">4.4 Dataset curation and VERT record schema</w:t>
      </w:r>
    </w:p>
    <w:p>
      <w:pPr>
        <w:pStyle w:val="FirstParagraph"/>
      </w:pPr>
      <w:r>
        <w:t xml:space="preserve">This subsection discusses</w:t>
      </w:r>
      <w:r>
        <w:t xml:space="preserve"> </w:t>
      </w:r>
      <w:r>
        <w:rPr>
          <w:b/>
          <w:bCs/>
        </w:rPr>
        <w:t xml:space="preserve">Dataset curation and VERT record schema</w:t>
      </w:r>
      <w:r>
        <w:t xml:space="preserve"> </w:t>
      </w:r>
      <w:r>
        <w:t xml:space="preserve">as it relates to Chapter IV (methodology and implementation).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Dataset curation and VERT record schema</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51"/>
    <w:bookmarkStart w:id="152" w:name="X11ebdf215880fd982b349f79d6d0aa892865408"/>
    <w:p>
      <w:pPr>
        <w:pStyle w:val="Heading4"/>
      </w:pPr>
      <w:r>
        <w:t xml:space="preserve">4.5 Train/validation partitioning and leakage control</w:t>
      </w:r>
    </w:p>
    <w:p>
      <w:pPr>
        <w:pStyle w:val="FirstParagraph"/>
      </w:pPr>
      <w:r>
        <w:t xml:space="preserve">This subsection discusses</w:t>
      </w:r>
      <w:r>
        <w:t xml:space="preserve"> </w:t>
      </w:r>
      <w:r>
        <w:rPr>
          <w:b/>
          <w:bCs/>
        </w:rPr>
        <w:t xml:space="preserve">Train/validation partitioning and leakage control</w:t>
      </w:r>
      <w:r>
        <w:t xml:space="preserve"> </w:t>
      </w:r>
      <w:r>
        <w:t xml:space="preserve">as it relates to Chapter IV (methodology and implementation).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Train/validation partitioning and leakage control</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52"/>
    <w:bookmarkStart w:id="153" w:name="X63f416445d87bc9257af82a81a84e75b6a539d4"/>
    <w:p>
      <w:pPr>
        <w:pStyle w:val="Heading4"/>
      </w:pPr>
      <w:r>
        <w:t xml:space="preserve">4.6 Prompt design and instruction–response alignment</w:t>
      </w:r>
    </w:p>
    <w:p>
      <w:pPr>
        <w:pStyle w:val="FirstParagraph"/>
      </w:pPr>
      <w:r>
        <w:t xml:space="preserve">This subsection discusses</w:t>
      </w:r>
      <w:r>
        <w:t xml:space="preserve"> </w:t>
      </w:r>
      <w:r>
        <w:rPr>
          <w:b/>
          <w:bCs/>
        </w:rPr>
        <w:t xml:space="preserve">Prompt design and instruction–response alignment</w:t>
      </w:r>
      <w:r>
        <w:t xml:space="preserve"> </w:t>
      </w:r>
      <w:r>
        <w:t xml:space="preserve">as it relates to Chapter IV (methodology and implementation).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Prompt design and instruction–response alignment</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53"/>
    <w:bookmarkStart w:id="154" w:name="X602394d82466276678e7d06e5641e8aa89b05c0"/>
    <w:p>
      <w:pPr>
        <w:pStyle w:val="Heading4"/>
      </w:pPr>
      <w:r>
        <w:t xml:space="preserve">4.7 Tokenization effects on hardware identifiers</w:t>
      </w:r>
    </w:p>
    <w:p>
      <w:pPr>
        <w:pStyle w:val="FirstParagraph"/>
      </w:pPr>
      <w:r>
        <w:t xml:space="preserve">This subsection discusses</w:t>
      </w:r>
      <w:r>
        <w:t xml:space="preserve"> </w:t>
      </w:r>
      <w:r>
        <w:rPr>
          <w:b/>
          <w:bCs/>
        </w:rPr>
        <w:t xml:space="preserve">Tokenization effects on hardware identifiers</w:t>
      </w:r>
      <w:r>
        <w:t xml:space="preserve"> </w:t>
      </w:r>
      <w:r>
        <w:t xml:space="preserve">as it relates to Chapter IV (methodology and implementation).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Tokenization effects on hardware identifiers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54"/>
    <w:bookmarkStart w:id="155" w:name="Xa59b4a22ac8526024ac621586ff013c927f4ea1"/>
    <w:p>
      <w:pPr>
        <w:pStyle w:val="Heading4"/>
      </w:pPr>
      <w:r>
        <w:t xml:space="preserve">4.8 LoRA adapter placement and trainable blocks</w:t>
      </w:r>
    </w:p>
    <w:p>
      <w:pPr>
        <w:pStyle w:val="FirstParagraph"/>
      </w:pPr>
      <w:r>
        <w:t xml:space="preserve">This subsection discusses</w:t>
      </w:r>
      <w:r>
        <w:t xml:space="preserve"> </w:t>
      </w:r>
      <w:r>
        <w:rPr>
          <w:b/>
          <w:bCs/>
        </w:rPr>
        <w:t xml:space="preserve">LoRA adapter placement and trainable blocks</w:t>
      </w:r>
      <w:r>
        <w:t xml:space="preserve"> </w:t>
      </w:r>
      <w:r>
        <w:t xml:space="preserve">as it relates to Chapter IV (methodology and implementation).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LoRA adapter placement and trainable blocks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55"/>
    <w:bookmarkStart w:id="156" w:name="X12b1d0b8ad06395688c4fe74a655f8f99dcc93a"/>
    <w:p>
      <w:pPr>
        <w:pStyle w:val="Heading4"/>
      </w:pPr>
      <w:r>
        <w:t xml:space="preserve">4.9 Optimizer choice and learning-rate schedules</w:t>
      </w:r>
    </w:p>
    <w:p>
      <w:pPr>
        <w:pStyle w:val="FirstParagraph"/>
      </w:pPr>
      <w:r>
        <w:t xml:space="preserve">This subsection discusses</w:t>
      </w:r>
      <w:r>
        <w:t xml:space="preserve"> </w:t>
      </w:r>
      <w:r>
        <w:rPr>
          <w:b/>
          <w:bCs/>
        </w:rPr>
        <w:t xml:space="preserve">Optimizer choice and learning-rate schedules</w:t>
      </w:r>
      <w:r>
        <w:t xml:space="preserve"> </w:t>
      </w:r>
      <w:r>
        <w:t xml:space="preserve">as it relates to Chapter IV (methodology and implementation).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Optimizer choice and learning-rate schedules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56"/>
    <w:bookmarkStart w:id="157" w:name="X4568abd346312e9e42b8bb8b3001ccbdb57cc1e"/>
    <w:p>
      <w:pPr>
        <w:pStyle w:val="Heading4"/>
      </w:pPr>
      <w:r>
        <w:t xml:space="preserve">4.10 Gradient accumulation and effective batch size</w:t>
      </w:r>
    </w:p>
    <w:p>
      <w:pPr>
        <w:pStyle w:val="FirstParagraph"/>
      </w:pPr>
      <w:r>
        <w:t xml:space="preserve">This subsection discusses</w:t>
      </w:r>
      <w:r>
        <w:t xml:space="preserve"> </w:t>
      </w:r>
      <w:r>
        <w:rPr>
          <w:b/>
          <w:bCs/>
        </w:rPr>
        <w:t xml:space="preserve">Gradient accumulation and effective batch size</w:t>
      </w:r>
      <w:r>
        <w:t xml:space="preserve"> </w:t>
      </w:r>
      <w:r>
        <w:t xml:space="preserve">as it relates to Chapter IV (methodology and implementation).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Gradient accumulation and effective batch size</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57"/>
    <w:bookmarkStart w:id="158" w:name="mixed-precision-and-numerical-stability"/>
    <w:p>
      <w:pPr>
        <w:pStyle w:val="Heading4"/>
      </w:pPr>
      <w:r>
        <w:t xml:space="preserve">4.11 Mixed precision and numerical stability</w:t>
      </w:r>
    </w:p>
    <w:p>
      <w:pPr>
        <w:pStyle w:val="FirstParagraph"/>
      </w:pPr>
      <w:r>
        <w:t xml:space="preserve">This subsection discusses</w:t>
      </w:r>
      <w:r>
        <w:t xml:space="preserve"> </w:t>
      </w:r>
      <w:r>
        <w:rPr>
          <w:b/>
          <w:bCs/>
        </w:rPr>
        <w:t xml:space="preserve">Mixed precision and numerical stability</w:t>
      </w:r>
      <w:r>
        <w:t xml:space="preserve"> </w:t>
      </w:r>
      <w:r>
        <w:t xml:space="preserve">as it relates to Chapter IV (methodology and implementation).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Mixed precision and numerical stability</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58"/>
    <w:bookmarkStart w:id="159" w:name="X76bd2d1e0176d0e186a25c7d020daa3590b14e4"/>
    <w:p>
      <w:pPr>
        <w:pStyle w:val="Heading4"/>
      </w:pPr>
      <w:r>
        <w:t xml:space="preserve">4.12 Checkpoint selection and early stopping heuristics</w:t>
      </w:r>
    </w:p>
    <w:p>
      <w:pPr>
        <w:pStyle w:val="FirstParagraph"/>
      </w:pPr>
      <w:r>
        <w:t xml:space="preserve">This subsection discusses</w:t>
      </w:r>
      <w:r>
        <w:t xml:space="preserve"> </w:t>
      </w:r>
      <w:r>
        <w:rPr>
          <w:b/>
          <w:bCs/>
        </w:rPr>
        <w:t xml:space="preserve">Checkpoint selection and early stopping heuristics</w:t>
      </w:r>
      <w:r>
        <w:t xml:space="preserve"> </w:t>
      </w:r>
      <w:r>
        <w:t xml:space="preserve">as it relates to Chapter IV (methodology and implementation).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Checkpoint selection and early stopping heuristics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59"/>
    <w:bookmarkStart w:id="160" w:name="X21a1a2f0154484c910a51befb65b646d7793025"/>
    <w:p>
      <w:pPr>
        <w:pStyle w:val="Heading4"/>
      </w:pPr>
      <w:r>
        <w:t xml:space="preserve">4.13 Greedy decoding versus sampling for verification</w:t>
      </w:r>
    </w:p>
    <w:p>
      <w:pPr>
        <w:pStyle w:val="FirstParagraph"/>
      </w:pPr>
      <w:r>
        <w:t xml:space="preserve">This subsection discusses</w:t>
      </w:r>
      <w:r>
        <w:t xml:space="preserve"> </w:t>
      </w:r>
      <w:r>
        <w:rPr>
          <w:b/>
          <w:bCs/>
        </w:rPr>
        <w:t xml:space="preserve">Greedy decoding versus sampling for verification</w:t>
      </w:r>
      <w:r>
        <w:t xml:space="preserve"> </w:t>
      </w:r>
      <w:r>
        <w:t xml:space="preserve">as it relates to Chapter IV (methodology and implementation).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Greedy decoding versus sampling for verification</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60"/>
    <w:bookmarkStart w:id="161" w:name="X8b611a087b85382de1bc022c732889dff02bdc9"/>
    <w:p>
      <w:pPr>
        <w:pStyle w:val="Heading4"/>
      </w:pPr>
      <w:r>
        <w:t xml:space="preserve">4.14 Assertion extraction from verbose model outputs</w:t>
      </w:r>
    </w:p>
    <w:p>
      <w:pPr>
        <w:pStyle w:val="FirstParagraph"/>
      </w:pPr>
      <w:r>
        <w:t xml:space="preserve">This subsection discusses</w:t>
      </w:r>
      <w:r>
        <w:t xml:space="preserve"> </w:t>
      </w:r>
      <w:r>
        <w:rPr>
          <w:b/>
          <w:bCs/>
        </w:rPr>
        <w:t xml:space="preserve">Assertion extraction from verbose model outputs</w:t>
      </w:r>
      <w:r>
        <w:t xml:space="preserve"> </w:t>
      </w:r>
      <w:r>
        <w:t xml:space="preserve">as it relates to Chapter IV (methodology and implementation).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Assertion extraction from verbose model outputs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61"/>
    <w:bookmarkStart w:id="162" w:name="X58cafb96c7ffc15ef79e67c1eb2585522b5f096"/>
    <w:p>
      <w:pPr>
        <w:pStyle w:val="Heading4"/>
      </w:pPr>
      <w:r>
        <w:t xml:space="preserve">4.15 Syntax sanitization for formal front ends</w:t>
      </w:r>
    </w:p>
    <w:p>
      <w:pPr>
        <w:pStyle w:val="FirstParagraph"/>
      </w:pPr>
      <w:r>
        <w:t xml:space="preserve">This subsection discusses</w:t>
      </w:r>
      <w:r>
        <w:t xml:space="preserve"> </w:t>
      </w:r>
      <w:r>
        <w:rPr>
          <w:b/>
          <w:bCs/>
        </w:rPr>
        <w:t xml:space="preserve">Syntax sanitization for formal front ends</w:t>
      </w:r>
      <w:r>
        <w:t xml:space="preserve"> </w:t>
      </w:r>
      <w:r>
        <w:t xml:space="preserve">as it relates to Chapter IV (methodology and implementation).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Syntax sanitization for formal front ends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62"/>
    <w:bookmarkStart w:id="163" w:name="Xe4a94a303663c24cb693109632864dbc60e336c"/>
    <w:p>
      <w:pPr>
        <w:pStyle w:val="Heading4"/>
      </w:pPr>
      <w:r>
        <w:t xml:space="preserve">4.16 Temporal lowering and tool dialect mismatches</w:t>
      </w:r>
    </w:p>
    <w:p>
      <w:pPr>
        <w:pStyle w:val="FirstParagraph"/>
      </w:pPr>
      <w:r>
        <w:t xml:space="preserve">This subsection discusses</w:t>
      </w:r>
      <w:r>
        <w:t xml:space="preserve"> </w:t>
      </w:r>
      <w:r>
        <w:rPr>
          <w:b/>
          <w:bCs/>
        </w:rPr>
        <w:t xml:space="preserve">Temporal lowering and tool dialect mismatches</w:t>
      </w:r>
      <w:r>
        <w:t xml:space="preserve"> </w:t>
      </w:r>
      <w:r>
        <w:t xml:space="preserve">as it relates to Chapter IV (methodology and implementation).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Temporal lowering and tool dialect mismatches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63"/>
    <w:bookmarkStart w:id="164" w:name="X9626c7113ab8e4fa106e7a5fbfccbc8a81b94c8"/>
    <w:p>
      <w:pPr>
        <w:pStyle w:val="Heading4"/>
      </w:pPr>
      <w:r>
        <w:t xml:space="preserve">4.17 Greedy subset selection under parse constraints</w:t>
      </w:r>
    </w:p>
    <w:p>
      <w:pPr>
        <w:pStyle w:val="FirstParagraph"/>
      </w:pPr>
      <w:r>
        <w:t xml:space="preserve">This subsection discusses</w:t>
      </w:r>
      <w:r>
        <w:t xml:space="preserve"> </w:t>
      </w:r>
      <w:r>
        <w:rPr>
          <w:b/>
          <w:bCs/>
        </w:rPr>
        <w:t xml:space="preserve">Greedy subset selection under parse constraints</w:t>
      </w:r>
      <w:r>
        <w:t xml:space="preserve"> </w:t>
      </w:r>
      <w:r>
        <w:t xml:space="preserve">as it relates to Chapter IV (methodology and implementation).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Greedy subset selection under parse constraints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64"/>
    <w:bookmarkStart w:id="165" w:name="X28cf3294d57f72daaa6ffb708d714065976143b"/>
    <w:p>
      <w:pPr>
        <w:pStyle w:val="Heading4"/>
      </w:pPr>
      <w:r>
        <w:t xml:space="preserve">4.18 Signal inference from RTL and assertion text</w:t>
      </w:r>
    </w:p>
    <w:p>
      <w:pPr>
        <w:pStyle w:val="FirstParagraph"/>
      </w:pPr>
      <w:r>
        <w:t xml:space="preserve">This subsection discusses</w:t>
      </w:r>
      <w:r>
        <w:t xml:space="preserve"> </w:t>
      </w:r>
      <w:r>
        <w:rPr>
          <w:b/>
          <w:bCs/>
        </w:rPr>
        <w:t xml:space="preserve">Signal inference from RTL and assertion text</w:t>
      </w:r>
      <w:r>
        <w:t xml:space="preserve"> </w:t>
      </w:r>
      <w:r>
        <w:t xml:space="preserve">as it relates to Chapter IV (methodology and implementation).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Signal inference from RTL and assertion text</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65"/>
    <w:bookmarkStart w:id="166" w:name="X9334b9b3d2f744e52fed7fd969db5d47dfd2ba1"/>
    <w:p>
      <w:pPr>
        <w:pStyle w:val="Heading4"/>
      </w:pPr>
      <w:r>
        <w:t xml:space="preserve">4.19 Keyword filtering and false signal candidates</w:t>
      </w:r>
    </w:p>
    <w:p>
      <w:pPr>
        <w:pStyle w:val="FirstParagraph"/>
      </w:pPr>
      <w:r>
        <w:t xml:space="preserve">This subsection discusses</w:t>
      </w:r>
      <w:r>
        <w:t xml:space="preserve"> </w:t>
      </w:r>
      <w:r>
        <w:rPr>
          <w:b/>
          <w:bCs/>
        </w:rPr>
        <w:t xml:space="preserve">Keyword filtering and false signal candidates</w:t>
      </w:r>
      <w:r>
        <w:t xml:space="preserve"> </w:t>
      </w:r>
      <w:r>
        <w:t xml:space="preserve">as it relates to Chapter IV (methodology and implementation).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Keyword filtering and false signal candidates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66"/>
    <w:bookmarkStart w:id="167" w:name="X41cf259a0d79ba08edcf161dfbabcedec2aee4a"/>
    <w:p>
      <w:pPr>
        <w:pStyle w:val="Heading4"/>
      </w:pPr>
      <w:r>
        <w:t xml:space="preserve">4.20 Synchronous harness construction and two-phase updates</w:t>
      </w:r>
    </w:p>
    <w:p>
      <w:pPr>
        <w:pStyle w:val="FirstParagraph"/>
      </w:pPr>
      <w:r>
        <w:t xml:space="preserve">This subsection discusses</w:t>
      </w:r>
      <w:r>
        <w:t xml:space="preserve"> </w:t>
      </w:r>
      <w:r>
        <w:rPr>
          <w:b/>
          <w:bCs/>
        </w:rPr>
        <w:t xml:space="preserve">Synchronous harness construction and two-phase updates</w:t>
      </w:r>
      <w:r>
        <w:t xml:space="preserve"> </w:t>
      </w:r>
      <w:r>
        <w:t xml:space="preserve">as it relates to Chapter IV (methodology and implementation).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Synchronous harness construction and two-phase updates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67"/>
    <w:bookmarkStart w:id="168" w:name="Xa9ba157cb4c5a64616c50121955bf1607fb433d"/>
    <w:p>
      <w:pPr>
        <w:pStyle w:val="Heading4"/>
      </w:pPr>
      <w:r>
        <w:t xml:space="preserve">4.21 Combinational harness construction with always_comb semantics</w:t>
      </w:r>
    </w:p>
    <w:p>
      <w:pPr>
        <w:pStyle w:val="FirstParagraph"/>
      </w:pPr>
      <w:r>
        <w:t xml:space="preserve">This subsection discusses</w:t>
      </w:r>
      <w:r>
        <w:t xml:space="preserve"> </w:t>
      </w:r>
      <w:r>
        <w:rPr>
          <w:b/>
          <w:bCs/>
        </w:rPr>
        <w:t xml:space="preserve">Combinational harness construction with always_comb semantics</w:t>
      </w:r>
      <w:r>
        <w:t xml:space="preserve"> </w:t>
      </w:r>
      <w:r>
        <w:t xml:space="preserve">as it relates to Chapter IV (methodology and implementation).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Combinational harness construction with always_comb semantics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68"/>
    <w:bookmarkStart w:id="169" w:name="X670a85a46cb70566a58eea024bbbb67a0fdf71c"/>
    <w:p>
      <w:pPr>
        <w:pStyle w:val="Heading4"/>
      </w:pPr>
      <w:r>
        <w:t xml:space="preserve">4.22 First-cycle gating and vacuity mitigation</w:t>
      </w:r>
    </w:p>
    <w:p>
      <w:pPr>
        <w:pStyle w:val="FirstParagraph"/>
      </w:pPr>
      <w:r>
        <w:t xml:space="preserve">This subsection discusses</w:t>
      </w:r>
      <w:r>
        <w:t xml:space="preserve"> </w:t>
      </w:r>
      <w:r>
        <w:rPr>
          <w:b/>
          <w:bCs/>
        </w:rPr>
        <w:t xml:space="preserve">First-cycle gating and vacuity mitigation</w:t>
      </w:r>
      <w:r>
        <w:t xml:space="preserve"> </w:t>
      </w:r>
      <w:r>
        <w:t xml:space="preserve">as it relates to Chapter IV (methodology and implementation).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First-cycle gating and vacuity mitigation</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69"/>
    <w:bookmarkStart w:id="170" w:name="Xe337351f33ac8179b180bd5b81d00b949137d6e"/>
    <w:p>
      <w:pPr>
        <w:pStyle w:val="Heading4"/>
      </w:pPr>
      <w:r>
        <w:t xml:space="preserve">4.23 SymbiYosys engine configuration and proof depth</w:t>
      </w:r>
    </w:p>
    <w:p>
      <w:pPr>
        <w:pStyle w:val="FirstParagraph"/>
      </w:pPr>
      <w:r>
        <w:t xml:space="preserve">This subsection discusses</w:t>
      </w:r>
      <w:r>
        <w:t xml:space="preserve"> </w:t>
      </w:r>
      <w:r>
        <w:rPr>
          <w:b/>
          <w:bCs/>
        </w:rPr>
        <w:t xml:space="preserve">SymbiYosys engine configuration and proof depth</w:t>
      </w:r>
      <w:r>
        <w:t xml:space="preserve"> </w:t>
      </w:r>
      <w:r>
        <w:t xml:space="preserve">as it relates to Chapter IV (methodology and implementation).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SymbiYosys engine configuration and proof depth</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70"/>
    <w:bookmarkStart w:id="171" w:name="Xbd0b111cbe3b8b94e30944e3bf925a71a36fa14"/>
    <w:p>
      <w:pPr>
        <w:pStyle w:val="Heading4"/>
      </w:pPr>
      <w:r>
        <w:t xml:space="preserve">4.24 Per-case artifacts and regression packaging</w:t>
      </w:r>
    </w:p>
    <w:p>
      <w:pPr>
        <w:pStyle w:val="FirstParagraph"/>
      </w:pPr>
      <w:r>
        <w:t xml:space="preserve">This subsection discusses</w:t>
      </w:r>
      <w:r>
        <w:t xml:space="preserve"> </w:t>
      </w:r>
      <w:r>
        <w:rPr>
          <w:b/>
          <w:bCs/>
        </w:rPr>
        <w:t xml:space="preserve">Per-case artifacts and regression packaging</w:t>
      </w:r>
      <w:r>
        <w:t xml:space="preserve"> </w:t>
      </w:r>
      <w:r>
        <w:t xml:space="preserve">as it relates to Chapter IV (methodology and implementation).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Per-case artifacts and regression packaging</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71"/>
    <w:bookmarkStart w:id="172" w:name="Xaa84bb42b21166180b58cc99808025f5d2d00ea"/>
    <w:p>
      <w:pPr>
        <w:pStyle w:val="Heading4"/>
      </w:pPr>
      <w:r>
        <w:t xml:space="preserve">4.25 Web demonstration architecture and separation of concerns</w:t>
      </w:r>
    </w:p>
    <w:p>
      <w:pPr>
        <w:pStyle w:val="FirstParagraph"/>
      </w:pPr>
      <w:r>
        <w:t xml:space="preserve">This subsection discusses</w:t>
      </w:r>
      <w:r>
        <w:t xml:space="preserve"> </w:t>
      </w:r>
      <w:r>
        <w:rPr>
          <w:b/>
          <w:bCs/>
        </w:rPr>
        <w:t xml:space="preserve">Web demonstration architecture and separation of concerns</w:t>
      </w:r>
      <w:r>
        <w:t xml:space="preserve"> </w:t>
      </w:r>
      <w:r>
        <w:t xml:space="preserve">as it relates to Chapter IV (methodology and implementation).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Web demonstration architecture and separation of concerns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72"/>
    <w:bookmarkStart w:id="173" w:name="operational-security-for-proprietary-rtl"/>
    <w:p>
      <w:pPr>
        <w:pStyle w:val="Heading4"/>
      </w:pPr>
      <w:r>
        <w:t xml:space="preserve">4.26 Operational security for proprietary RTL</w:t>
      </w:r>
    </w:p>
    <w:p>
      <w:pPr>
        <w:pStyle w:val="FirstParagraph"/>
      </w:pPr>
      <w:r>
        <w:t xml:space="preserve">This subsection discusses</w:t>
      </w:r>
      <w:r>
        <w:t xml:space="preserve"> </w:t>
      </w:r>
      <w:r>
        <w:rPr>
          <w:b/>
          <w:bCs/>
        </w:rPr>
        <w:t xml:space="preserve">Operational security for proprietary RTL</w:t>
      </w:r>
      <w:r>
        <w:t xml:space="preserve"> </w:t>
      </w:r>
      <w:r>
        <w:t xml:space="preserve">as it relates to Chapter IV (methodology and implementation).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Operational security for proprietary RTL</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73"/>
    <w:bookmarkStart w:id="174" w:name="Xb84eb0087819753a0eedae2cc5199fcb9ce4405"/>
    <w:p>
      <w:pPr>
        <w:pStyle w:val="Heading4"/>
      </w:pPr>
      <w:r>
        <w:t xml:space="preserve">Chapter IV supplement — M1: Logging and experiment tracking practices</w:t>
      </w:r>
    </w:p>
    <w:p>
      <w:pPr>
        <w:pStyle w:val="FirstParagraph"/>
      </w:pPr>
      <w:r>
        <w:t xml:space="preserve">This subsection discusses</w:t>
      </w:r>
      <w:r>
        <w:t xml:space="preserve"> </w:t>
      </w:r>
      <w:r>
        <w:rPr>
          <w:b/>
          <w:bCs/>
        </w:rPr>
        <w:t xml:space="preserve">Logging and experiment tracking practices</w:t>
      </w:r>
      <w:r>
        <w:t xml:space="preserve"> </w:t>
      </w:r>
      <w:r>
        <w:t xml:space="preserve">as it relates to Chapter IV engineering practice.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Logging and experiment tracking practices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74"/>
    <w:bookmarkStart w:id="175" w:name="X856071945fcb0e73b05f86c8fb20c1c3ab54cbd"/>
    <w:p>
      <w:pPr>
        <w:pStyle w:val="Heading4"/>
      </w:pPr>
      <w:r>
        <w:t xml:space="preserve">Chapter IV supplement — M2: Version pinning for PyTorch and CUDA drivers</w:t>
      </w:r>
    </w:p>
    <w:p>
      <w:pPr>
        <w:pStyle w:val="FirstParagraph"/>
      </w:pPr>
      <w:r>
        <w:t xml:space="preserve">This subsection discusses</w:t>
      </w:r>
      <w:r>
        <w:t xml:space="preserve"> </w:t>
      </w:r>
      <w:r>
        <w:rPr>
          <w:b/>
          <w:bCs/>
        </w:rPr>
        <w:t xml:space="preserve">Version pinning for PyTorch and CUDA drivers</w:t>
      </w:r>
      <w:r>
        <w:t xml:space="preserve"> </w:t>
      </w:r>
      <w:r>
        <w:t xml:space="preserve">as it relates to Chapter IV engineering practice.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Version pinning for PyTorch and CUDA drivers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75"/>
    <w:bookmarkStart w:id="176" w:name="Xb7cffc01954d36f14ee1379c94a8529bc1ac775"/>
    <w:p>
      <w:pPr>
        <w:pStyle w:val="Heading4"/>
      </w:pPr>
      <w:r>
        <w:t xml:space="preserve">Chapter IV supplement — M3: Timeout policies for long-running formal jobs</w:t>
      </w:r>
    </w:p>
    <w:p>
      <w:pPr>
        <w:pStyle w:val="FirstParagraph"/>
      </w:pPr>
      <w:r>
        <w:t xml:space="preserve">This subsection discusses</w:t>
      </w:r>
      <w:r>
        <w:t xml:space="preserve"> </w:t>
      </w:r>
      <w:r>
        <w:rPr>
          <w:b/>
          <w:bCs/>
        </w:rPr>
        <w:t xml:space="preserve">Timeout policies for long-running formal jobs</w:t>
      </w:r>
      <w:r>
        <w:t xml:space="preserve"> </w:t>
      </w:r>
      <w:r>
        <w:t xml:space="preserve">as it relates to Chapter IV engineering practice.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Timeout policies for long-running formal jobs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76"/>
    <w:bookmarkStart w:id="177" w:name="X77b3ec98bd8e3714bf22ff902f258dbd7370e19"/>
    <w:p>
      <w:pPr>
        <w:pStyle w:val="Heading4"/>
      </w:pPr>
      <w:r>
        <w:t xml:space="preserve">Chapter IV supplement — M4: Unit tests for parsing and extraction</w:t>
      </w:r>
    </w:p>
    <w:p>
      <w:pPr>
        <w:pStyle w:val="FirstParagraph"/>
      </w:pPr>
      <w:r>
        <w:t xml:space="preserve">This subsection discusses</w:t>
      </w:r>
      <w:r>
        <w:t xml:space="preserve"> </w:t>
      </w:r>
      <w:r>
        <w:rPr>
          <w:b/>
          <w:bCs/>
        </w:rPr>
        <w:t xml:space="preserve">Unit tests for parsing and extraction</w:t>
      </w:r>
      <w:r>
        <w:t xml:space="preserve"> </w:t>
      </w:r>
      <w:r>
        <w:t xml:space="preserve">as it relates to Chapter IV engineering practice.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Unit tests for parsing and extraction</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77"/>
    <w:bookmarkStart w:id="178" w:name="Xdc7b482790503ce3411b4088c516dfb4638aa39"/>
    <w:p>
      <w:pPr>
        <w:pStyle w:val="Heading4"/>
      </w:pPr>
      <w:r>
        <w:t xml:space="preserve">Chapter IV supplement — M5: Continuous integration for evaluation scripts</w:t>
      </w:r>
    </w:p>
    <w:p>
      <w:pPr>
        <w:pStyle w:val="FirstParagraph"/>
      </w:pPr>
      <w:r>
        <w:t xml:space="preserve">This subsection discusses</w:t>
      </w:r>
      <w:r>
        <w:t xml:space="preserve"> </w:t>
      </w:r>
      <w:r>
        <w:rPr>
          <w:b/>
          <w:bCs/>
        </w:rPr>
        <w:t xml:space="preserve">Continuous integration for evaluation scripts</w:t>
      </w:r>
      <w:r>
        <w:t xml:space="preserve"> </w:t>
      </w:r>
      <w:r>
        <w:t xml:space="preserve">as it relates to Chapter IV engineering practice.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Continuous integration for evaluation scripts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78"/>
    <w:bookmarkStart w:id="179" w:name="X7ff06b6ca22fec159e0fb87a36537f72a4c914e"/>
    <w:p>
      <w:pPr>
        <w:pStyle w:val="Heading4"/>
      </w:pPr>
      <w:r>
        <w:t xml:space="preserve">Chapter IV supplement — M6: Checksum verification for datasets</w:t>
      </w:r>
    </w:p>
    <w:p>
      <w:pPr>
        <w:pStyle w:val="FirstParagraph"/>
      </w:pPr>
      <w:r>
        <w:t xml:space="preserve">This subsection discusses</w:t>
      </w:r>
      <w:r>
        <w:t xml:space="preserve"> </w:t>
      </w:r>
      <w:r>
        <w:rPr>
          <w:b/>
          <w:bCs/>
        </w:rPr>
        <w:t xml:space="preserve">Checksum verification for datasets</w:t>
      </w:r>
      <w:r>
        <w:t xml:space="preserve"> </w:t>
      </w:r>
      <w:r>
        <w:t xml:space="preserve">as it relates to Chapter IV engineering practice.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Checksum verification for datasets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79"/>
    <w:bookmarkEnd w:id="180"/>
    <w:bookmarkEnd w:id="181"/>
    <w:bookmarkEnd w:id="182"/>
    <w:bookmarkStart w:id="217" w:name="chapter-v"/>
    <w:p>
      <w:pPr>
        <w:pStyle w:val="Heading1"/>
      </w:pPr>
      <w:r>
        <w:t xml:space="preserve">CHAPTER V</w:t>
      </w:r>
    </w:p>
    <w:bookmarkStart w:id="216" w:name="chapter-5-results-and-discussion"/>
    <w:p>
      <w:pPr>
        <w:pStyle w:val="Heading2"/>
      </w:pPr>
      <w:r>
        <w:t xml:space="preserve">Chapter 5: Results and discussion</w:t>
      </w:r>
    </w:p>
    <w:bookmarkStart w:id="183" w:name="metrics-and-equation-for-gold-jaccard"/>
    <w:p>
      <w:pPr>
        <w:pStyle w:val="Heading3"/>
      </w:pPr>
      <w:r>
        <w:t xml:space="preserve">5.1 Metrics and equation for gold Jaccard</w:t>
      </w:r>
    </w:p>
    <w:p>
      <w:pPr>
        <w:pStyle w:val="FirstParagraph"/>
      </w:pPr>
      <w:r>
        <w:t xml:space="preserve">Let token sets for generated assertion text</w:t>
      </w:r>
      <w:r>
        <w:t xml:space="preserve"> </w:t>
      </w:r>
      <w:r>
        <w:rPr>
          <w:b/>
          <w:bCs/>
        </w:rPr>
        <w:t xml:space="preserve">A</w:t>
      </w:r>
      <w:r>
        <w:t xml:space="preserve"> </w:t>
      </w:r>
      <w:r>
        <w:t xml:space="preserve">and reference</w:t>
      </w:r>
      <w:r>
        <w:t xml:space="preserve"> </w:t>
      </w:r>
      <w:r>
        <w:rPr>
          <w:b/>
          <w:bCs/>
        </w:rPr>
        <w:t xml:space="preserve">B</w:t>
      </w:r>
      <w:r>
        <w:t xml:space="preserve"> </w:t>
      </w:r>
      <w:r>
        <w:t xml:space="preserve">be</w:t>
      </w:r>
      <w:r>
        <w:t xml:space="preserve"> </w:t>
      </w:r>
      <w:r>
        <w:rPr>
          <w:b/>
          <w:bCs/>
        </w:rPr>
        <w:t xml:space="preserve">T(A)</w:t>
      </w:r>
      <w:r>
        <w:t xml:space="preserve"> </w:t>
      </w:r>
      <w:r>
        <w:t xml:space="preserve">and</w:t>
      </w:r>
      <w:r>
        <w:t xml:space="preserve"> </w:t>
      </w:r>
      <w:r>
        <w:rPr>
          <w:b/>
          <w:bCs/>
        </w:rPr>
        <w:t xml:space="preserve">T(B)</w:t>
      </w:r>
      <w:r>
        <w:t xml:space="preserve">. The</w:t>
      </w:r>
      <w:r>
        <w:t xml:space="preserve"> </w:t>
      </w:r>
      <w:r>
        <w:rPr>
          <w:b/>
          <w:bCs/>
        </w:rPr>
        <w:t xml:space="preserve">gold Jaccard</w:t>
      </w:r>
      <w:r>
        <w:t xml:space="preserve"> </w:t>
      </w:r>
      <w:r>
        <w:t xml:space="preserve">similarity used in the evaluation manifest is</w:t>
      </w:r>
    </w:p>
    <w:p>
      <w:pPr>
        <w:pStyle w:val="BodyText"/>
      </w:pPr>
      <m:oMathPara>
        <m:oMathParaPr>
          <m:jc m:val="center"/>
        </m:oMathParaPr>
        <m:oMath>
          <m:sSub>
            <m:e>
              <m:r>
                <m:t>J</m:t>
              </m:r>
            </m:e>
            <m:sub>
              <m:r>
                <m:rPr>
                  <m:sty m:val="p"/>
                </m:rPr>
                <m:t>g</m:t>
              </m:r>
              <m:r>
                <m:rPr>
                  <m:sty m:val="p"/>
                </m:rPr>
                <m:t>o</m:t>
              </m:r>
              <m:r>
                <m:rPr>
                  <m:sty m:val="p"/>
                </m:rPr>
                <m:t>l</m:t>
              </m:r>
              <m:r>
                <m:rPr>
                  <m:sty m:val="p"/>
                </m:rPr>
                <m:t>d</m:t>
              </m:r>
            </m:sub>
          </m:sSub>
          <m:r>
            <m:rPr>
              <m:sty m:val="p"/>
            </m:rPr>
            <m:t>(</m:t>
          </m:r>
          <m:r>
            <m:t>A</m:t>
          </m:r>
          <m:r>
            <m:rPr>
              <m:sty m:val="p"/>
            </m:rPr>
            <m:t>,</m:t>
          </m:r>
          <m:r>
            <m:t>B</m:t>
          </m:r>
          <m:r>
            <m:rPr>
              <m:sty m:val="p"/>
            </m:rPr>
            <m:t>)</m:t>
          </m:r>
          <m:r>
            <m:rPr>
              <m:sty m:val="p"/>
            </m:rPr>
            <m:t>=</m:t>
          </m:r>
          <m:f>
            <m:fPr>
              <m:type m:val="bar"/>
            </m:fPr>
            <m:num>
              <m:r>
                <m:rPr>
                  <m:sty m:val="p"/>
                </m:rPr>
                <m:t>|</m:t>
              </m:r>
              <m:r>
                <m:t>T</m:t>
              </m:r>
              <m:r>
                <m:rPr>
                  <m:sty m:val="p"/>
                </m:rPr>
                <m:t>(</m:t>
              </m:r>
              <m:r>
                <m:t>A</m:t>
              </m:r>
              <m:r>
                <m:rPr>
                  <m:sty m:val="p"/>
                </m:rPr>
                <m:t>)</m:t>
              </m:r>
              <m:r>
                <m:rPr>
                  <m:sty m:val="p"/>
                </m:rPr>
                <m:t>∩</m:t>
              </m:r>
              <m:r>
                <m:t>T</m:t>
              </m:r>
              <m:r>
                <m:rPr>
                  <m:sty m:val="p"/>
                </m:rPr>
                <m:t>(</m:t>
              </m:r>
              <m:r>
                <m:t>B</m:t>
              </m:r>
              <m:r>
                <m:rPr>
                  <m:sty m:val="p"/>
                </m:rPr>
                <m:t>)</m:t>
              </m:r>
              <m:r>
                <m:rPr>
                  <m:sty m:val="p"/>
                </m:rPr>
                <m:t>|</m:t>
              </m:r>
            </m:num>
            <m:den>
              <m:r>
                <m:rPr>
                  <m:sty m:val="p"/>
                </m:rPr>
                <m:t>|</m:t>
              </m:r>
              <m:r>
                <m:t>T</m:t>
              </m:r>
              <m:r>
                <m:rPr>
                  <m:sty m:val="p"/>
                </m:rPr>
                <m:t>(</m:t>
              </m:r>
              <m:r>
                <m:t>A</m:t>
              </m:r>
              <m:r>
                <m:rPr>
                  <m:sty m:val="p"/>
                </m:rPr>
                <m:t>)</m:t>
              </m:r>
              <m:r>
                <m:rPr>
                  <m:sty m:val="p"/>
                </m:rPr>
                <m:t>∪</m:t>
              </m:r>
              <m:r>
                <m:t>T</m:t>
              </m:r>
              <m:r>
                <m:rPr>
                  <m:sty m:val="p"/>
                </m:rPr>
                <m:t>(</m:t>
              </m:r>
              <m:r>
                <m:t>B</m:t>
              </m:r>
              <m:r>
                <m:rPr>
                  <m:sty m:val="p"/>
                </m:rPr>
                <m:t>)</m:t>
              </m:r>
              <m:r>
                <m:rPr>
                  <m:sty m:val="p"/>
                </m:rPr>
                <m:t>|</m:t>
              </m:r>
            </m:den>
          </m:f>
          <m:r>
            <m:rPr>
              <m:sty m:val="p"/>
            </m:rPr>
            <m:t>.</m:t>
          </m:r>
        </m:oMath>
      </m:oMathPara>
    </w:p>
    <w:p>
      <w:pPr>
        <w:pStyle w:val="FirstParagraph"/>
      </w:pPr>
      <w:r>
        <w:rPr>
          <w:i/>
          <w:iCs/>
        </w:rPr>
        <w:t xml:space="preserve">In the final Word document, number this display as (1.1) per institute format and define all symbols immediately above or below.</w:t>
      </w:r>
    </w:p>
    <w:bookmarkEnd w:id="183"/>
    <w:bookmarkStart w:id="184" w:name="aggregate-results"/>
    <w:p>
      <w:pPr>
        <w:pStyle w:val="Heading3"/>
      </w:pPr>
      <w:r>
        <w:t xml:space="preserve">5.2 Aggregate results</w:t>
      </w:r>
    </w:p>
    <w:p>
      <w:pPr>
        <w:pStyle w:val="FirstParagraph"/>
      </w:pPr>
      <w:r>
        <w:rPr>
          <w:b/>
          <w:bCs/>
        </w:rPr>
        <w:t xml:space="preserve">Table 5.1 — Aggregate metrics (frozen run).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Samples</w:t>
            </w:r>
          </w:p>
        </w:tc>
        <w:tc>
          <w:tcPr/>
          <w:p>
            <w:pPr>
              <w:pStyle w:val="Compact"/>
            </w:pPr>
            <w:r>
              <w:t xml:space="preserve">100</w:t>
            </w:r>
          </w:p>
        </w:tc>
      </w:tr>
      <w:tr>
        <w:tc>
          <w:tcPr/>
          <w:p>
            <w:pPr>
              <w:pStyle w:val="Compact"/>
            </w:pPr>
            <w:r>
              <w:t xml:space="preserve">Yosys syntax success</w:t>
            </w:r>
          </w:p>
        </w:tc>
        <w:tc>
          <w:tcPr/>
          <w:p>
            <w:pPr>
              <w:pStyle w:val="Compact"/>
            </w:pPr>
            <w:r>
              <w:t xml:space="preserve">100 / 100</w:t>
            </w:r>
          </w:p>
        </w:tc>
      </w:tr>
      <w:tr>
        <w:tc>
          <w:tcPr/>
          <w:p>
            <w:pPr>
              <w:pStyle w:val="Compact"/>
            </w:pPr>
            <w:r>
              <w:t xml:space="preserve">SymbiYosys pass</w:t>
            </w:r>
          </w:p>
        </w:tc>
        <w:tc>
          <w:tcPr/>
          <w:p>
            <w:pPr>
              <w:pStyle w:val="Compact"/>
            </w:pPr>
            <w:r>
              <w:t xml:space="preserve">99 / 100</w:t>
            </w:r>
          </w:p>
        </w:tc>
      </w:tr>
      <w:tr>
        <w:tc>
          <w:tcPr/>
          <w:p>
            <w:pPr>
              <w:pStyle w:val="Compact"/>
            </w:pPr>
            <w:r>
              <w:t xml:space="preserve">SymbiYosys fail</w:t>
            </w:r>
          </w:p>
        </w:tc>
        <w:tc>
          <w:tcPr/>
          <w:p>
            <w:pPr>
              <w:pStyle w:val="Compact"/>
            </w:pPr>
            <w:r>
              <w:t xml:space="preserve">1</w:t>
            </w:r>
          </w:p>
        </w:tc>
      </w:tr>
      <w:tr>
        <w:tc>
          <w:tcPr/>
          <w:p>
            <w:pPr>
              <w:pStyle w:val="Compact"/>
            </w:pPr>
            <w:r>
              <w:t xml:space="preserve">Mean gold Jaccard</w:t>
            </w:r>
          </w:p>
        </w:tc>
        <w:tc>
          <w:tcPr/>
          <w:p>
            <w:pPr>
              <w:pStyle w:val="Compact"/>
            </w:pPr>
            <w:r>
              <w:t xml:space="preserve">0.991364</w:t>
            </w:r>
          </w:p>
        </w:tc>
      </w:tr>
      <w:tr>
        <w:tc>
          <w:tcPr/>
          <w:p>
            <w:pPr>
              <w:pStyle w:val="Compact"/>
            </w:pPr>
            <w:r>
              <w:t xml:space="preserve">Greedy dropped clauses (sum)</w:t>
            </w:r>
          </w:p>
        </w:tc>
        <w:tc>
          <w:tcPr/>
          <w:p>
            <w:pPr>
              <w:pStyle w:val="Compact"/>
            </w:pPr>
            <w:r>
              <w:t xml:space="preserve">14</w:t>
            </w:r>
          </w:p>
        </w:tc>
      </w:tr>
      <w:tr>
        <w:tc>
          <w:tcPr/>
          <w:p>
            <w:pPr>
              <w:pStyle w:val="Compact"/>
            </w:pPr>
            <w:r>
              <w:t xml:space="preserve">Attempted / converted clauses</w:t>
            </w:r>
          </w:p>
        </w:tc>
        <w:tc>
          <w:tcPr/>
          <w:p>
            <w:pPr>
              <w:pStyle w:val="Compact"/>
            </w:pPr>
            <w:r>
              <w:t xml:space="preserve">472 / 472</w:t>
            </w:r>
          </w:p>
        </w:tc>
      </w:tr>
    </w:tbl>
    <w:p>
      <w:pPr>
        <w:pStyle w:val="BodyText"/>
      </w:pPr>
      <w:r>
        <w:rPr>
          <w:b/>
          <w:bCs/>
        </w:rPr>
        <w:t xml:space="preserve">Table 5.2 — Gold Jaccard buckets.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Bucket</w:t>
            </w:r>
          </w:p>
        </w:tc>
        <w:tc>
          <w:tcPr/>
          <w:p>
            <w:pPr>
              <w:pStyle w:val="Compact"/>
            </w:pPr>
            <w:r>
              <w:t xml:space="preserve">Count</w:t>
            </w:r>
          </w:p>
        </w:tc>
      </w:tr>
      <w:tr>
        <w:tc>
          <w:tcPr/>
          <w:p>
            <w:pPr>
              <w:pStyle w:val="Compact"/>
            </w:pPr>
            <w:r>
              <w:t xml:space="preserve">0.900 – 0.949</w:t>
            </w:r>
          </w:p>
        </w:tc>
        <w:tc>
          <w:tcPr/>
          <w:p>
            <w:pPr>
              <w:pStyle w:val="Compact"/>
            </w:pPr>
            <w:r>
              <w:t xml:space="preserve">9</w:t>
            </w:r>
          </w:p>
        </w:tc>
      </w:tr>
      <w:tr>
        <w:tc>
          <w:tcPr/>
          <w:p>
            <w:pPr>
              <w:pStyle w:val="Compact"/>
            </w:pPr>
            <w:r>
              <w:t xml:space="preserve">0.950 – 0.998</w:t>
            </w:r>
          </w:p>
        </w:tc>
        <w:tc>
          <w:tcPr/>
          <w:p>
            <w:pPr>
              <w:pStyle w:val="Compact"/>
            </w:pPr>
            <w:r>
              <w:t xml:space="preserve">1</w:t>
            </w:r>
          </w:p>
        </w:tc>
      </w:tr>
      <w:tr>
        <w:tc>
          <w:tcPr/>
          <w:p>
            <w:pPr>
              <w:pStyle w:val="Compact"/>
            </w:pPr>
            <w:r>
              <w:t xml:space="preserve">≥ 0.999</w:t>
            </w:r>
          </w:p>
        </w:tc>
        <w:tc>
          <w:tcPr/>
          <w:p>
            <w:pPr>
              <w:pStyle w:val="Compact"/>
            </w:pPr>
            <w:r>
              <w:t xml:space="preserve">89</w:t>
            </w:r>
          </w:p>
        </w:tc>
      </w:tr>
      <w:tr>
        <w:tc>
          <w:tcPr/>
          <w:p>
            <w:pPr>
              <w:pStyle w:val="Compact"/>
            </w:pPr>
            <w:r>
              <w:t xml:space="preserve">&lt; 0.900</w:t>
            </w:r>
          </w:p>
        </w:tc>
        <w:tc>
          <w:tcPr/>
          <w:p>
            <w:pPr>
              <w:pStyle w:val="Compact"/>
            </w:pPr>
            <w:r>
              <w:t xml:space="preserve">1</w:t>
            </w:r>
          </w:p>
        </w:tc>
      </w:tr>
    </w:tbl>
    <w:bookmarkEnd w:id="184"/>
    <w:bookmarkStart w:id="215" w:name="discussion-of-formal-failure-sample-82"/>
    <w:p>
      <w:pPr>
        <w:pStyle w:val="Heading3"/>
      </w:pPr>
      <w:r>
        <w:t xml:space="preserve">5.3 Discussion of formal failure (sample 82)</w:t>
      </w:r>
    </w:p>
    <w:p>
      <w:pPr>
        <w:pStyle w:val="FirstParagraph"/>
      </w:pPr>
      <w:r>
        <w:t xml:space="preserve">Index</w:t>
      </w:r>
      <w:r>
        <w:t xml:space="preserve"> </w:t>
      </w:r>
      <w:r>
        <w:rPr>
          <w:b/>
          <w:bCs/>
        </w:rPr>
        <w:t xml:space="preserve">82</w:t>
      </w:r>
      <w:r>
        <w:t xml:space="preserve"> </w:t>
      </w:r>
      <w:r>
        <w:t xml:space="preserve">fails SymbiYosys while maintaining</w:t>
      </w:r>
      <w:r>
        <w:t xml:space="preserve"> </w:t>
      </w:r>
      <w:r>
        <w:rPr>
          <w:b/>
          <w:bCs/>
        </w:rPr>
        <w:t xml:space="preserve">gold Jaccard 1.0</w:t>
      </w:r>
      <w:r>
        <w:t xml:space="preserve">. The RTL includes a</w:t>
      </w:r>
      <w:r>
        <w:t xml:space="preserve"> </w:t>
      </w:r>
      <w:r>
        <w:rPr>
          <w:b/>
          <w:bCs/>
        </w:rPr>
        <w:t xml:space="preserve">case</w:t>
      </w:r>
      <w:r>
        <w:t xml:space="preserve"> </w:t>
      </w:r>
      <w:r>
        <w:t xml:space="preserve">selector with</w:t>
      </w:r>
      <w:r>
        <w:t xml:space="preserve"> </w:t>
      </w:r>
      <w:r>
        <w:rPr>
          <w:b/>
          <w:bCs/>
        </w:rPr>
        <w:t xml:space="preserve">X</w:t>
      </w:r>
      <w:r>
        <w:t xml:space="preserve"> </w:t>
      </w:r>
      <w:r>
        <w:t xml:space="preserve">bits. Formal outcomes therefore depend on encoding and assumptions, not only string equality to the VERT reference.</w:t>
      </w:r>
    </w:p>
    <w:p>
      <w:pPr>
        <w:pStyle w:val="BodyText"/>
      </w:pPr>
      <w:r>
        <w:rPr>
          <w:b/>
          <w:bCs/>
        </w:rPr>
        <w:t xml:space="preserve">Fig. 5.1 — Evaluation workflow.</w:t>
      </w:r>
    </w:p>
    <w:p>
      <w:pPr>
        <w:pStyle w:val="CaptionedFigure"/>
      </w:pPr>
      <w:r>
        <w:drawing>
          <wp:inline>
            <wp:extent cx="4709160" cy="252807"/>
            <wp:effectExtent b="0" l="0" r="0" t="0"/>
            <wp:docPr descr="Figure 19 — diagram" title="" id="186" name="Picture"/>
            <a:graphic>
              <a:graphicData uri="http://schemas.openxmlformats.org/drawingml/2006/picture">
                <pic:pic>
                  <pic:nvPicPr>
                    <pic:cNvPr descr="figure_19.png" id="187" name="Picture"/>
                    <pic:cNvPicPr>
                      <a:picLocks noChangeArrowheads="1" noChangeAspect="1"/>
                    </pic:cNvPicPr>
                  </pic:nvPicPr>
                  <pic:blipFill>
                    <a:blip r:embed="rId185"/>
                    <a:stretch>
                      <a:fillRect/>
                    </a:stretch>
                  </pic:blipFill>
                  <pic:spPr bwMode="auto">
                    <a:xfrm>
                      <a:off x="0" y="0"/>
                      <a:ext cx="4709160" cy="252807"/>
                    </a:xfrm>
                    <a:prstGeom prst="rect">
                      <a:avLst/>
                    </a:prstGeom>
                    <a:noFill/>
                    <a:ln w="9525">
                      <a:noFill/>
                      <a:headEnd/>
                      <a:tailEnd/>
                    </a:ln>
                  </pic:spPr>
                </pic:pic>
              </a:graphicData>
            </a:graphic>
          </wp:inline>
        </w:drawing>
      </w:r>
    </w:p>
    <w:p>
      <w:pPr>
        <w:pStyle w:val="ImageCaption"/>
      </w:pPr>
      <w:r>
        <w:t xml:space="preserve">Figure 19 — diagram</w:t>
      </w:r>
    </w:p>
    <w:p>
      <w:pPr>
        <w:pStyle w:val="BodyText"/>
      </w:pPr>
      <w:r>
        <w:rPr>
          <w:b/>
          <w:bCs/>
        </w:rPr>
        <w:t xml:space="preserve">Fig. 5.2 — Aggregate outcomes (n = 100).</w:t>
      </w:r>
    </w:p>
    <w:p>
      <w:pPr>
        <w:pStyle w:val="CaptionedFigure"/>
      </w:pPr>
      <w:r>
        <w:drawing>
          <wp:inline>
            <wp:extent cx="4709160" cy="3363685"/>
            <wp:effectExtent b="0" l="0" r="0" t="0"/>
            <wp:docPr descr="Figure 20 — diagram" title="" id="189" name="Picture"/>
            <a:graphic>
              <a:graphicData uri="http://schemas.openxmlformats.org/drawingml/2006/picture">
                <pic:pic>
                  <pic:nvPicPr>
                    <pic:cNvPr descr="figure_20.png" id="190" name="Picture"/>
                    <pic:cNvPicPr>
                      <a:picLocks noChangeArrowheads="1" noChangeAspect="1"/>
                    </pic:cNvPicPr>
                  </pic:nvPicPr>
                  <pic:blipFill>
                    <a:blip r:embed="rId188"/>
                    <a:stretch>
                      <a:fillRect/>
                    </a:stretch>
                  </pic:blipFill>
                  <pic:spPr bwMode="auto">
                    <a:xfrm>
                      <a:off x="0" y="0"/>
                      <a:ext cx="4709160" cy="3363685"/>
                    </a:xfrm>
                    <a:prstGeom prst="rect">
                      <a:avLst/>
                    </a:prstGeom>
                    <a:noFill/>
                    <a:ln w="9525">
                      <a:noFill/>
                      <a:headEnd/>
                      <a:tailEnd/>
                    </a:ln>
                  </pic:spPr>
                </pic:pic>
              </a:graphicData>
            </a:graphic>
          </wp:inline>
        </w:drawing>
      </w:r>
    </w:p>
    <w:p>
      <w:pPr>
        <w:pStyle w:val="ImageCaption"/>
      </w:pPr>
      <w:r>
        <w:t xml:space="preserve">Figure 20 — diagram</w:t>
      </w:r>
    </w:p>
    <w:p>
      <w:pPr>
        <w:pStyle w:val="BodyText"/>
      </w:pPr>
      <w:r>
        <w:rPr>
          <w:b/>
          <w:bCs/>
        </w:rPr>
        <w:t xml:space="preserve">Fig. 5.3 — Gold Jaccard distribution.</w:t>
      </w:r>
    </w:p>
    <w:p>
      <w:pPr>
        <w:pStyle w:val="CaptionedFigure"/>
      </w:pPr>
      <w:r>
        <w:drawing>
          <wp:inline>
            <wp:extent cx="4709160" cy="3440133"/>
            <wp:effectExtent b="0" l="0" r="0" t="0"/>
            <wp:docPr descr="Figure 21 — diagram" title="" id="192" name="Picture"/>
            <a:graphic>
              <a:graphicData uri="http://schemas.openxmlformats.org/drawingml/2006/picture">
                <pic:pic>
                  <pic:nvPicPr>
                    <pic:cNvPr descr="figure_21.png" id="193" name="Picture"/>
                    <pic:cNvPicPr>
                      <a:picLocks noChangeArrowheads="1" noChangeAspect="1"/>
                    </pic:cNvPicPr>
                  </pic:nvPicPr>
                  <pic:blipFill>
                    <a:blip r:embed="rId191"/>
                    <a:stretch>
                      <a:fillRect/>
                    </a:stretch>
                  </pic:blipFill>
                  <pic:spPr bwMode="auto">
                    <a:xfrm>
                      <a:off x="0" y="0"/>
                      <a:ext cx="4709160" cy="3440133"/>
                    </a:xfrm>
                    <a:prstGeom prst="rect">
                      <a:avLst/>
                    </a:prstGeom>
                    <a:noFill/>
                    <a:ln w="9525">
                      <a:noFill/>
                      <a:headEnd/>
                      <a:tailEnd/>
                    </a:ln>
                  </pic:spPr>
                </pic:pic>
              </a:graphicData>
            </a:graphic>
          </wp:inline>
        </w:drawing>
      </w:r>
    </w:p>
    <w:p>
      <w:pPr>
        <w:pStyle w:val="ImageCaption"/>
      </w:pPr>
      <w:r>
        <w:t xml:space="preserve">Figure 21 — diagram</w:t>
      </w:r>
    </w:p>
    <w:p>
      <w:pPr>
        <w:pStyle w:val="BodyText"/>
      </w:pPr>
      <w:r>
        <w:rPr>
          <w:b/>
          <w:bCs/>
        </w:rPr>
        <w:t xml:space="preserve">Fig. 5.4 — Interpreting outcomes (conceptual).</w:t>
      </w:r>
    </w:p>
    <w:p>
      <w:pPr>
        <w:pStyle w:val="CaptionedFigure"/>
      </w:pPr>
      <w:r>
        <w:drawing>
          <wp:inline>
            <wp:extent cx="4709160" cy="2458705"/>
            <wp:effectExtent b="0" l="0" r="0" t="0"/>
            <wp:docPr descr="Figure 22 — diagram" title="" id="195" name="Picture"/>
            <a:graphic>
              <a:graphicData uri="http://schemas.openxmlformats.org/drawingml/2006/picture">
                <pic:pic>
                  <pic:nvPicPr>
                    <pic:cNvPr descr="figure_22.png" id="196" name="Picture"/>
                    <pic:cNvPicPr>
                      <a:picLocks noChangeArrowheads="1" noChangeAspect="1"/>
                    </pic:cNvPicPr>
                  </pic:nvPicPr>
                  <pic:blipFill>
                    <a:blip r:embed="rId194"/>
                    <a:stretch>
                      <a:fillRect/>
                    </a:stretch>
                  </pic:blipFill>
                  <pic:spPr bwMode="auto">
                    <a:xfrm>
                      <a:off x="0" y="0"/>
                      <a:ext cx="4709160" cy="2458705"/>
                    </a:xfrm>
                    <a:prstGeom prst="rect">
                      <a:avLst/>
                    </a:prstGeom>
                    <a:noFill/>
                    <a:ln w="9525">
                      <a:noFill/>
                      <a:headEnd/>
                      <a:tailEnd/>
                    </a:ln>
                  </pic:spPr>
                </pic:pic>
              </a:graphicData>
            </a:graphic>
          </wp:inline>
        </w:drawing>
      </w:r>
    </w:p>
    <w:p>
      <w:pPr>
        <w:pStyle w:val="ImageCaption"/>
      </w:pPr>
      <w:r>
        <w:t xml:space="preserve">Figure 22 — diagram</w:t>
      </w:r>
    </w:p>
    <w:bookmarkStart w:id="197" w:name="X55ba0b9a92c181a63ee20eadea49cd38b8fd980"/>
    <w:p>
      <w:pPr>
        <w:pStyle w:val="Heading4"/>
      </w:pPr>
      <w:r>
        <w:t xml:space="preserve">5.6 Reporting syntax success versus semantic proof</w:t>
      </w:r>
    </w:p>
    <w:p>
      <w:pPr>
        <w:pStyle w:val="FirstParagraph"/>
      </w:pPr>
      <w:r>
        <w:t xml:space="preserve">This subsection discusses</w:t>
      </w:r>
      <w:r>
        <w:t xml:space="preserve"> </w:t>
      </w:r>
      <w:r>
        <w:rPr>
          <w:b/>
          <w:bCs/>
        </w:rPr>
        <w:t xml:space="preserve">Reporting syntax success versus semantic proof</w:t>
      </w:r>
      <w:r>
        <w:t xml:space="preserve"> </w:t>
      </w:r>
      <w:r>
        <w:t xml:space="preserve">as it relates to Chapter V (results and discussion).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Reporting syntax success versus semantic proof</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97"/>
    <w:bookmarkStart w:id="198" w:name="X9c0e5b3807c89841d6d730da25f241d13216e28"/>
    <w:p>
      <w:pPr>
        <w:pStyle w:val="Heading4"/>
      </w:pPr>
      <w:r>
        <w:t xml:space="preserve">5.7 Interpreting SymbiYosys pass and fail verdicts</w:t>
      </w:r>
    </w:p>
    <w:p>
      <w:pPr>
        <w:pStyle w:val="FirstParagraph"/>
      </w:pPr>
      <w:r>
        <w:t xml:space="preserve">This subsection discusses</w:t>
      </w:r>
      <w:r>
        <w:t xml:space="preserve"> </w:t>
      </w:r>
      <w:r>
        <w:rPr>
          <w:b/>
          <w:bCs/>
        </w:rPr>
        <w:t xml:space="preserve">Interpreting SymbiYosys pass and fail verdicts</w:t>
      </w:r>
      <w:r>
        <w:t xml:space="preserve"> </w:t>
      </w:r>
      <w:r>
        <w:t xml:space="preserve">as it relates to Chapter V (results and discussion).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Interpreting SymbiYosys pass and fail verdicts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98"/>
    <w:bookmarkStart w:id="199" w:name="X4ec303a0e890635a0830f5f577436d384a8b59a"/>
    <w:p>
      <w:pPr>
        <w:pStyle w:val="Heading4"/>
      </w:pPr>
      <w:r>
        <w:t xml:space="preserve">5.8 Gold Jaccard as a lexical alignment metric</w:t>
      </w:r>
    </w:p>
    <w:p>
      <w:pPr>
        <w:pStyle w:val="FirstParagraph"/>
      </w:pPr>
      <w:r>
        <w:t xml:space="preserve">This subsection discusses</w:t>
      </w:r>
      <w:r>
        <w:t xml:space="preserve"> </w:t>
      </w:r>
      <w:r>
        <w:rPr>
          <w:b/>
          <w:bCs/>
        </w:rPr>
        <w:t xml:space="preserve">Gold Jaccard as a lexical alignment metric</w:t>
      </w:r>
      <w:r>
        <w:t xml:space="preserve"> </w:t>
      </w:r>
      <w:r>
        <w:t xml:space="preserve">as it relates to Chapter V (results and discussion).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Gold Jaccard as a lexical alignment metric</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199"/>
    <w:bookmarkStart w:id="200" w:name="Xd71b56637ae7623f572c785545672161df3d444"/>
    <w:p>
      <w:pPr>
        <w:pStyle w:val="Heading4"/>
      </w:pPr>
      <w:r>
        <w:t xml:space="preserve">5.9 Correlation between Jaccard and formal pass rate</w:t>
      </w:r>
    </w:p>
    <w:p>
      <w:pPr>
        <w:pStyle w:val="FirstParagraph"/>
      </w:pPr>
      <w:r>
        <w:t xml:space="preserve">This subsection discusses</w:t>
      </w:r>
      <w:r>
        <w:t xml:space="preserve"> </w:t>
      </w:r>
      <w:r>
        <w:rPr>
          <w:b/>
          <w:bCs/>
        </w:rPr>
        <w:t xml:space="preserve">Correlation between Jaccard and formal pass rate</w:t>
      </w:r>
      <w:r>
        <w:t xml:space="preserve"> </w:t>
      </w:r>
      <w:r>
        <w:t xml:space="preserve">as it relates to Chapter V (results and discussion).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Correlation between Jaccard and formal pass rate</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200"/>
    <w:bookmarkStart w:id="201" w:name="outlier-analysis-for-low-jaccard-samples"/>
    <w:p>
      <w:pPr>
        <w:pStyle w:val="Heading4"/>
      </w:pPr>
      <w:r>
        <w:t xml:space="preserve">5.10 Outlier analysis for low-Jaccard samples</w:t>
      </w:r>
    </w:p>
    <w:p>
      <w:pPr>
        <w:pStyle w:val="FirstParagraph"/>
      </w:pPr>
      <w:r>
        <w:t xml:space="preserve">This subsection discusses</w:t>
      </w:r>
      <w:r>
        <w:t xml:space="preserve"> </w:t>
      </w:r>
      <w:r>
        <w:rPr>
          <w:b/>
          <w:bCs/>
        </w:rPr>
        <w:t xml:space="preserve">Outlier analysis for low-Jaccard samples</w:t>
      </w:r>
      <w:r>
        <w:t xml:space="preserve"> </w:t>
      </w:r>
      <w:r>
        <w:t xml:space="preserve">as it relates to Chapter V (results and discussion).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Outlier analysis for low-Jaccard samples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201"/>
    <w:bookmarkStart w:id="202" w:name="Xd58aab03fa0b53c85253681d4d3812deae820ad"/>
    <w:p>
      <w:pPr>
        <w:pStyle w:val="Heading4"/>
      </w:pPr>
      <w:r>
        <w:t xml:space="preserve">5.11 Formal failure with high Jaccard: case semantics</w:t>
      </w:r>
    </w:p>
    <w:p>
      <w:pPr>
        <w:pStyle w:val="FirstParagraph"/>
      </w:pPr>
      <w:r>
        <w:t xml:space="preserve">This subsection discusses</w:t>
      </w:r>
      <w:r>
        <w:t xml:space="preserve"> </w:t>
      </w:r>
      <w:r>
        <w:rPr>
          <w:b/>
          <w:bCs/>
        </w:rPr>
        <w:t xml:space="preserve">Formal failure with high Jaccard: case semantics</w:t>
      </w:r>
      <w:r>
        <w:t xml:space="preserve"> </w:t>
      </w:r>
      <w:r>
        <w:t xml:space="preserve">as it relates to Chapter V (results and discussion).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Formal failure with high Jaccard: case semantics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202"/>
    <w:bookmarkStart w:id="203" w:name="X3a088c5b7f69a5665e8f4df52f6176c4b53f3d8"/>
    <w:p>
      <w:pPr>
        <w:pStyle w:val="Heading4"/>
      </w:pPr>
      <w:r>
        <w:t xml:space="preserve">5.12 Effect of greedy assertion filtering on yield</w:t>
      </w:r>
    </w:p>
    <w:p>
      <w:pPr>
        <w:pStyle w:val="FirstParagraph"/>
      </w:pPr>
      <w:r>
        <w:t xml:space="preserve">This subsection discusses</w:t>
      </w:r>
      <w:r>
        <w:t xml:space="preserve"> </w:t>
      </w:r>
      <w:r>
        <w:rPr>
          <w:b/>
          <w:bCs/>
        </w:rPr>
        <w:t xml:space="preserve">Effect of greedy assertion filtering on yield</w:t>
      </w:r>
      <w:r>
        <w:t xml:space="preserve"> </w:t>
      </w:r>
      <w:r>
        <w:t xml:space="preserve">as it relates to Chapter V (results and discussion).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Effect of greedy assertion filtering on yield</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203"/>
    <w:bookmarkStart w:id="204" w:name="Xf1f74c96407250191cc830d7f9e065662ce4818"/>
    <w:p>
      <w:pPr>
        <w:pStyle w:val="Heading4"/>
      </w:pPr>
      <w:r>
        <w:t xml:space="preserve">5.13 Clause-level counts and aggregation in the manifest</w:t>
      </w:r>
    </w:p>
    <w:p>
      <w:pPr>
        <w:pStyle w:val="FirstParagraph"/>
      </w:pPr>
      <w:r>
        <w:t xml:space="preserve">This subsection discusses</w:t>
      </w:r>
      <w:r>
        <w:t xml:space="preserve"> </w:t>
      </w:r>
      <w:r>
        <w:rPr>
          <w:b/>
          <w:bCs/>
        </w:rPr>
        <w:t xml:space="preserve">Clause-level counts and aggregation in the manifest</w:t>
      </w:r>
      <w:r>
        <w:t xml:space="preserve"> </w:t>
      </w:r>
      <w:r>
        <w:t xml:space="preserve">as it relates to Chapter V (results and discussion).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Clause-level counts and aggregation in the manifest</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204"/>
    <w:bookmarkStart w:id="205" w:name="bounded-depth-and-completeness-caveats"/>
    <w:p>
      <w:pPr>
        <w:pStyle w:val="Heading4"/>
      </w:pPr>
      <w:r>
        <w:t xml:space="preserve">5.14 Bounded depth and completeness caveats</w:t>
      </w:r>
    </w:p>
    <w:p>
      <w:pPr>
        <w:pStyle w:val="FirstParagraph"/>
      </w:pPr>
      <w:r>
        <w:t xml:space="preserve">This subsection discusses</w:t>
      </w:r>
      <w:r>
        <w:t xml:space="preserve"> </w:t>
      </w:r>
      <w:r>
        <w:rPr>
          <w:b/>
          <w:bCs/>
        </w:rPr>
        <w:t xml:space="preserve">Bounded depth and completeness caveats</w:t>
      </w:r>
      <w:r>
        <w:t xml:space="preserve"> </w:t>
      </w:r>
      <w:r>
        <w:t xml:space="preserve">as it relates to Chapter V (results and discussion).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Bounded depth and completeness caveats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205"/>
    <w:bookmarkStart w:id="206" w:name="Xf5e8eb379804ddd8545ded4905bc6945e88a459"/>
    <w:p>
      <w:pPr>
        <w:pStyle w:val="Heading4"/>
      </w:pPr>
      <w:r>
        <w:t xml:space="preserve">5.15 Threats to internal validity of the evaluation slice</w:t>
      </w:r>
    </w:p>
    <w:p>
      <w:pPr>
        <w:pStyle w:val="FirstParagraph"/>
      </w:pPr>
      <w:r>
        <w:t xml:space="preserve">This subsection discusses</w:t>
      </w:r>
      <w:r>
        <w:t xml:space="preserve"> </w:t>
      </w:r>
      <w:r>
        <w:rPr>
          <w:b/>
          <w:bCs/>
        </w:rPr>
        <w:t xml:space="preserve">Threats to internal validity of the evaluation slice</w:t>
      </w:r>
      <w:r>
        <w:t xml:space="preserve"> </w:t>
      </w:r>
      <w:r>
        <w:t xml:space="preserve">as it relates to Chapter V (results and discussion).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Threats to internal validity of the evaluation slice</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206"/>
    <w:bookmarkStart w:id="207" w:name="threats-to-external-validity-beyond-vert"/>
    <w:p>
      <w:pPr>
        <w:pStyle w:val="Heading4"/>
      </w:pPr>
      <w:r>
        <w:t xml:space="preserve">5.16 Threats to external validity beyond VERT</w:t>
      </w:r>
    </w:p>
    <w:p>
      <w:pPr>
        <w:pStyle w:val="FirstParagraph"/>
      </w:pPr>
      <w:r>
        <w:t xml:space="preserve">This subsection discusses</w:t>
      </w:r>
      <w:r>
        <w:t xml:space="preserve"> </w:t>
      </w:r>
      <w:r>
        <w:rPr>
          <w:b/>
          <w:bCs/>
        </w:rPr>
        <w:t xml:space="preserve">Threats to external validity beyond VERT</w:t>
      </w:r>
      <w:r>
        <w:t xml:space="preserve"> </w:t>
      </w:r>
      <w:r>
        <w:t xml:space="preserve">as it relates to Chapter V (results and discussion).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Threats to external validity beyond VERT</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207"/>
    <w:bookmarkStart w:id="208" w:name="X88d6f1495f079da38d8f33e23fb1b3f49772a87"/>
    <w:p>
      <w:pPr>
        <w:pStyle w:val="Heading4"/>
      </w:pPr>
      <w:r>
        <w:t xml:space="preserve">5.17 Comparison to AssertionBench-style claims</w:t>
      </w:r>
    </w:p>
    <w:p>
      <w:pPr>
        <w:pStyle w:val="FirstParagraph"/>
      </w:pPr>
      <w:r>
        <w:t xml:space="preserve">This subsection discusses</w:t>
      </w:r>
      <w:r>
        <w:t xml:space="preserve"> </w:t>
      </w:r>
      <w:r>
        <w:rPr>
          <w:b/>
          <w:bCs/>
        </w:rPr>
        <w:t xml:space="preserve">Comparison to AssertionBench-style claims</w:t>
      </w:r>
      <w:r>
        <w:t xml:space="preserve"> </w:t>
      </w:r>
      <w:r>
        <w:t xml:space="preserve">as it relates to Chapter V (results and discussion).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Comparison to AssertionBench-style claims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208"/>
    <w:bookmarkStart w:id="209" w:name="X5c39da0b1b29ab15cc17fb2f6176e0b07cd7266"/>
    <w:p>
      <w:pPr>
        <w:pStyle w:val="Heading4"/>
      </w:pPr>
      <w:r>
        <w:t xml:space="preserve">5.18 Industrial metrics: review effort and time saved</w:t>
      </w:r>
    </w:p>
    <w:p>
      <w:pPr>
        <w:pStyle w:val="FirstParagraph"/>
      </w:pPr>
      <w:r>
        <w:t xml:space="preserve">This subsection discusses</w:t>
      </w:r>
      <w:r>
        <w:t xml:space="preserve"> </w:t>
      </w:r>
      <w:r>
        <w:rPr>
          <w:b/>
          <w:bCs/>
        </w:rPr>
        <w:t xml:space="preserve">Industrial metrics: review effort and time saved</w:t>
      </w:r>
      <w:r>
        <w:t xml:space="preserve"> </w:t>
      </w:r>
      <w:r>
        <w:t xml:space="preserve">as it relates to Chapter V (results and discussion).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Industrial metrics: review effort and time saved</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209"/>
    <w:bookmarkStart w:id="210" w:name="Xd3896f0996d443dd0320c7553791151c3b74d55"/>
    <w:p>
      <w:pPr>
        <w:pStyle w:val="Heading4"/>
      </w:pPr>
      <w:r>
        <w:t xml:space="preserve">5.19 Reproducibility checklist for independent auditors</w:t>
      </w:r>
    </w:p>
    <w:p>
      <w:pPr>
        <w:pStyle w:val="FirstParagraph"/>
      </w:pPr>
      <w:r>
        <w:t xml:space="preserve">This subsection discusses</w:t>
      </w:r>
      <w:r>
        <w:t xml:space="preserve"> </w:t>
      </w:r>
      <w:r>
        <w:rPr>
          <w:b/>
          <w:bCs/>
        </w:rPr>
        <w:t xml:space="preserve">Reproducibility checklist for independent auditors</w:t>
      </w:r>
      <w:r>
        <w:t xml:space="preserve"> </w:t>
      </w:r>
      <w:r>
        <w:t xml:space="preserve">as it relates to Chapter V (results and discussion).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Reproducibility checklist for independent auditors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210"/>
    <w:bookmarkStart w:id="211" w:name="X9ecca68862ea0318ec231644b11e6998341f89a"/>
    <w:p>
      <w:pPr>
        <w:pStyle w:val="Heading4"/>
      </w:pPr>
      <w:r>
        <w:t xml:space="preserve">5.20 Future statistical tests and confidence intervals</w:t>
      </w:r>
    </w:p>
    <w:p>
      <w:pPr>
        <w:pStyle w:val="FirstParagraph"/>
      </w:pPr>
      <w:r>
        <w:t xml:space="preserve">This subsection discusses</w:t>
      </w:r>
      <w:r>
        <w:t xml:space="preserve"> </w:t>
      </w:r>
      <w:r>
        <w:rPr>
          <w:b/>
          <w:bCs/>
        </w:rPr>
        <w:t xml:space="preserve">Future statistical tests and confidence intervals</w:t>
      </w:r>
      <w:r>
        <w:t xml:space="preserve"> </w:t>
      </w:r>
      <w:r>
        <w:t xml:space="preserve">as it relates to Chapter V (results and discussion).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Future statistical tests and confidence intervals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211"/>
    <w:bookmarkStart w:id="212" w:name="X8652c7b0bf5df73d03ce88c348239fb004d1439"/>
    <w:p>
      <w:pPr>
        <w:pStyle w:val="Heading4"/>
      </w:pPr>
      <w:r>
        <w:t xml:space="preserve">Chapter V supplement — R1: Replication package structure for conferences</w:t>
      </w:r>
    </w:p>
    <w:p>
      <w:pPr>
        <w:pStyle w:val="FirstParagraph"/>
      </w:pPr>
      <w:r>
        <w:t xml:space="preserve">This subsection discusses</w:t>
      </w:r>
      <w:r>
        <w:t xml:space="preserve"> </w:t>
      </w:r>
      <w:r>
        <w:rPr>
          <w:b/>
          <w:bCs/>
        </w:rPr>
        <w:t xml:space="preserve">Replication package structure for conferences</w:t>
      </w:r>
      <w:r>
        <w:t xml:space="preserve"> </w:t>
      </w:r>
      <w:r>
        <w:t xml:space="preserve">as it relates to Chapter V measurement and reporting.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Replication package structure for conferences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212"/>
    <w:bookmarkStart w:id="213" w:name="X068fe05b71c42f832dfea4ccb64c21971f12c70"/>
    <w:p>
      <w:pPr>
        <w:pStyle w:val="Heading4"/>
      </w:pPr>
      <w:r>
        <w:t xml:space="preserve">Chapter V supplement — R2: Archiving SymbiYosys logs for long-term audit</w:t>
      </w:r>
    </w:p>
    <w:p>
      <w:pPr>
        <w:pStyle w:val="FirstParagraph"/>
      </w:pPr>
      <w:r>
        <w:t xml:space="preserve">This subsection discusses</w:t>
      </w:r>
      <w:r>
        <w:t xml:space="preserve"> </w:t>
      </w:r>
      <w:r>
        <w:rPr>
          <w:b/>
          <w:bCs/>
        </w:rPr>
        <w:t xml:space="preserve">Archiving SymbiYosys logs for long-term audit</w:t>
      </w:r>
      <w:r>
        <w:t xml:space="preserve"> </w:t>
      </w:r>
      <w:r>
        <w:t xml:space="preserve">as it relates to Chapter V measurement and reporting.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Archiving SymbiYosys logs for long-term audit</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213"/>
    <w:bookmarkStart w:id="214" w:name="Xdfd71091d90e33bfc6d5904dbaba672630791ce"/>
    <w:p>
      <w:pPr>
        <w:pStyle w:val="Heading4"/>
      </w:pPr>
      <w:r>
        <w:t xml:space="preserve">Chapter V supplement — R3: Redaction of proprietary RTL in appendices</w:t>
      </w:r>
    </w:p>
    <w:p>
      <w:pPr>
        <w:pStyle w:val="FirstParagraph"/>
      </w:pPr>
      <w:r>
        <w:t xml:space="preserve">This subsection discusses</w:t>
      </w:r>
      <w:r>
        <w:t xml:space="preserve"> </w:t>
      </w:r>
      <w:r>
        <w:rPr>
          <w:b/>
          <w:bCs/>
        </w:rPr>
        <w:t xml:space="preserve">Redaction of proprietary RTL in appendices</w:t>
      </w:r>
      <w:r>
        <w:t xml:space="preserve"> </w:t>
      </w:r>
      <w:r>
        <w:t xml:space="preserve">as it relates to Chapter V measurement and reporting. Hardware verification research consistently shows that assertion quality—not raw engine throughput—often limits effective defect discovery. Automated generators must therefore be judged along multiple axes: syntactic acceptability, semantic alignment with designer intent on benchmark corpora, and stability under formal encodings that expose corner cases such as unknown bits and reset interactions. Review committees additionally expect clarity on dataset provenance, train–test overlap risks, and whether metrics are reported on a frozen slice or on a continuously moving checkpoint.</w:t>
      </w:r>
    </w:p>
    <w:p>
      <w:pPr>
        <w:pStyle w:val="BodyText"/>
      </w:pPr>
      <w:r>
        <w:t xml:space="preserve">Within</w:t>
      </w:r>
      <w:r>
        <w:t xml:space="preserve"> </w:t>
      </w:r>
      <w:r>
        <w:rPr>
          <w:b/>
          <w:bCs/>
        </w:rPr>
        <w:t xml:space="preserve">Redaction of proprietary RTL in appendices</w:t>
      </w:r>
      <w:r>
        <w:t xml:space="preserve">, the VISTA project adopts a pragmatic stance aligned with open-source tooling: the VERT distribution supplies paired RTL and reference assertions, while SymbiYosys supplies bounded checks that are easy to reproduce in academic laboratories. This does not replace industrial sign-off flows; it provides a transparent yardstick for iterative model and pipeline improvements. Students extending this report should cite peer-reviewed and standard references in IEEE format, critique assumptions explicitly, and avoid overstating claims beyond the frozen evaluation slice reported in Chapter V.</w:t>
      </w:r>
    </w:p>
    <w:bookmarkEnd w:id="214"/>
    <w:bookmarkEnd w:id="215"/>
    <w:bookmarkEnd w:id="216"/>
    <w:bookmarkEnd w:id="217"/>
    <w:bookmarkStart w:id="224" w:name="chapter-vi"/>
    <w:p>
      <w:pPr>
        <w:pStyle w:val="Heading1"/>
      </w:pPr>
      <w:r>
        <w:t xml:space="preserve">CHAPTER VI</w:t>
      </w:r>
    </w:p>
    <w:bookmarkStart w:id="223" w:name="chapter-6-conclusion-and-future-work"/>
    <w:p>
      <w:pPr>
        <w:pStyle w:val="Heading2"/>
      </w:pPr>
      <w:r>
        <w:t xml:space="preserve">Chapter 6: Conclusion and future work</w:t>
      </w:r>
    </w:p>
    <w:bookmarkStart w:id="218" w:name="conclusion"/>
    <w:p>
      <w:pPr>
        <w:pStyle w:val="Heading3"/>
      </w:pPr>
      <w:r>
        <w:t xml:space="preserve">6.1 Conclusion</w:t>
      </w:r>
    </w:p>
    <w:p>
      <w:pPr>
        <w:pStyle w:val="FirstParagraph"/>
      </w:pPr>
      <w:r>
        <w:t xml:space="preserve">VISTA demonstrates strong</w:t>
      </w:r>
      <w:r>
        <w:t xml:space="preserve"> </w:t>
      </w:r>
      <w:r>
        <w:rPr>
          <w:b/>
          <w:bCs/>
        </w:rPr>
        <w:t xml:space="preserve">syntax</w:t>
      </w:r>
      <w:r>
        <w:t xml:space="preserve"> </w:t>
      </w:r>
      <w:r>
        <w:t xml:space="preserve">and</w:t>
      </w:r>
      <w:r>
        <w:t xml:space="preserve"> </w:t>
      </w:r>
      <w:r>
        <w:rPr>
          <w:b/>
          <w:bCs/>
        </w:rPr>
        <w:t xml:space="preserve">formal pass</w:t>
      </w:r>
      <w:r>
        <w:t xml:space="preserve"> </w:t>
      </w:r>
      <w:r>
        <w:t xml:space="preserve">rates on a deterministic VERT-100 evaluation, with high mean</w:t>
      </w:r>
      <w:r>
        <w:t xml:space="preserve"> </w:t>
      </w:r>
      <w:r>
        <w:rPr>
          <w:b/>
          <w:bCs/>
        </w:rPr>
        <w:t xml:space="preserve">gold Jaccard</w:t>
      </w:r>
      <w:r>
        <w:t xml:space="preserve">. The work underscores that</w:t>
      </w:r>
      <w:r>
        <w:t xml:space="preserve"> </w:t>
      </w:r>
      <w:r>
        <w:rPr>
          <w:b/>
          <w:bCs/>
        </w:rPr>
        <w:t xml:space="preserve">professional reporting</w:t>
      </w:r>
      <w:r>
        <w:t xml:space="preserve"> </w:t>
      </w:r>
      <w:r>
        <w:t xml:space="preserve">must separate</w:t>
      </w:r>
      <w:r>
        <w:t xml:space="preserve"> </w:t>
      </w:r>
      <w:r>
        <w:rPr>
          <w:b/>
          <w:bCs/>
        </w:rPr>
        <w:t xml:space="preserve">lexical</w:t>
      </w:r>
      <w:r>
        <w:t xml:space="preserve"> </w:t>
      </w:r>
      <w:r>
        <w:t xml:space="preserve">agreement from</w:t>
      </w:r>
      <w:r>
        <w:t xml:space="preserve"> </w:t>
      </w:r>
      <w:r>
        <w:rPr>
          <w:b/>
          <w:bCs/>
        </w:rPr>
        <w:t xml:space="preserve">proof</w:t>
      </w:r>
      <w:r>
        <w:t xml:space="preserve"> </w:t>
      </w:r>
      <w:r>
        <w:t xml:space="preserve">guarantees.</w:t>
      </w:r>
    </w:p>
    <w:bookmarkEnd w:id="218"/>
    <w:bookmarkStart w:id="222" w:name="future-work"/>
    <w:p>
      <w:pPr>
        <w:pStyle w:val="Heading3"/>
      </w:pPr>
      <w:r>
        <w:t xml:space="preserve">6.2 Future work</w:t>
      </w:r>
    </w:p>
    <w:p>
      <w:pPr>
        <w:pStyle w:val="FirstParagraph"/>
      </w:pPr>
      <w:r>
        <w:t xml:space="preserve">Counterexample-guided refinement, X-aware preprocessing, vendor-tool export, and hierarchical designs are the principal research extensions.</w:t>
      </w:r>
    </w:p>
    <w:p>
      <w:pPr>
        <w:pStyle w:val="BodyText"/>
      </w:pPr>
      <w:r>
        <w:rPr>
          <w:b/>
          <w:bCs/>
        </w:rPr>
        <w:t xml:space="preserve">Fig. 6.1 — Roadmap.</w:t>
      </w:r>
    </w:p>
    <w:p>
      <w:pPr>
        <w:pStyle w:val="CaptionedFigure"/>
      </w:pPr>
      <w:r>
        <w:drawing>
          <wp:inline>
            <wp:extent cx="4709160" cy="2386238"/>
            <wp:effectExtent b="0" l="0" r="0" t="0"/>
            <wp:docPr descr="Figure 23 — diagram" title="" id="220" name="Picture"/>
            <a:graphic>
              <a:graphicData uri="http://schemas.openxmlformats.org/drawingml/2006/picture">
                <pic:pic>
                  <pic:nvPicPr>
                    <pic:cNvPr descr="figure_23.png" id="221" name="Picture"/>
                    <pic:cNvPicPr>
                      <a:picLocks noChangeArrowheads="1" noChangeAspect="1"/>
                    </pic:cNvPicPr>
                  </pic:nvPicPr>
                  <pic:blipFill>
                    <a:blip r:embed="rId219"/>
                    <a:stretch>
                      <a:fillRect/>
                    </a:stretch>
                  </pic:blipFill>
                  <pic:spPr bwMode="auto">
                    <a:xfrm>
                      <a:off x="0" y="0"/>
                      <a:ext cx="4709160" cy="2386238"/>
                    </a:xfrm>
                    <a:prstGeom prst="rect">
                      <a:avLst/>
                    </a:prstGeom>
                    <a:noFill/>
                    <a:ln w="9525">
                      <a:noFill/>
                      <a:headEnd/>
                      <a:tailEnd/>
                    </a:ln>
                  </pic:spPr>
                </pic:pic>
              </a:graphicData>
            </a:graphic>
          </wp:inline>
        </w:drawing>
      </w:r>
    </w:p>
    <w:p>
      <w:pPr>
        <w:pStyle w:val="ImageCaption"/>
      </w:pPr>
      <w:r>
        <w:t xml:space="preserve">Figure 23 — diagram</w:t>
      </w:r>
    </w:p>
    <w:bookmarkEnd w:id="222"/>
    <w:bookmarkEnd w:id="223"/>
    <w:bookmarkEnd w:id="224"/>
    <w:bookmarkStart w:id="274" w:name="glossary"/>
    <w:p>
      <w:pPr>
        <w:pStyle w:val="Heading1"/>
      </w:pPr>
      <w:r>
        <w:t xml:space="preserve">GLOSSARY</w:t>
      </w:r>
    </w:p>
    <w:p>
      <w:pPr>
        <w:pStyle w:val="FirstParagraph"/>
      </w:pPr>
      <w:r>
        <w:rPr>
          <w:i/>
          <w:iCs/>
        </w:rPr>
        <w:t xml:space="preserve">Alphabetical technical terms (Heading 1 in Word). Expand or prune per faculty guidance.</w:t>
      </w:r>
    </w:p>
    <w:bookmarkStart w:id="225" w:name="assertion"/>
    <w:p>
      <w:pPr>
        <w:pStyle w:val="Heading3"/>
      </w:pPr>
      <w:r>
        <w:t xml:space="preserve">Assertion</w:t>
      </w:r>
    </w:p>
    <w:p>
      <w:pPr>
        <w:pStyle w:val="FirstParagraph"/>
      </w:pPr>
      <w:r>
        <w:t xml:space="preserve">A Boolean or temporal expression checked during simulation or formal analysis.</w:t>
      </w:r>
    </w:p>
    <w:p>
      <w:pPr>
        <w:pStyle w:val="BodyText"/>
      </w:pPr>
      <w:r>
        <w:t xml:space="preserve">In the VISTA context,</w:t>
      </w:r>
      <w:r>
        <w:t xml:space="preserve"> </w:t>
      </w:r>
      <w:r>
        <w:rPr>
          <w:b/>
          <w:bCs/>
        </w:rPr>
        <w:t xml:space="preserve">Assertion</w:t>
      </w:r>
      <w:r>
        <w:t xml:space="preserve"> </w:t>
      </w:r>
      <w:r>
        <w:t xml:space="preserve">appears when discussing toolchains, metrics, or deployment; cross-reference Chapter IV for operational meaning and Chapter V for empirical usage.</w:t>
      </w:r>
    </w:p>
    <w:bookmarkEnd w:id="225"/>
    <w:bookmarkStart w:id="226" w:name="bmc"/>
    <w:p>
      <w:pPr>
        <w:pStyle w:val="Heading3"/>
      </w:pPr>
      <w:r>
        <w:t xml:space="preserve">BMC</w:t>
      </w:r>
    </w:p>
    <w:p>
      <w:pPr>
        <w:pStyle w:val="FirstParagraph"/>
      </w:pPr>
      <w:r>
        <w:t xml:space="preserve">Bounded model checking: search for property violations up to a fixed temporal depth.</w:t>
      </w:r>
    </w:p>
    <w:p>
      <w:pPr>
        <w:pStyle w:val="BodyText"/>
      </w:pPr>
      <w:r>
        <w:t xml:space="preserve">In the VISTA context,</w:t>
      </w:r>
      <w:r>
        <w:t xml:space="preserve"> </w:t>
      </w:r>
      <w:r>
        <w:rPr>
          <w:b/>
          <w:bCs/>
        </w:rPr>
        <w:t xml:space="preserve">BMC</w:t>
      </w:r>
      <w:r>
        <w:t xml:space="preserve"> </w:t>
      </w:r>
      <w:r>
        <w:t xml:space="preserve">appears when discussing toolchains, metrics, or deployment; cross-reference Chapter IV for operational meaning and Chapter V for empirical usage.</w:t>
      </w:r>
    </w:p>
    <w:bookmarkEnd w:id="226"/>
    <w:bookmarkStart w:id="227" w:name="cex"/>
    <w:p>
      <w:pPr>
        <w:pStyle w:val="Heading3"/>
      </w:pPr>
      <w:r>
        <w:t xml:space="preserve">CEX</w:t>
      </w:r>
    </w:p>
    <w:p>
      <w:pPr>
        <w:pStyle w:val="FirstParagraph"/>
      </w:pPr>
      <w:r>
        <w:t xml:space="preserve">Counterexample: a witness trace showing how a property can fail.</w:t>
      </w:r>
    </w:p>
    <w:p>
      <w:pPr>
        <w:pStyle w:val="BodyText"/>
      </w:pPr>
      <w:r>
        <w:t xml:space="preserve">In the VISTA context,</w:t>
      </w:r>
      <w:r>
        <w:t xml:space="preserve"> </w:t>
      </w:r>
      <w:r>
        <w:rPr>
          <w:b/>
          <w:bCs/>
        </w:rPr>
        <w:t xml:space="preserve">CEX</w:t>
      </w:r>
      <w:r>
        <w:t xml:space="preserve"> </w:t>
      </w:r>
      <w:r>
        <w:t xml:space="preserve">appears when discussing toolchains, metrics, or deployment; cross-reference Chapter IV for operational meaning and Chapter V for empirical usage.</w:t>
      </w:r>
    </w:p>
    <w:bookmarkEnd w:id="227"/>
    <w:bookmarkStart w:id="228" w:name="clocking"/>
    <w:p>
      <w:pPr>
        <w:pStyle w:val="Heading3"/>
      </w:pPr>
      <w:r>
        <w:t xml:space="preserve">Clocking</w:t>
      </w:r>
    </w:p>
    <w:p>
      <w:pPr>
        <w:pStyle w:val="FirstParagraph"/>
      </w:pPr>
      <w:r>
        <w:t xml:space="preserve">Rules that specify when signals and assertions are sampled.</w:t>
      </w:r>
    </w:p>
    <w:p>
      <w:pPr>
        <w:pStyle w:val="BodyText"/>
      </w:pPr>
      <w:r>
        <w:t xml:space="preserve">In the VISTA context,</w:t>
      </w:r>
      <w:r>
        <w:t xml:space="preserve"> </w:t>
      </w:r>
      <w:r>
        <w:rPr>
          <w:b/>
          <w:bCs/>
        </w:rPr>
        <w:t xml:space="preserve">Clocking</w:t>
      </w:r>
      <w:r>
        <w:t xml:space="preserve"> </w:t>
      </w:r>
      <w:r>
        <w:t xml:space="preserve">appears when discussing toolchains, metrics, or deployment; cross-reference Chapter IV for operational meaning and Chapter V for empirical usage.</w:t>
      </w:r>
    </w:p>
    <w:bookmarkEnd w:id="228"/>
    <w:bookmarkStart w:id="229" w:name="coverage"/>
    <w:p>
      <w:pPr>
        <w:pStyle w:val="Heading3"/>
      </w:pPr>
      <w:r>
        <w:t xml:space="preserve">Coverage</w:t>
      </w:r>
    </w:p>
    <w:p>
      <w:pPr>
        <w:pStyle w:val="FirstParagraph"/>
      </w:pPr>
      <w:r>
        <w:t xml:space="preserve">Metrics indicating which design behaviors were exercised.</w:t>
      </w:r>
    </w:p>
    <w:p>
      <w:pPr>
        <w:pStyle w:val="BodyText"/>
      </w:pPr>
      <w:r>
        <w:t xml:space="preserve">In the VISTA context,</w:t>
      </w:r>
      <w:r>
        <w:t xml:space="preserve"> </w:t>
      </w:r>
      <w:r>
        <w:rPr>
          <w:b/>
          <w:bCs/>
        </w:rPr>
        <w:t xml:space="preserve">Coverage</w:t>
      </w:r>
      <w:r>
        <w:t xml:space="preserve"> </w:t>
      </w:r>
      <w:r>
        <w:t xml:space="preserve">appears when discussing toolchains, metrics, or deployment; cross-reference Chapter IV for operational meaning and Chapter V for empirical usage.</w:t>
      </w:r>
    </w:p>
    <w:bookmarkEnd w:id="229"/>
    <w:bookmarkStart w:id="230" w:name="disable-iff"/>
    <w:p>
      <w:pPr>
        <w:pStyle w:val="Heading3"/>
      </w:pPr>
      <w:r>
        <w:t xml:space="preserve">Disable iff</w:t>
      </w:r>
    </w:p>
    <w:p>
      <w:pPr>
        <w:pStyle w:val="FirstParagraph"/>
      </w:pPr>
      <w:r>
        <w:t xml:space="preserve">SVA construct that suspends property evaluation under a condition.</w:t>
      </w:r>
    </w:p>
    <w:p>
      <w:pPr>
        <w:pStyle w:val="BodyText"/>
      </w:pPr>
      <w:r>
        <w:t xml:space="preserve">In the VISTA context,</w:t>
      </w:r>
      <w:r>
        <w:t xml:space="preserve"> </w:t>
      </w:r>
      <w:r>
        <w:rPr>
          <w:b/>
          <w:bCs/>
        </w:rPr>
        <w:t xml:space="preserve">Disable iff</w:t>
      </w:r>
      <w:r>
        <w:t xml:space="preserve"> </w:t>
      </w:r>
      <w:r>
        <w:t xml:space="preserve">appears when discussing toolchains, metrics, or deployment; cross-reference Chapter IV for operational meaning and Chapter V for empirical usage.</w:t>
      </w:r>
    </w:p>
    <w:bookmarkEnd w:id="230"/>
    <w:bookmarkStart w:id="231" w:name="elaboration"/>
    <w:p>
      <w:pPr>
        <w:pStyle w:val="Heading3"/>
      </w:pPr>
      <w:r>
        <w:t xml:space="preserve">Elaboration</w:t>
      </w:r>
    </w:p>
    <w:p>
      <w:pPr>
        <w:pStyle w:val="FirstParagraph"/>
      </w:pPr>
      <w:r>
        <w:t xml:space="preserve">Compilation phase that builds a netlist-like model from RTL.</w:t>
      </w:r>
    </w:p>
    <w:p>
      <w:pPr>
        <w:pStyle w:val="BodyText"/>
      </w:pPr>
      <w:r>
        <w:t xml:space="preserve">In the VISTA context,</w:t>
      </w:r>
      <w:r>
        <w:t xml:space="preserve"> </w:t>
      </w:r>
      <w:r>
        <w:rPr>
          <w:b/>
          <w:bCs/>
        </w:rPr>
        <w:t xml:space="preserve">Elaboration</w:t>
      </w:r>
      <w:r>
        <w:t xml:space="preserve"> </w:t>
      </w:r>
      <w:r>
        <w:t xml:space="preserve">appears when discussing toolchains, metrics, or deployment; cross-reference Chapter IV for operational meaning and Chapter V for empirical usage.</w:t>
      </w:r>
    </w:p>
    <w:bookmarkEnd w:id="231"/>
    <w:bookmarkStart w:id="232" w:name="fsm"/>
    <w:p>
      <w:pPr>
        <w:pStyle w:val="Heading3"/>
      </w:pPr>
      <w:r>
        <w:t xml:space="preserve">FSM</w:t>
      </w:r>
    </w:p>
    <w:p>
      <w:pPr>
        <w:pStyle w:val="FirstParagraph"/>
      </w:pPr>
      <w:r>
        <w:t xml:space="preserve">Finite-state machine, often a target for temporal properties.</w:t>
      </w:r>
    </w:p>
    <w:p>
      <w:pPr>
        <w:pStyle w:val="BodyText"/>
      </w:pPr>
      <w:r>
        <w:t xml:space="preserve">In the VISTA context,</w:t>
      </w:r>
      <w:r>
        <w:t xml:space="preserve"> </w:t>
      </w:r>
      <w:r>
        <w:rPr>
          <w:b/>
          <w:bCs/>
        </w:rPr>
        <w:t xml:space="preserve">FSM</w:t>
      </w:r>
      <w:r>
        <w:t xml:space="preserve"> </w:t>
      </w:r>
      <w:r>
        <w:t xml:space="preserve">appears when discussing toolchains, metrics, or deployment; cross-reference Chapter IV for operational meaning and Chapter V for empirical usage.</w:t>
      </w:r>
    </w:p>
    <w:bookmarkEnd w:id="232"/>
    <w:bookmarkStart w:id="233" w:name="formal"/>
    <w:p>
      <w:pPr>
        <w:pStyle w:val="Heading3"/>
      </w:pPr>
      <w:r>
        <w:t xml:space="preserve">Formal</w:t>
      </w:r>
    </w:p>
    <w:p>
      <w:pPr>
        <w:pStyle w:val="FirstParagraph"/>
      </w:pPr>
      <w:r>
        <w:t xml:space="preserve">Mathematical analysis of a model against properties.</w:t>
      </w:r>
    </w:p>
    <w:p>
      <w:pPr>
        <w:pStyle w:val="BodyText"/>
      </w:pPr>
      <w:r>
        <w:t xml:space="preserve">In the VISTA context,</w:t>
      </w:r>
      <w:r>
        <w:t xml:space="preserve"> </w:t>
      </w:r>
      <w:r>
        <w:rPr>
          <w:b/>
          <w:bCs/>
        </w:rPr>
        <w:t xml:space="preserve">Formal</w:t>
      </w:r>
      <w:r>
        <w:t xml:space="preserve"> </w:t>
      </w:r>
      <w:r>
        <w:t xml:space="preserve">appears when discussing toolchains, metrics, or deployment; cross-reference Chapter IV for operational meaning and Chapter V for empirical usage.</w:t>
      </w:r>
    </w:p>
    <w:bookmarkEnd w:id="233"/>
    <w:bookmarkStart w:id="234" w:name="gold-reference"/>
    <w:p>
      <w:pPr>
        <w:pStyle w:val="Heading3"/>
      </w:pPr>
      <w:r>
        <w:t xml:space="preserve">Gold reference</w:t>
      </w:r>
    </w:p>
    <w:p>
      <w:pPr>
        <w:pStyle w:val="FirstParagraph"/>
      </w:pPr>
      <w:r>
        <w:t xml:space="preserve">Expert or dataset-provided target output for comparison.</w:t>
      </w:r>
    </w:p>
    <w:p>
      <w:pPr>
        <w:pStyle w:val="BodyText"/>
      </w:pPr>
      <w:r>
        <w:t xml:space="preserve">In the VISTA context,</w:t>
      </w:r>
      <w:r>
        <w:t xml:space="preserve"> </w:t>
      </w:r>
      <w:r>
        <w:rPr>
          <w:b/>
          <w:bCs/>
        </w:rPr>
        <w:t xml:space="preserve">Gold reference</w:t>
      </w:r>
      <w:r>
        <w:t xml:space="preserve"> </w:t>
      </w:r>
      <w:r>
        <w:t xml:space="preserve">appears when discussing toolchains, metrics, or deployment; cross-reference Chapter IV for operational meaning and Chapter V for empirical usage.</w:t>
      </w:r>
    </w:p>
    <w:bookmarkEnd w:id="234"/>
    <w:bookmarkStart w:id="235" w:name="harness"/>
    <w:p>
      <w:pPr>
        <w:pStyle w:val="Heading3"/>
      </w:pPr>
      <w:r>
        <w:t xml:space="preserve">Harness</w:t>
      </w:r>
    </w:p>
    <w:p>
      <w:pPr>
        <w:pStyle w:val="FirstParagraph"/>
      </w:pPr>
      <w:r>
        <w:t xml:space="preserve">Wrapper module that supplies context for fragment-level RTL.</w:t>
      </w:r>
    </w:p>
    <w:p>
      <w:pPr>
        <w:pStyle w:val="BodyText"/>
      </w:pPr>
      <w:r>
        <w:t xml:space="preserve">In the VISTA context,</w:t>
      </w:r>
      <w:r>
        <w:t xml:space="preserve"> </w:t>
      </w:r>
      <w:r>
        <w:rPr>
          <w:b/>
          <w:bCs/>
        </w:rPr>
        <w:t xml:space="preserve">Harness</w:t>
      </w:r>
      <w:r>
        <w:t xml:space="preserve"> </w:t>
      </w:r>
      <w:r>
        <w:t xml:space="preserve">appears when discussing toolchains, metrics, or deployment; cross-reference Chapter IV for operational meaning and Chapter V for empirical usage.</w:t>
      </w:r>
    </w:p>
    <w:bookmarkEnd w:id="235"/>
    <w:bookmarkStart w:id="236" w:name="induction"/>
    <w:p>
      <w:pPr>
        <w:pStyle w:val="Heading3"/>
      </w:pPr>
      <w:r>
        <w:t xml:space="preserve">Induction</w:t>
      </w:r>
    </w:p>
    <w:p>
      <w:pPr>
        <w:pStyle w:val="FirstParagraph"/>
      </w:pPr>
      <w:r>
        <w:t xml:space="preserve">Proof technique generalizing from bounded unrolling.</w:t>
      </w:r>
    </w:p>
    <w:p>
      <w:pPr>
        <w:pStyle w:val="BodyText"/>
      </w:pPr>
      <w:r>
        <w:t xml:space="preserve">In the VISTA context,</w:t>
      </w:r>
      <w:r>
        <w:t xml:space="preserve"> </w:t>
      </w:r>
      <w:r>
        <w:rPr>
          <w:b/>
          <w:bCs/>
        </w:rPr>
        <w:t xml:space="preserve">Induction</w:t>
      </w:r>
      <w:r>
        <w:t xml:space="preserve"> </w:t>
      </w:r>
      <w:r>
        <w:t xml:space="preserve">appears when discussing toolchains, metrics, or deployment; cross-reference Chapter IV for operational meaning and Chapter V for empirical usage.</w:t>
      </w:r>
    </w:p>
    <w:bookmarkEnd w:id="236"/>
    <w:bookmarkStart w:id="237" w:name="jaccard"/>
    <w:p>
      <w:pPr>
        <w:pStyle w:val="Heading3"/>
      </w:pPr>
      <w:r>
        <w:t xml:space="preserve">Jaccard</w:t>
      </w:r>
    </w:p>
    <w:p>
      <w:pPr>
        <w:pStyle w:val="FirstParagraph"/>
      </w:pPr>
      <w:r>
        <w:t xml:space="preserve">Set overlap measure; here applied to token sets of assertions.</w:t>
      </w:r>
    </w:p>
    <w:p>
      <w:pPr>
        <w:pStyle w:val="BodyText"/>
      </w:pPr>
      <w:r>
        <w:t xml:space="preserve">In the VISTA context,</w:t>
      </w:r>
      <w:r>
        <w:t xml:space="preserve"> </w:t>
      </w:r>
      <w:r>
        <w:rPr>
          <w:b/>
          <w:bCs/>
        </w:rPr>
        <w:t xml:space="preserve">Jaccard</w:t>
      </w:r>
      <w:r>
        <w:t xml:space="preserve"> </w:t>
      </w:r>
      <w:r>
        <w:t xml:space="preserve">appears when discussing toolchains, metrics, or deployment; cross-reference Chapter IV for operational meaning and Chapter V for empirical usage.</w:t>
      </w:r>
    </w:p>
    <w:bookmarkEnd w:id="237"/>
    <w:bookmarkStart w:id="238" w:name="lora"/>
    <w:p>
      <w:pPr>
        <w:pStyle w:val="Heading3"/>
      </w:pPr>
      <w:r>
        <w:t xml:space="preserve">LoRA</w:t>
      </w:r>
    </w:p>
    <w:p>
      <w:pPr>
        <w:pStyle w:val="FirstParagraph"/>
      </w:pPr>
      <w:r>
        <w:t xml:space="preserve">Low-rank adaptation of weight updates in a subset of layers.</w:t>
      </w:r>
    </w:p>
    <w:p>
      <w:pPr>
        <w:pStyle w:val="BodyText"/>
      </w:pPr>
      <w:r>
        <w:t xml:space="preserve">In the VISTA context,</w:t>
      </w:r>
      <w:r>
        <w:t xml:space="preserve"> </w:t>
      </w:r>
      <w:r>
        <w:rPr>
          <w:b/>
          <w:bCs/>
        </w:rPr>
        <w:t xml:space="preserve">LoRA</w:t>
      </w:r>
      <w:r>
        <w:t xml:space="preserve"> </w:t>
      </w:r>
      <w:r>
        <w:t xml:space="preserve">appears when discussing toolchains, metrics, or deployment; cross-reference Chapter IV for operational meaning and Chapter V for empirical usage.</w:t>
      </w:r>
    </w:p>
    <w:bookmarkEnd w:id="238"/>
    <w:bookmarkStart w:id="239" w:name="peft"/>
    <w:p>
      <w:pPr>
        <w:pStyle w:val="Heading3"/>
      </w:pPr>
      <w:r>
        <w:t xml:space="preserve">PEFT</w:t>
      </w:r>
    </w:p>
    <w:p>
      <w:pPr>
        <w:pStyle w:val="FirstParagraph"/>
      </w:pPr>
      <w:r>
        <w:t xml:space="preserve">Parameter-efficient fine-tuning family including LoRA and QLoRA.</w:t>
      </w:r>
    </w:p>
    <w:p>
      <w:pPr>
        <w:pStyle w:val="BodyText"/>
      </w:pPr>
      <w:r>
        <w:t xml:space="preserve">In the VISTA context,</w:t>
      </w:r>
      <w:r>
        <w:t xml:space="preserve"> </w:t>
      </w:r>
      <w:r>
        <w:rPr>
          <w:b/>
          <w:bCs/>
        </w:rPr>
        <w:t xml:space="preserve">PEFT</w:t>
      </w:r>
      <w:r>
        <w:t xml:space="preserve"> </w:t>
      </w:r>
      <w:r>
        <w:t xml:space="preserve">appears when discussing toolchains, metrics, or deployment; cross-reference Chapter IV for operational meaning and Chapter V for empirical usage.</w:t>
      </w:r>
    </w:p>
    <w:bookmarkEnd w:id="239"/>
    <w:bookmarkStart w:id="240" w:name="property"/>
    <w:p>
      <w:pPr>
        <w:pStyle w:val="Heading3"/>
      </w:pPr>
      <w:r>
        <w:t xml:space="preserve">Property</w:t>
      </w:r>
    </w:p>
    <w:p>
      <w:pPr>
        <w:pStyle w:val="FirstParagraph"/>
      </w:pPr>
      <w:r>
        <w:t xml:space="preserve">Named SVA construct grouping temporal behavior.</w:t>
      </w:r>
    </w:p>
    <w:p>
      <w:pPr>
        <w:pStyle w:val="BodyText"/>
      </w:pPr>
      <w:r>
        <w:t xml:space="preserve">In the VISTA context,</w:t>
      </w:r>
      <w:r>
        <w:t xml:space="preserve"> </w:t>
      </w:r>
      <w:r>
        <w:rPr>
          <w:b/>
          <w:bCs/>
        </w:rPr>
        <w:t xml:space="preserve">Property</w:t>
      </w:r>
      <w:r>
        <w:t xml:space="preserve"> </w:t>
      </w:r>
      <w:r>
        <w:t xml:space="preserve">appears when discussing toolchains, metrics, or deployment; cross-reference Chapter IV for operational meaning and Chapter V for empirical usage.</w:t>
      </w:r>
    </w:p>
    <w:bookmarkEnd w:id="240"/>
    <w:bookmarkStart w:id="241" w:name="qlora"/>
    <w:p>
      <w:pPr>
        <w:pStyle w:val="Heading3"/>
      </w:pPr>
      <w:r>
        <w:t xml:space="preserve">QLoRA</w:t>
      </w:r>
    </w:p>
    <w:p>
      <w:pPr>
        <w:pStyle w:val="FirstParagraph"/>
      </w:pPr>
      <w:r>
        <w:t xml:space="preserve">Quantized LoRA training on a low-bit base model representation.</w:t>
      </w:r>
    </w:p>
    <w:p>
      <w:pPr>
        <w:pStyle w:val="BodyText"/>
      </w:pPr>
      <w:r>
        <w:t xml:space="preserve">In the VISTA context,</w:t>
      </w:r>
      <w:r>
        <w:t xml:space="preserve"> </w:t>
      </w:r>
      <w:r>
        <w:rPr>
          <w:b/>
          <w:bCs/>
        </w:rPr>
        <w:t xml:space="preserve">QLoRA</w:t>
      </w:r>
      <w:r>
        <w:t xml:space="preserve"> </w:t>
      </w:r>
      <w:r>
        <w:t xml:space="preserve">appears when discussing toolchains, metrics, or deployment; cross-reference Chapter IV for operational meaning and Chapter V for empirical usage.</w:t>
      </w:r>
    </w:p>
    <w:bookmarkEnd w:id="241"/>
    <w:bookmarkStart w:id="242" w:name="rtl"/>
    <w:p>
      <w:pPr>
        <w:pStyle w:val="Heading3"/>
      </w:pPr>
      <w:r>
        <w:t xml:space="preserve">RTL</w:t>
      </w:r>
    </w:p>
    <w:p>
      <w:pPr>
        <w:pStyle w:val="FirstParagraph"/>
      </w:pPr>
      <w:r>
        <w:t xml:space="preserve">Register-transfer level hardware description.</w:t>
      </w:r>
    </w:p>
    <w:p>
      <w:pPr>
        <w:pStyle w:val="BodyText"/>
      </w:pPr>
      <w:r>
        <w:t xml:space="preserve">In the VISTA context,</w:t>
      </w:r>
      <w:r>
        <w:t xml:space="preserve"> </w:t>
      </w:r>
      <w:r>
        <w:rPr>
          <w:b/>
          <w:bCs/>
        </w:rPr>
        <w:t xml:space="preserve">RTL</w:t>
      </w:r>
      <w:r>
        <w:t xml:space="preserve"> </w:t>
      </w:r>
      <w:r>
        <w:t xml:space="preserve">appears when discussing toolchains, metrics, or deployment; cross-reference Chapter IV for operational meaning and Chapter V for empirical usage.</w:t>
      </w:r>
    </w:p>
    <w:bookmarkEnd w:id="242"/>
    <w:bookmarkStart w:id="243" w:name="reset"/>
    <w:p>
      <w:pPr>
        <w:pStyle w:val="Heading3"/>
      </w:pPr>
      <w:r>
        <w:t xml:space="preserve">Reset</w:t>
      </w:r>
    </w:p>
    <w:p>
      <w:pPr>
        <w:pStyle w:val="FirstParagraph"/>
      </w:pPr>
      <w:r>
        <w:t xml:space="preserve">Signal or protocol returning the design to a known state.</w:t>
      </w:r>
    </w:p>
    <w:p>
      <w:pPr>
        <w:pStyle w:val="BodyText"/>
      </w:pPr>
      <w:r>
        <w:t xml:space="preserve">In the VISTA context,</w:t>
      </w:r>
      <w:r>
        <w:t xml:space="preserve"> </w:t>
      </w:r>
      <w:r>
        <w:rPr>
          <w:b/>
          <w:bCs/>
        </w:rPr>
        <w:t xml:space="preserve">Reset</w:t>
      </w:r>
      <w:r>
        <w:t xml:space="preserve"> </w:t>
      </w:r>
      <w:r>
        <w:t xml:space="preserve">appears when discussing toolchains, metrics, or deployment; cross-reference Chapter IV for operational meaning and Chapter V for empirical usage.</w:t>
      </w:r>
    </w:p>
    <w:bookmarkEnd w:id="243"/>
    <w:bookmarkStart w:id="244" w:name="smt"/>
    <w:p>
      <w:pPr>
        <w:pStyle w:val="Heading3"/>
      </w:pPr>
      <w:r>
        <w:t xml:space="preserve">SMT</w:t>
      </w:r>
    </w:p>
    <w:p>
      <w:pPr>
        <w:pStyle w:val="FirstParagraph"/>
      </w:pPr>
      <w:r>
        <w:t xml:space="preserve">Satisfiability modulo theories used by many model checkers.</w:t>
      </w:r>
    </w:p>
    <w:p>
      <w:pPr>
        <w:pStyle w:val="BodyText"/>
      </w:pPr>
      <w:r>
        <w:t xml:space="preserve">In the VISTA context,</w:t>
      </w:r>
      <w:r>
        <w:t xml:space="preserve"> </w:t>
      </w:r>
      <w:r>
        <w:rPr>
          <w:b/>
          <w:bCs/>
        </w:rPr>
        <w:t xml:space="preserve">SMT</w:t>
      </w:r>
      <w:r>
        <w:t xml:space="preserve"> </w:t>
      </w:r>
      <w:r>
        <w:t xml:space="preserve">appears when discussing toolchains, metrics, or deployment; cross-reference Chapter IV for operational meaning and Chapter V for empirical usage.</w:t>
      </w:r>
    </w:p>
    <w:bookmarkEnd w:id="244"/>
    <w:bookmarkStart w:id="245" w:name="sva"/>
    <w:p>
      <w:pPr>
        <w:pStyle w:val="Heading3"/>
      </w:pPr>
      <w:r>
        <w:t xml:space="preserve">SVA</w:t>
      </w:r>
    </w:p>
    <w:p>
      <w:pPr>
        <w:pStyle w:val="FirstParagraph"/>
      </w:pPr>
      <w:r>
        <w:t xml:space="preserve">IEEE 1800 SystemVerilog Assertions language features.</w:t>
      </w:r>
    </w:p>
    <w:p>
      <w:pPr>
        <w:pStyle w:val="BodyText"/>
      </w:pPr>
      <w:r>
        <w:t xml:space="preserve">In the VISTA context,</w:t>
      </w:r>
      <w:r>
        <w:t xml:space="preserve"> </w:t>
      </w:r>
      <w:r>
        <w:rPr>
          <w:b/>
          <w:bCs/>
        </w:rPr>
        <w:t xml:space="preserve">SVA</w:t>
      </w:r>
      <w:r>
        <w:t xml:space="preserve"> </w:t>
      </w:r>
      <w:r>
        <w:t xml:space="preserve">appears when discussing toolchains, metrics, or deployment; cross-reference Chapter IV for operational meaning and Chapter V for empirical usage.</w:t>
      </w:r>
    </w:p>
    <w:bookmarkEnd w:id="245"/>
    <w:bookmarkStart w:id="246" w:name="symbiyosys"/>
    <w:p>
      <w:pPr>
        <w:pStyle w:val="Heading3"/>
      </w:pPr>
      <w:r>
        <w:t xml:space="preserve">SymbiYosys</w:t>
      </w:r>
    </w:p>
    <w:p>
      <w:pPr>
        <w:pStyle w:val="FirstParagraph"/>
      </w:pPr>
      <w:r>
        <w:t xml:space="preserve">Front-end driver for Yosys-based formal proof flows.</w:t>
      </w:r>
    </w:p>
    <w:p>
      <w:pPr>
        <w:pStyle w:val="BodyText"/>
      </w:pPr>
      <w:r>
        <w:t xml:space="preserve">In the VISTA context,</w:t>
      </w:r>
      <w:r>
        <w:t xml:space="preserve"> </w:t>
      </w:r>
      <w:r>
        <w:rPr>
          <w:b/>
          <w:bCs/>
        </w:rPr>
        <w:t xml:space="preserve">SymbiYosys</w:t>
      </w:r>
      <w:r>
        <w:t xml:space="preserve"> </w:t>
      </w:r>
      <w:r>
        <w:t xml:space="preserve">appears when discussing toolchains, metrics, or deployment; cross-reference Chapter IV for operational meaning and Chapter V for empirical usage.</w:t>
      </w:r>
    </w:p>
    <w:bookmarkEnd w:id="246"/>
    <w:bookmarkStart w:id="247" w:name="temporal-operator"/>
    <w:p>
      <w:pPr>
        <w:pStyle w:val="Heading3"/>
      </w:pPr>
      <w:r>
        <w:t xml:space="preserve">Temporal operator</w:t>
      </w:r>
    </w:p>
    <w:p>
      <w:pPr>
        <w:pStyle w:val="FirstParagraph"/>
      </w:pPr>
      <w:r>
        <w:t xml:space="preserve">Construct relating behavior across clock cycles.</w:t>
      </w:r>
    </w:p>
    <w:p>
      <w:pPr>
        <w:pStyle w:val="BodyText"/>
      </w:pPr>
      <w:r>
        <w:t xml:space="preserve">In the VISTA context,</w:t>
      </w:r>
      <w:r>
        <w:t xml:space="preserve"> </w:t>
      </w:r>
      <w:r>
        <w:rPr>
          <w:b/>
          <w:bCs/>
        </w:rPr>
        <w:t xml:space="preserve">Temporal operator</w:t>
      </w:r>
      <w:r>
        <w:t xml:space="preserve"> </w:t>
      </w:r>
      <w:r>
        <w:t xml:space="preserve">appears when discussing toolchains, metrics, or deployment; cross-reference Chapter IV for operational meaning and Chapter V for empirical usage.</w:t>
      </w:r>
    </w:p>
    <w:bookmarkEnd w:id="247"/>
    <w:bookmarkStart w:id="248" w:name="token"/>
    <w:p>
      <w:pPr>
        <w:pStyle w:val="Heading3"/>
      </w:pPr>
      <w:r>
        <w:t xml:space="preserve">Token</w:t>
      </w:r>
    </w:p>
    <w:p>
      <w:pPr>
        <w:pStyle w:val="FirstParagraph"/>
      </w:pPr>
      <w:r>
        <w:t xml:space="preserve">Minimal text unit used in lexical similarity computation.</w:t>
      </w:r>
    </w:p>
    <w:p>
      <w:pPr>
        <w:pStyle w:val="BodyText"/>
      </w:pPr>
      <w:r>
        <w:t xml:space="preserve">In the VISTA context,</w:t>
      </w:r>
      <w:r>
        <w:t xml:space="preserve"> </w:t>
      </w:r>
      <w:r>
        <w:rPr>
          <w:b/>
          <w:bCs/>
        </w:rPr>
        <w:t xml:space="preserve">Token</w:t>
      </w:r>
      <w:r>
        <w:t xml:space="preserve"> </w:t>
      </w:r>
      <w:r>
        <w:t xml:space="preserve">appears when discussing toolchains, metrics, or deployment; cross-reference Chapter IV for operational meaning and Chapter V for empirical usage.</w:t>
      </w:r>
    </w:p>
    <w:bookmarkEnd w:id="248"/>
    <w:bookmarkStart w:id="249" w:name="vert"/>
    <w:p>
      <w:pPr>
        <w:pStyle w:val="Heading3"/>
      </w:pPr>
      <w:r>
        <w:t xml:space="preserve">VERT</w:t>
      </w:r>
    </w:p>
    <w:p>
      <w:pPr>
        <w:pStyle w:val="FirstParagraph"/>
      </w:pPr>
      <w:r>
        <w:t xml:space="preserve">Dataset pairing RTL fragments with reference assertions.</w:t>
      </w:r>
    </w:p>
    <w:p>
      <w:pPr>
        <w:pStyle w:val="BodyText"/>
      </w:pPr>
      <w:r>
        <w:t xml:space="preserve">In the VISTA context,</w:t>
      </w:r>
      <w:r>
        <w:t xml:space="preserve"> </w:t>
      </w:r>
      <w:r>
        <w:rPr>
          <w:b/>
          <w:bCs/>
        </w:rPr>
        <w:t xml:space="preserve">VERT</w:t>
      </w:r>
      <w:r>
        <w:t xml:space="preserve"> </w:t>
      </w:r>
      <w:r>
        <w:t xml:space="preserve">appears when discussing toolchains, metrics, or deployment; cross-reference Chapter IV for operational meaning and Chapter V for empirical usage.</w:t>
      </w:r>
    </w:p>
    <w:bookmarkEnd w:id="249"/>
    <w:bookmarkStart w:id="250" w:name="vacuity"/>
    <w:p>
      <w:pPr>
        <w:pStyle w:val="Heading3"/>
      </w:pPr>
      <w:r>
        <w:t xml:space="preserve">Vacuity</w:t>
      </w:r>
    </w:p>
    <w:p>
      <w:pPr>
        <w:pStyle w:val="FirstParagraph"/>
      </w:pPr>
      <w:r>
        <w:t xml:space="preserve">Situation where a property holds trivially and hides bugs.</w:t>
      </w:r>
    </w:p>
    <w:p>
      <w:pPr>
        <w:pStyle w:val="BodyText"/>
      </w:pPr>
      <w:r>
        <w:t xml:space="preserve">In the VISTA context,</w:t>
      </w:r>
      <w:r>
        <w:t xml:space="preserve"> </w:t>
      </w:r>
      <w:r>
        <w:rPr>
          <w:b/>
          <w:bCs/>
        </w:rPr>
        <w:t xml:space="preserve">Vacuity</w:t>
      </w:r>
      <w:r>
        <w:t xml:space="preserve"> </w:t>
      </w:r>
      <w:r>
        <w:t xml:space="preserve">appears when discussing toolchains, metrics, or deployment; cross-reference Chapter IV for operational meaning and Chapter V for empirical usage.</w:t>
      </w:r>
    </w:p>
    <w:bookmarkEnd w:id="250"/>
    <w:bookmarkStart w:id="251" w:name="wrapper"/>
    <w:p>
      <w:pPr>
        <w:pStyle w:val="Heading3"/>
      </w:pPr>
      <w:r>
        <w:t xml:space="preserve">Wrapper</w:t>
      </w:r>
    </w:p>
    <w:p>
      <w:pPr>
        <w:pStyle w:val="FirstParagraph"/>
      </w:pPr>
      <w:r>
        <w:t xml:space="preserve">Generated module enclosing dataset RTL for tools.</w:t>
      </w:r>
    </w:p>
    <w:p>
      <w:pPr>
        <w:pStyle w:val="BodyText"/>
      </w:pPr>
      <w:r>
        <w:t xml:space="preserve">In the VISTA context,</w:t>
      </w:r>
      <w:r>
        <w:t xml:space="preserve"> </w:t>
      </w:r>
      <w:r>
        <w:rPr>
          <w:b/>
          <w:bCs/>
        </w:rPr>
        <w:t xml:space="preserve">Wrapper</w:t>
      </w:r>
      <w:r>
        <w:t xml:space="preserve"> </w:t>
      </w:r>
      <w:r>
        <w:t xml:space="preserve">appears when discussing toolchains, metrics, or deployment; cross-reference Chapter IV for operational meaning and Chapter V for empirical usage.</w:t>
      </w:r>
    </w:p>
    <w:bookmarkEnd w:id="251"/>
    <w:bookmarkStart w:id="252" w:name="x-propagation"/>
    <w:p>
      <w:pPr>
        <w:pStyle w:val="Heading3"/>
      </w:pPr>
      <w:r>
        <w:t xml:space="preserve">X-propagation</w:t>
      </w:r>
    </w:p>
    <w:p>
      <w:pPr>
        <w:pStyle w:val="FirstParagraph"/>
      </w:pPr>
      <w:r>
        <w:t xml:space="preserve">Behavior of unknown logic values through expressions.</w:t>
      </w:r>
    </w:p>
    <w:p>
      <w:pPr>
        <w:pStyle w:val="BodyText"/>
      </w:pPr>
      <w:r>
        <w:t xml:space="preserve">In the VISTA context,</w:t>
      </w:r>
      <w:r>
        <w:t xml:space="preserve"> </w:t>
      </w:r>
      <w:r>
        <w:rPr>
          <w:b/>
          <w:bCs/>
        </w:rPr>
        <w:t xml:space="preserve">X-propagation</w:t>
      </w:r>
      <w:r>
        <w:t xml:space="preserve"> </w:t>
      </w:r>
      <w:r>
        <w:t xml:space="preserve">appears when discussing toolchains, metrics, or deployment; cross-reference Chapter IV for operational meaning and Chapter V for empirical usage.</w:t>
      </w:r>
    </w:p>
    <w:bookmarkEnd w:id="252"/>
    <w:bookmarkStart w:id="253" w:name="yosys"/>
    <w:p>
      <w:pPr>
        <w:pStyle w:val="Heading3"/>
      </w:pPr>
      <w:r>
        <w:t xml:space="preserve">Yosys</w:t>
      </w:r>
    </w:p>
    <w:p>
      <w:pPr>
        <w:pStyle w:val="FirstParagraph"/>
      </w:pPr>
      <w:r>
        <w:t xml:space="preserve">Open-source RTL synthesis and formal elaboration tool.</w:t>
      </w:r>
    </w:p>
    <w:p>
      <w:pPr>
        <w:pStyle w:val="BodyText"/>
      </w:pPr>
      <w:r>
        <w:t xml:space="preserve">In the VISTA context,</w:t>
      </w:r>
      <w:r>
        <w:t xml:space="preserve"> </w:t>
      </w:r>
      <w:r>
        <w:rPr>
          <w:b/>
          <w:bCs/>
        </w:rPr>
        <w:t xml:space="preserve">Yosys</w:t>
      </w:r>
      <w:r>
        <w:t xml:space="preserve"> </w:t>
      </w:r>
      <w:r>
        <w:t xml:space="preserve">appears when discussing toolchains, metrics, or deployment; cross-reference Chapter IV for operational meaning and Chapter V for empirical usage.</w:t>
      </w:r>
    </w:p>
    <w:bookmarkEnd w:id="253"/>
    <w:bookmarkStart w:id="254" w:name="adapter-weights"/>
    <w:p>
      <w:pPr>
        <w:pStyle w:val="Heading3"/>
      </w:pPr>
      <w:r>
        <w:t xml:space="preserve">Adapter weights</w:t>
      </w:r>
    </w:p>
    <w:p>
      <w:pPr>
        <w:pStyle w:val="FirstParagraph"/>
      </w:pPr>
      <w:r>
        <w:t xml:space="preserve">Trainable tensors added by LoRA/QLoRA to a frozen base.</w:t>
      </w:r>
    </w:p>
    <w:p>
      <w:pPr>
        <w:pStyle w:val="BodyText"/>
      </w:pPr>
      <w:r>
        <w:t xml:space="preserve">In the VISTA context,</w:t>
      </w:r>
      <w:r>
        <w:t xml:space="preserve"> </w:t>
      </w:r>
      <w:r>
        <w:rPr>
          <w:b/>
          <w:bCs/>
        </w:rPr>
        <w:t xml:space="preserve">Adapter weights</w:t>
      </w:r>
      <w:r>
        <w:t xml:space="preserve"> </w:t>
      </w:r>
      <w:r>
        <w:t xml:space="preserve">appears when discussing toolchains, metrics, or deployment; cross-reference Chapter IV for operational meaning and Chapter V for empirical usage.</w:t>
      </w:r>
    </w:p>
    <w:bookmarkEnd w:id="254"/>
    <w:bookmarkStart w:id="255" w:name="batch-size"/>
    <w:p>
      <w:pPr>
        <w:pStyle w:val="Heading3"/>
      </w:pPr>
      <w:r>
        <w:t xml:space="preserve">Batch size</w:t>
      </w:r>
    </w:p>
    <w:p>
      <w:pPr>
        <w:pStyle w:val="FirstParagraph"/>
      </w:pPr>
      <w:r>
        <w:t xml:space="preserve">Number of sequences processed per optimization step.</w:t>
      </w:r>
    </w:p>
    <w:p>
      <w:pPr>
        <w:pStyle w:val="BodyText"/>
      </w:pPr>
      <w:r>
        <w:t xml:space="preserve">In the VISTA context,</w:t>
      </w:r>
      <w:r>
        <w:t xml:space="preserve"> </w:t>
      </w:r>
      <w:r>
        <w:rPr>
          <w:b/>
          <w:bCs/>
        </w:rPr>
        <w:t xml:space="preserve">Batch size</w:t>
      </w:r>
      <w:r>
        <w:t xml:space="preserve"> </w:t>
      </w:r>
      <w:r>
        <w:t xml:space="preserve">appears when discussing toolchains, metrics, or deployment; cross-reference Chapter IV for operational meaning and Chapter V for empirical usage.</w:t>
      </w:r>
    </w:p>
    <w:bookmarkEnd w:id="255"/>
    <w:bookmarkStart w:id="256" w:name="epoch"/>
    <w:p>
      <w:pPr>
        <w:pStyle w:val="Heading3"/>
      </w:pPr>
      <w:r>
        <w:t xml:space="preserve">Epoch</w:t>
      </w:r>
    </w:p>
    <w:p>
      <w:pPr>
        <w:pStyle w:val="FirstParagraph"/>
      </w:pPr>
      <w:r>
        <w:t xml:space="preserve">One full pass over the training split.</w:t>
      </w:r>
    </w:p>
    <w:p>
      <w:pPr>
        <w:pStyle w:val="BodyText"/>
      </w:pPr>
      <w:r>
        <w:t xml:space="preserve">In the VISTA context,</w:t>
      </w:r>
      <w:r>
        <w:t xml:space="preserve"> </w:t>
      </w:r>
      <w:r>
        <w:rPr>
          <w:b/>
          <w:bCs/>
        </w:rPr>
        <w:t xml:space="preserve">Epoch</w:t>
      </w:r>
      <w:r>
        <w:t xml:space="preserve"> </w:t>
      </w:r>
      <w:r>
        <w:t xml:space="preserve">appears when discussing toolchains, metrics, or deployment; cross-reference Chapter IV for operational meaning and Chapter V for empirical usage.</w:t>
      </w:r>
    </w:p>
    <w:bookmarkEnd w:id="256"/>
    <w:bookmarkStart w:id="257" w:name="greedy-filter"/>
    <w:p>
      <w:pPr>
        <w:pStyle w:val="Heading3"/>
      </w:pPr>
      <w:r>
        <w:t xml:space="preserve">Greedy filter</w:t>
      </w:r>
    </w:p>
    <w:p>
      <w:pPr>
        <w:pStyle w:val="FirstParagraph"/>
      </w:pPr>
      <w:r>
        <w:t xml:space="preserve">Iterative assertion retention subject to parse success.</w:t>
      </w:r>
    </w:p>
    <w:p>
      <w:pPr>
        <w:pStyle w:val="BodyText"/>
      </w:pPr>
      <w:r>
        <w:t xml:space="preserve">In the VISTA context,</w:t>
      </w:r>
      <w:r>
        <w:t xml:space="preserve"> </w:t>
      </w:r>
      <w:r>
        <w:rPr>
          <w:b/>
          <w:bCs/>
        </w:rPr>
        <w:t xml:space="preserve">Greedy filter</w:t>
      </w:r>
      <w:r>
        <w:t xml:space="preserve"> </w:t>
      </w:r>
      <w:r>
        <w:t xml:space="preserve">appears when discussing toolchains, metrics, or deployment; cross-reference Chapter IV for operational meaning and Chapter V for empirical usage.</w:t>
      </w:r>
    </w:p>
    <w:bookmarkEnd w:id="257"/>
    <w:bookmarkStart w:id="258" w:name="inference"/>
    <w:p>
      <w:pPr>
        <w:pStyle w:val="Heading3"/>
      </w:pPr>
      <w:r>
        <w:t xml:space="preserve">Inference</w:t>
      </w:r>
    </w:p>
    <w:p>
      <w:pPr>
        <w:pStyle w:val="FirstParagraph"/>
      </w:pPr>
      <w:r>
        <w:t xml:space="preserve">Forward pass of the model to generate new text.</w:t>
      </w:r>
    </w:p>
    <w:p>
      <w:pPr>
        <w:pStyle w:val="BodyText"/>
      </w:pPr>
      <w:r>
        <w:t xml:space="preserve">In the VISTA context,</w:t>
      </w:r>
      <w:r>
        <w:t xml:space="preserve"> </w:t>
      </w:r>
      <w:r>
        <w:rPr>
          <w:b/>
          <w:bCs/>
        </w:rPr>
        <w:t xml:space="preserve">Inference</w:t>
      </w:r>
      <w:r>
        <w:t xml:space="preserve"> </w:t>
      </w:r>
      <w:r>
        <w:t xml:space="preserve">appears when discussing toolchains, metrics, or deployment; cross-reference Chapter IV for operational meaning and Chapter V for empirical usage.</w:t>
      </w:r>
    </w:p>
    <w:bookmarkEnd w:id="258"/>
    <w:bookmarkStart w:id="259" w:name="learning-rate"/>
    <w:p>
      <w:pPr>
        <w:pStyle w:val="Heading3"/>
      </w:pPr>
      <w:r>
        <w:t xml:space="preserve">Learning rate</w:t>
      </w:r>
    </w:p>
    <w:p>
      <w:pPr>
        <w:pStyle w:val="FirstParagraph"/>
      </w:pPr>
      <w:r>
        <w:t xml:space="preserve">Step size multiplier for gradient updates.</w:t>
      </w:r>
    </w:p>
    <w:p>
      <w:pPr>
        <w:pStyle w:val="BodyText"/>
      </w:pPr>
      <w:r>
        <w:t xml:space="preserve">In the VISTA context,</w:t>
      </w:r>
      <w:r>
        <w:t xml:space="preserve"> </w:t>
      </w:r>
      <w:r>
        <w:rPr>
          <w:b/>
          <w:bCs/>
        </w:rPr>
        <w:t xml:space="preserve">Learning rate</w:t>
      </w:r>
      <w:r>
        <w:t xml:space="preserve"> </w:t>
      </w:r>
      <w:r>
        <w:t xml:space="preserve">appears when discussing toolchains, metrics, or deployment; cross-reference Chapter IV for operational meaning and Chapter V for empirical usage.</w:t>
      </w:r>
    </w:p>
    <w:bookmarkEnd w:id="259"/>
    <w:bookmarkStart w:id="260" w:name="perplexity"/>
    <w:p>
      <w:pPr>
        <w:pStyle w:val="Heading3"/>
      </w:pPr>
      <w:r>
        <w:t xml:space="preserve">Perplexity</w:t>
      </w:r>
    </w:p>
    <w:p>
      <w:pPr>
        <w:pStyle w:val="FirstParagraph"/>
      </w:pPr>
      <w:r>
        <w:t xml:space="preserve">Exponentiated average negative log-likelihood on held-out text.</w:t>
      </w:r>
    </w:p>
    <w:p>
      <w:pPr>
        <w:pStyle w:val="BodyText"/>
      </w:pPr>
      <w:r>
        <w:t xml:space="preserve">In the VISTA context,</w:t>
      </w:r>
      <w:r>
        <w:t xml:space="preserve"> </w:t>
      </w:r>
      <w:r>
        <w:rPr>
          <w:b/>
          <w:bCs/>
        </w:rPr>
        <w:t xml:space="preserve">Perplexity</w:t>
      </w:r>
      <w:r>
        <w:t xml:space="preserve"> </w:t>
      </w:r>
      <w:r>
        <w:t xml:space="preserve">appears when discussing toolchains, metrics, or deployment; cross-reference Chapter IV for operational meaning and Chapter V for empirical usage.</w:t>
      </w:r>
    </w:p>
    <w:bookmarkEnd w:id="260"/>
    <w:bookmarkStart w:id="261" w:name="quantization"/>
    <w:p>
      <w:pPr>
        <w:pStyle w:val="Heading3"/>
      </w:pPr>
      <w:r>
        <w:t xml:space="preserve">Quantization</w:t>
      </w:r>
    </w:p>
    <w:p>
      <w:pPr>
        <w:pStyle w:val="FirstParagraph"/>
      </w:pPr>
      <w:r>
        <w:t xml:space="preserve">Reduced numeric precision for weights or activations.</w:t>
      </w:r>
    </w:p>
    <w:p>
      <w:pPr>
        <w:pStyle w:val="BodyText"/>
      </w:pPr>
      <w:r>
        <w:t xml:space="preserve">In the VISTA context,</w:t>
      </w:r>
      <w:r>
        <w:t xml:space="preserve"> </w:t>
      </w:r>
      <w:r>
        <w:rPr>
          <w:b/>
          <w:bCs/>
        </w:rPr>
        <w:t xml:space="preserve">Quantization</w:t>
      </w:r>
      <w:r>
        <w:t xml:space="preserve"> </w:t>
      </w:r>
      <w:r>
        <w:t xml:space="preserve">appears when discussing toolchains, metrics, or deployment; cross-reference Chapter IV for operational meaning and Chapter V for empirical usage.</w:t>
      </w:r>
    </w:p>
    <w:bookmarkEnd w:id="261"/>
    <w:bookmarkStart w:id="262" w:name="sequence-length"/>
    <w:p>
      <w:pPr>
        <w:pStyle w:val="Heading3"/>
      </w:pPr>
      <w:r>
        <w:t xml:space="preserve">Sequence length</w:t>
      </w:r>
    </w:p>
    <w:p>
      <w:pPr>
        <w:pStyle w:val="FirstParagraph"/>
      </w:pPr>
      <w:r>
        <w:t xml:space="preserve">Maximum tokens per training or inference example.</w:t>
      </w:r>
    </w:p>
    <w:p>
      <w:pPr>
        <w:pStyle w:val="BodyText"/>
      </w:pPr>
      <w:r>
        <w:t xml:space="preserve">In the VISTA context,</w:t>
      </w:r>
      <w:r>
        <w:t xml:space="preserve"> </w:t>
      </w:r>
      <w:r>
        <w:rPr>
          <w:b/>
          <w:bCs/>
        </w:rPr>
        <w:t xml:space="preserve">Sequence length</w:t>
      </w:r>
      <w:r>
        <w:t xml:space="preserve"> </w:t>
      </w:r>
      <w:r>
        <w:t xml:space="preserve">appears when discussing toolchains, metrics, or deployment; cross-reference Chapter IV for operational meaning and Chapter V for empirical usage.</w:t>
      </w:r>
    </w:p>
    <w:bookmarkEnd w:id="262"/>
    <w:bookmarkStart w:id="263" w:name="supervised-fine-tuning"/>
    <w:p>
      <w:pPr>
        <w:pStyle w:val="Heading3"/>
      </w:pPr>
      <w:r>
        <w:t xml:space="preserve">Supervised fine-tuning</w:t>
      </w:r>
    </w:p>
    <w:p>
      <w:pPr>
        <w:pStyle w:val="FirstParagraph"/>
      </w:pPr>
      <w:r>
        <w:t xml:space="preserve">Training on input–output pairs to imitate a task.</w:t>
      </w:r>
    </w:p>
    <w:p>
      <w:pPr>
        <w:pStyle w:val="BodyText"/>
      </w:pPr>
      <w:r>
        <w:t xml:space="preserve">In the VISTA context,</w:t>
      </w:r>
      <w:r>
        <w:t xml:space="preserve"> </w:t>
      </w:r>
      <w:r>
        <w:rPr>
          <w:b/>
          <w:bCs/>
        </w:rPr>
        <w:t xml:space="preserve">Supervised fine-tuning</w:t>
      </w:r>
      <w:r>
        <w:t xml:space="preserve"> </w:t>
      </w:r>
      <w:r>
        <w:t xml:space="preserve">appears when discussing toolchains, metrics, or deployment; cross-reference Chapter IV for operational meaning and Chapter V for empirical usage.</w:t>
      </w:r>
    </w:p>
    <w:bookmarkEnd w:id="263"/>
    <w:bookmarkStart w:id="264" w:name="tokenizer"/>
    <w:p>
      <w:pPr>
        <w:pStyle w:val="Heading3"/>
      </w:pPr>
      <w:r>
        <w:t xml:space="preserve">Tokenizer</w:t>
      </w:r>
    </w:p>
    <w:p>
      <w:pPr>
        <w:pStyle w:val="FirstParagraph"/>
      </w:pPr>
      <w:r>
        <w:t xml:space="preserve">Component mapping text to model vocabulary indices.</w:t>
      </w:r>
    </w:p>
    <w:p>
      <w:pPr>
        <w:pStyle w:val="BodyText"/>
      </w:pPr>
      <w:r>
        <w:t xml:space="preserve">In the VISTA context,</w:t>
      </w:r>
      <w:r>
        <w:t xml:space="preserve"> </w:t>
      </w:r>
      <w:r>
        <w:rPr>
          <w:b/>
          <w:bCs/>
        </w:rPr>
        <w:t xml:space="preserve">Tokenizer</w:t>
      </w:r>
      <w:r>
        <w:t xml:space="preserve"> </w:t>
      </w:r>
      <w:r>
        <w:t xml:space="preserve">appears when discussing toolchains, metrics, or deployment; cross-reference Chapter IV for operational meaning and Chapter V for empirical usage.</w:t>
      </w:r>
    </w:p>
    <w:bookmarkEnd w:id="264"/>
    <w:bookmarkStart w:id="265" w:name="unsloth"/>
    <w:p>
      <w:pPr>
        <w:pStyle w:val="Heading3"/>
      </w:pPr>
      <w:r>
        <w:t xml:space="preserve">Unsloth</w:t>
      </w:r>
    </w:p>
    <w:p>
      <w:pPr>
        <w:pStyle w:val="FirstParagraph"/>
      </w:pPr>
      <w:r>
        <w:t xml:space="preserve">Training acceleration library used for LLaMA-family tuning.</w:t>
      </w:r>
    </w:p>
    <w:p>
      <w:pPr>
        <w:pStyle w:val="BodyText"/>
      </w:pPr>
      <w:r>
        <w:t xml:space="preserve">In the VISTA context,</w:t>
      </w:r>
      <w:r>
        <w:t xml:space="preserve"> </w:t>
      </w:r>
      <w:r>
        <w:rPr>
          <w:b/>
          <w:bCs/>
        </w:rPr>
        <w:t xml:space="preserve">Unsloth</w:t>
      </w:r>
      <w:r>
        <w:t xml:space="preserve"> </w:t>
      </w:r>
      <w:r>
        <w:t xml:space="preserve">appears when discussing toolchains, metrics, or deployment; cross-reference Chapter IV for operational meaning and Chapter V for empirical usage.</w:t>
      </w:r>
    </w:p>
    <w:bookmarkEnd w:id="265"/>
    <w:bookmarkStart w:id="266" w:name="web-client"/>
    <w:p>
      <w:pPr>
        <w:pStyle w:val="Heading3"/>
      </w:pPr>
      <w:r>
        <w:t xml:space="preserve">Web client</w:t>
      </w:r>
    </w:p>
    <w:p>
      <w:pPr>
        <w:pStyle w:val="FirstParagraph"/>
      </w:pPr>
      <w:r>
        <w:t xml:space="preserve">Browser UI used in the VISTA demonstration.</w:t>
      </w:r>
    </w:p>
    <w:p>
      <w:pPr>
        <w:pStyle w:val="BodyText"/>
      </w:pPr>
      <w:r>
        <w:t xml:space="preserve">In the VISTA context,</w:t>
      </w:r>
      <w:r>
        <w:t xml:space="preserve"> </w:t>
      </w:r>
      <w:r>
        <w:rPr>
          <w:b/>
          <w:bCs/>
        </w:rPr>
        <w:t xml:space="preserve">Web client</w:t>
      </w:r>
      <w:r>
        <w:t xml:space="preserve"> </w:t>
      </w:r>
      <w:r>
        <w:t xml:space="preserve">appears when discussing toolchains, metrics, or deployment; cross-reference Chapter IV for operational meaning and Chapter V for empirical usage.</w:t>
      </w:r>
    </w:p>
    <w:bookmarkEnd w:id="266"/>
    <w:bookmarkStart w:id="267" w:name="fastapi"/>
    <w:p>
      <w:pPr>
        <w:pStyle w:val="Heading3"/>
      </w:pPr>
      <w:r>
        <w:t xml:space="preserve">FastAPI</w:t>
      </w:r>
    </w:p>
    <w:p>
      <w:pPr>
        <w:pStyle w:val="FirstParagraph"/>
      </w:pPr>
      <w:r>
        <w:t xml:space="preserve">Python web framework hosting inference in the demo stack.</w:t>
      </w:r>
    </w:p>
    <w:p>
      <w:pPr>
        <w:pStyle w:val="BodyText"/>
      </w:pPr>
      <w:r>
        <w:t xml:space="preserve">In the VISTA context,</w:t>
      </w:r>
      <w:r>
        <w:t xml:space="preserve"> </w:t>
      </w:r>
      <w:r>
        <w:rPr>
          <w:b/>
          <w:bCs/>
        </w:rPr>
        <w:t xml:space="preserve">FastAPI</w:t>
      </w:r>
      <w:r>
        <w:t xml:space="preserve"> </w:t>
      </w:r>
      <w:r>
        <w:t xml:space="preserve">appears when discussing toolchains, metrics, or deployment; cross-reference Chapter IV for operational meaning and Chapter V for empirical usage.</w:t>
      </w:r>
    </w:p>
    <w:bookmarkEnd w:id="267"/>
    <w:bookmarkStart w:id="268" w:name="next.js"/>
    <w:p>
      <w:pPr>
        <w:pStyle w:val="Heading3"/>
      </w:pPr>
      <w:r>
        <w:t xml:space="preserve">Next.js</w:t>
      </w:r>
    </w:p>
    <w:p>
      <w:pPr>
        <w:pStyle w:val="FirstParagraph"/>
      </w:pPr>
      <w:r>
        <w:t xml:space="preserve">React framework used for the demonstration front end.</w:t>
      </w:r>
    </w:p>
    <w:p>
      <w:pPr>
        <w:pStyle w:val="BodyText"/>
      </w:pPr>
      <w:r>
        <w:t xml:space="preserve">In the VISTA context,</w:t>
      </w:r>
      <w:r>
        <w:t xml:space="preserve"> </w:t>
      </w:r>
      <w:r>
        <w:rPr>
          <w:b/>
          <w:bCs/>
        </w:rPr>
        <w:t xml:space="preserve">Next.js</w:t>
      </w:r>
      <w:r>
        <w:t xml:space="preserve"> </w:t>
      </w:r>
      <w:r>
        <w:t xml:space="preserve">appears when discussing toolchains, metrics, or deployment; cross-reference Chapter IV for operational meaning and Chapter V for empirical usage.</w:t>
      </w:r>
    </w:p>
    <w:bookmarkEnd w:id="268"/>
    <w:bookmarkStart w:id="269" w:name="oss-cad-suite"/>
    <w:p>
      <w:pPr>
        <w:pStyle w:val="Heading3"/>
      </w:pPr>
      <w:r>
        <w:t xml:space="preserve">OSS CAD Suite</w:t>
      </w:r>
    </w:p>
    <w:p>
      <w:pPr>
        <w:pStyle w:val="FirstParagraph"/>
      </w:pPr>
      <w:r>
        <w:t xml:space="preserve">Packaged open-source digital design tools including Yosys.</w:t>
      </w:r>
    </w:p>
    <w:p>
      <w:pPr>
        <w:pStyle w:val="BodyText"/>
      </w:pPr>
      <w:r>
        <w:t xml:space="preserve">In the VISTA context,</w:t>
      </w:r>
      <w:r>
        <w:t xml:space="preserve"> </w:t>
      </w:r>
      <w:r>
        <w:rPr>
          <w:b/>
          <w:bCs/>
        </w:rPr>
        <w:t xml:space="preserve">OSS CAD Suite</w:t>
      </w:r>
      <w:r>
        <w:t xml:space="preserve"> </w:t>
      </w:r>
      <w:r>
        <w:t xml:space="preserve">appears when discussing toolchains, metrics, or deployment; cross-reference Chapter IV for operational meaning and Chapter V for empirical usage.</w:t>
      </w:r>
    </w:p>
    <w:bookmarkEnd w:id="269"/>
    <w:bookmarkStart w:id="270" w:name="sdg"/>
    <w:p>
      <w:pPr>
        <w:pStyle w:val="Heading3"/>
      </w:pPr>
      <w:r>
        <w:t xml:space="preserve">SDG</w:t>
      </w:r>
    </w:p>
    <w:p>
      <w:pPr>
        <w:pStyle w:val="FirstParagraph"/>
      </w:pPr>
      <w:r>
        <w:t xml:space="preserve">United Nations Sustainable Development Goal.</w:t>
      </w:r>
    </w:p>
    <w:p>
      <w:pPr>
        <w:pStyle w:val="BodyText"/>
      </w:pPr>
      <w:r>
        <w:t xml:space="preserve">In the VISTA context,</w:t>
      </w:r>
      <w:r>
        <w:t xml:space="preserve"> </w:t>
      </w:r>
      <w:r>
        <w:rPr>
          <w:b/>
          <w:bCs/>
        </w:rPr>
        <w:t xml:space="preserve">SDG</w:t>
      </w:r>
      <w:r>
        <w:t xml:space="preserve"> </w:t>
      </w:r>
      <w:r>
        <w:t xml:space="preserve">appears when discussing toolchains, metrics, or deployment; cross-reference Chapter IV for operational meaning and Chapter V for empirical usage.</w:t>
      </w:r>
    </w:p>
    <w:bookmarkEnd w:id="270"/>
    <w:bookmarkStart w:id="271" w:name="ieee-1800"/>
    <w:p>
      <w:pPr>
        <w:pStyle w:val="Heading3"/>
      </w:pPr>
      <w:r>
        <w:t xml:space="preserve">IEEE 1800</w:t>
      </w:r>
    </w:p>
    <w:p>
      <w:pPr>
        <w:pStyle w:val="FirstParagraph"/>
      </w:pPr>
      <w:r>
        <w:t xml:space="preserve">SystemVerilog language standard.</w:t>
      </w:r>
    </w:p>
    <w:p>
      <w:pPr>
        <w:pStyle w:val="BodyText"/>
      </w:pPr>
      <w:r>
        <w:t xml:space="preserve">In the VISTA context,</w:t>
      </w:r>
      <w:r>
        <w:t xml:space="preserve"> </w:t>
      </w:r>
      <w:r>
        <w:rPr>
          <w:b/>
          <w:bCs/>
        </w:rPr>
        <w:t xml:space="preserve">IEEE 1800</w:t>
      </w:r>
      <w:r>
        <w:t xml:space="preserve"> </w:t>
      </w:r>
      <w:r>
        <w:t xml:space="preserve">appears when discussing toolchains, metrics, or deployment; cross-reference Chapter IV for operational meaning and Chapter V for empirical usage.</w:t>
      </w:r>
    </w:p>
    <w:bookmarkEnd w:id="271"/>
    <w:bookmarkStart w:id="272" w:name="necop"/>
    <w:p>
      <w:pPr>
        <w:pStyle w:val="Heading3"/>
      </w:pPr>
      <w:r>
        <w:t xml:space="preserve">NECOP</w:t>
      </w:r>
    </w:p>
    <w:p>
      <w:pPr>
        <w:pStyle w:val="FirstParagraph"/>
      </w:pPr>
      <w:r>
        <w:t xml:space="preserve">Industrial collaboration program supporting this project.</w:t>
      </w:r>
    </w:p>
    <w:p>
      <w:pPr>
        <w:pStyle w:val="BodyText"/>
      </w:pPr>
      <w:r>
        <w:t xml:space="preserve">In the VISTA context,</w:t>
      </w:r>
      <w:r>
        <w:t xml:space="preserve"> </w:t>
      </w:r>
      <w:r>
        <w:rPr>
          <w:b/>
          <w:bCs/>
        </w:rPr>
        <w:t xml:space="preserve">NECOP</w:t>
      </w:r>
      <w:r>
        <w:t xml:space="preserve"> </w:t>
      </w:r>
      <w:r>
        <w:t xml:space="preserve">appears when discussing toolchains, metrics, or deployment; cross-reference Chapter IV for operational meaning and Chapter V for empirical usage.</w:t>
      </w:r>
    </w:p>
    <w:bookmarkEnd w:id="272"/>
    <w:bookmarkStart w:id="273" w:name="giki"/>
    <w:p>
      <w:pPr>
        <w:pStyle w:val="Heading3"/>
      </w:pPr>
      <w:r>
        <w:t xml:space="preserve">GIKI</w:t>
      </w:r>
    </w:p>
    <w:p>
      <w:pPr>
        <w:pStyle w:val="FirstParagraph"/>
      </w:pPr>
      <w:r>
        <w:t xml:space="preserve">Ghulam Ishaq Khan Institute of Engineering Sciences and Technology.</w:t>
      </w:r>
    </w:p>
    <w:p>
      <w:pPr>
        <w:pStyle w:val="BodyText"/>
      </w:pPr>
      <w:r>
        <w:t xml:space="preserve">In the VISTA context,</w:t>
      </w:r>
      <w:r>
        <w:t xml:space="preserve"> </w:t>
      </w:r>
      <w:r>
        <w:rPr>
          <w:b/>
          <w:bCs/>
        </w:rPr>
        <w:t xml:space="preserve">GIKI</w:t>
      </w:r>
      <w:r>
        <w:t xml:space="preserve"> </w:t>
      </w:r>
      <w:r>
        <w:t xml:space="preserve">appears when discussing toolchains, metrics, or deployment; cross-reference Chapter IV for operational meaning and Chapter V for empirical usage.</w:t>
      </w:r>
    </w:p>
    <w:bookmarkEnd w:id="273"/>
    <w:bookmarkEnd w:id="274"/>
    <w:bookmarkStart w:id="275" w:name="references"/>
    <w:p>
      <w:pPr>
        <w:pStyle w:val="Heading1"/>
      </w:pPr>
      <w:r>
        <w:t xml:space="preserve">REFERENCES</w:t>
      </w:r>
    </w:p>
    <w:p>
      <w:pPr>
        <w:pStyle w:val="FirstParagraph"/>
      </w:pPr>
      <w:r>
        <w:t xml:space="preserve">Follow</w:t>
      </w:r>
      <w:r>
        <w:t xml:space="preserve"> </w:t>
      </w:r>
      <w:r>
        <w:rPr>
          <w:b/>
          <w:bCs/>
        </w:rPr>
        <w:t xml:space="preserve">IEEE</w:t>
      </w:r>
      <w:r>
        <w:t xml:space="preserve"> </w:t>
      </w:r>
      <w:r>
        <w:t xml:space="preserve">or</w:t>
      </w:r>
      <w:r>
        <w:t xml:space="preserve"> </w:t>
      </w:r>
      <w:r>
        <w:rPr>
          <w:b/>
          <w:bCs/>
        </w:rPr>
        <w:t xml:space="preserve">Harvard</w:t>
      </w:r>
      <w:r>
        <w:t xml:space="preserve"> </w:t>
      </w:r>
      <w:r>
        <w:t xml:space="preserve">style as required by the faculty (Harvard preferred where stated). Official citation guidance:</w:t>
      </w:r>
    </w:p>
    <w:p>
      <w:pPr>
        <w:pStyle w:val="Compact"/>
        <w:numPr>
          <w:ilvl w:val="0"/>
          <w:numId w:val="1001"/>
        </w:numPr>
      </w:pPr>
      <w:r>
        <w:t xml:space="preserve">IEEE Citation Reference: https://www.ieee.org/documents/ieeecitationref.pdf</w:t>
      </w:r>
      <w:r>
        <w:br/>
      </w:r>
    </w:p>
    <w:p>
      <w:pPr>
        <w:pStyle w:val="Compact"/>
        <w:numPr>
          <w:ilvl w:val="0"/>
          <w:numId w:val="1001"/>
        </w:numPr>
      </w:pPr>
      <w:r>
        <w:t xml:space="preserve">Harvard overview (external helpdesk link from institute template): http://www.noodletools.com/helpdesk/kb/index.php?action=article&amp;id=53</w:t>
      </w:r>
    </w:p>
    <w:p>
      <w:pPr>
        <w:pStyle w:val="FirstParagraph"/>
      </w:pPr>
      <w:r>
        <w:rPr>
          <w:b/>
          <w:bCs/>
        </w:rPr>
        <w:t xml:space="preserve">Starter entries (complete and normalize in Zotero / Mendeley):</w:t>
      </w:r>
    </w:p>
    <w:p>
      <w:pPr>
        <w:pStyle w:val="BodyText"/>
      </w:pPr>
      <w:r>
        <w:t xml:space="preserve">[1] IEEE Std 1800-2023,</w:t>
      </w:r>
      <w:r>
        <w:t xml:space="preserve"> </w:t>
      </w:r>
      <w:r>
        <w:rPr>
          <w:i/>
          <w:iCs/>
        </w:rPr>
        <w:t xml:space="preserve">IEEE Standard for SystemVerilog</w:t>
      </w:r>
      <w:r>
        <w:t xml:space="preserve">.</w:t>
      </w:r>
    </w:p>
    <w:p>
      <w:pPr>
        <w:pStyle w:val="BodyText"/>
      </w:pPr>
      <w:r>
        <w:t xml:space="preserve">[2] SymbiYosys documentation, https://symbiyosys.readthedocs.io/</w:t>
      </w:r>
    </w:p>
    <w:p>
      <w:pPr>
        <w:pStyle w:val="BodyText"/>
      </w:pPr>
      <w:r>
        <w:t xml:space="preserve">[3] YosysHQ,</w:t>
      </w:r>
      <w:r>
        <w:t xml:space="preserve"> </w:t>
      </w:r>
      <w:r>
        <w:rPr>
          <w:i/>
          <w:iCs/>
        </w:rPr>
        <w:t xml:space="preserve">Yosys</w:t>
      </w:r>
      <w:r>
        <w:t xml:space="preserve">, https://yosyshq.net/yosys/</w:t>
      </w:r>
    </w:p>
    <w:p>
      <w:pPr>
        <w:pStyle w:val="BodyText"/>
      </w:pPr>
      <w:r>
        <w:t xml:space="preserve">[4] T. Dettmers et al., “QLoRA: Efficient Finetuning of Quantized LLMs,” arXiv:2305.14314, 2023.</w:t>
      </w:r>
    </w:p>
    <w:p>
      <w:pPr>
        <w:pStyle w:val="BodyText"/>
      </w:pPr>
      <w:r>
        <w:t xml:space="preserve">[5] E. Halpern et al., “AssertionBench…,” arXiv:2406.18627, 2024.</w:t>
      </w:r>
    </w:p>
    <w:p>
      <w:pPr>
        <w:pStyle w:val="BodyText"/>
      </w:pPr>
      <w:r>
        <w:t xml:space="preserve">[6] Unsloth, https://github.com/unslothai/unsloth</w:t>
      </w:r>
    </w:p>
    <w:p>
      <w:pPr>
        <w:pStyle w:val="BodyText"/>
      </w:pPr>
      <w:r>
        <w:t xml:space="preserve">[7] VERT dataset — cite upstream source and license you relied upon.</w:t>
      </w:r>
    </w:p>
    <w:bookmarkEnd w:id="275"/>
    <w:bookmarkStart w:id="276" w:name="X806c446aa9794bdbe2ad6d14eeba9a18a73142d"/>
    <w:p>
      <w:pPr>
        <w:pStyle w:val="Heading1"/>
      </w:pPr>
      <w:r>
        <w:t xml:space="preserve">APPENDIX A — Institute formatting checklist</w:t>
      </w:r>
    </w:p>
    <w:p>
      <w:pPr>
        <w:pStyle w:val="FirstParagraph"/>
      </w:pPr>
      <w:r>
        <w:t xml:space="preserve">Reproduce title page margins, subsequent-page margins, heading styles (CHAPTER I as Heading 1; chapter title as Heading 3; section headings per template), figure/table placement rules, equation numbering, and Turnitin submission per</w:t>
      </w:r>
      <w:r>
        <w:t xml:space="preserve"> </w:t>
      </w:r>
      <w:r>
        <w:rPr>
          <w:rStyle w:val="VerbatimChar"/>
        </w:rPr>
        <w:t xml:space="preserve">Vista_Report_format.txt</w:t>
      </w:r>
      <w:r>
        <w:t xml:space="preserve">.</w:t>
      </w:r>
    </w:p>
    <w:bookmarkEnd w:id="276"/>
    <w:bookmarkStart w:id="277" w:name="appendix-b-reproducibility-statement"/>
    <w:p>
      <w:pPr>
        <w:pStyle w:val="Heading1"/>
      </w:pPr>
      <w:r>
        <w:t xml:space="preserve">APPENDIX B — Reproducibility statement</w:t>
      </w:r>
    </w:p>
    <w:p>
      <w:pPr>
        <w:pStyle w:val="FirstParagraph"/>
      </w:pPr>
      <w:r>
        <w:t xml:space="preserve">Quantitative claims refer to run</w:t>
      </w:r>
      <w:r>
        <w:t xml:space="preserve"> </w:t>
      </w:r>
      <w:r>
        <w:rPr>
          <w:b/>
          <w:bCs/>
        </w:rPr>
        <w:t xml:space="preserve">model_eval_v7_100</w:t>
      </w:r>
      <w:r>
        <w:t xml:space="preserve"> </w:t>
      </w:r>
      <w:r>
        <w:t xml:space="preserve">in the project formal verification runs directory. The manifest records adapter path, decoding options, and per-index outcomes. Independent auditors should verify checksums and tool versions recorded at experiment time.</w:t>
      </w:r>
    </w:p>
    <w:bookmarkEnd w:id="277"/>
    <w:bookmarkStart w:id="278" w:name="appendix-c-ethics-risk-and-limitations"/>
    <w:p>
      <w:pPr>
        <w:pStyle w:val="Heading1"/>
      </w:pPr>
      <w:r>
        <w:t xml:space="preserve">APPENDIX C — Ethics, risk, and limitations</w:t>
      </w:r>
    </w:p>
    <w:p>
      <w:pPr>
        <w:pStyle w:val="FirstParagraph"/>
      </w:pPr>
      <w:r>
        <w:t xml:space="preserve">Assertions may be</w:t>
      </w:r>
      <w:r>
        <w:t xml:space="preserve"> </w:t>
      </w:r>
      <w:r>
        <w:rPr>
          <w:b/>
          <w:bCs/>
        </w:rPr>
        <w:t xml:space="preserve">incorrect</w:t>
      </w:r>
      <w:r>
        <w:t xml:space="preserve"> </w:t>
      </w:r>
      <w:r>
        <w:t xml:space="preserve">or</w:t>
      </w:r>
      <w:r>
        <w:t xml:space="preserve"> </w:t>
      </w:r>
      <w:r>
        <w:rPr>
          <w:b/>
          <w:bCs/>
        </w:rPr>
        <w:t xml:space="preserve">misleading</w:t>
      </w:r>
      <w:r>
        <w:t xml:space="preserve"> </w:t>
      </w:r>
      <w:r>
        <w:t xml:space="preserve">despite passing bounded checks. Assumptions must be disclosed. RTL sent to third-party cloud APIs raises confidentiality risk; local execution mitigates this for the demonstration configuration described in Chapter IV.</w:t>
      </w:r>
    </w:p>
    <w:p>
      <w:r>
        <w:pict>
          <v:rect style="width:0;height:1.5pt" o:hralign="center" o:hrstd="t" o:hr="t"/>
        </w:pict>
      </w:r>
    </w:p>
    <w:p>
      <w:pPr>
        <w:pStyle w:val="FirstParagraph"/>
      </w:pPr>
      <w:r>
        <w:rPr>
          <w:b/>
          <w:bCs/>
        </w:rPr>
        <w:t xml:space="preserve">Table A.1 — Outlier cases.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SymbiYosys</w:t>
            </w:r>
          </w:p>
        </w:tc>
        <w:tc>
          <w:tcPr/>
          <w:p>
            <w:pPr>
              <w:pStyle w:val="Compact"/>
            </w:pPr>
            <w:r>
              <w:t xml:space="preserve">Gold Jaccard</w:t>
            </w:r>
          </w:p>
        </w:tc>
        <w:tc>
          <w:tcPr/>
          <w:p>
            <w:pPr>
              <w:pStyle w:val="Compact"/>
            </w:pPr>
            <w:r>
              <w:t xml:space="preserve">Notes</w:t>
            </w:r>
          </w:p>
        </w:tc>
      </w:tr>
      <w:tr>
        <w:tc>
          <w:tcPr/>
          <w:p>
            <w:pPr>
              <w:pStyle w:val="Compact"/>
            </w:pPr>
            <w:r>
              <w:t xml:space="preserve">82</w:t>
            </w:r>
          </w:p>
        </w:tc>
        <w:tc>
          <w:tcPr/>
          <w:p>
            <w:pPr>
              <w:pStyle w:val="Compact"/>
            </w:pPr>
            <w:r>
              <w:t xml:space="preserve">fail</w:t>
            </w:r>
          </w:p>
        </w:tc>
        <w:tc>
          <w:tcPr/>
          <w:p>
            <w:pPr>
              <w:pStyle w:val="Compact"/>
            </w:pPr>
            <w:r>
              <w:t xml:space="preserve">1.0000</w:t>
            </w:r>
          </w:p>
        </w:tc>
        <w:tc>
          <w:tcPr/>
          <w:p>
            <w:pPr>
              <w:pStyle w:val="Compact"/>
            </w:pPr>
            <w:r>
              <w:t xml:space="preserve">Formal fail; don’t-care case item (Ch. V)</w:t>
            </w:r>
          </w:p>
        </w:tc>
      </w:tr>
      <w:tr>
        <w:tc>
          <w:tcPr/>
          <w:p>
            <w:pPr>
              <w:pStyle w:val="Compact"/>
            </w:pPr>
            <w:r>
              <w:t xml:space="preserve">52</w:t>
            </w:r>
          </w:p>
        </w:tc>
        <w:tc>
          <w:tcPr/>
          <w:p>
            <w:pPr>
              <w:pStyle w:val="Compact"/>
            </w:pPr>
            <w:r>
              <w:t xml:space="preserve">pass</w:t>
            </w:r>
          </w:p>
        </w:tc>
        <w:tc>
          <w:tcPr/>
          <w:p>
            <w:pPr>
              <w:pStyle w:val="Compact"/>
            </w:pPr>
            <w:r>
              <w:t xml:space="preserve">0.9487</w:t>
            </w:r>
          </w:p>
        </w:tc>
        <w:tc>
          <w:tcPr/>
          <w:p>
            <w:pPr>
              <w:pStyle w:val="Compact"/>
            </w:pPr>
            <w:r>
              <w:t xml:space="preserve">Jaccard &lt; 0.95; review overlap</w:t>
            </w:r>
          </w:p>
        </w:tc>
      </w:tr>
      <w:tr>
        <w:tc>
          <w:tcPr/>
          <w:p>
            <w:pPr>
              <w:pStyle w:val="Compact"/>
            </w:pPr>
            <w:r>
              <w:t xml:space="preserve">9</w:t>
            </w:r>
          </w:p>
        </w:tc>
        <w:tc>
          <w:tcPr/>
          <w:p>
            <w:pPr>
              <w:pStyle w:val="Compact"/>
            </w:pPr>
            <w:r>
              <w:t xml:space="preserve">pass</w:t>
            </w:r>
          </w:p>
        </w:tc>
        <w:tc>
          <w:tcPr/>
          <w:p>
            <w:pPr>
              <w:pStyle w:val="Compact"/>
            </w:pPr>
            <w:r>
              <w:t xml:space="preserve">0.9375</w:t>
            </w:r>
          </w:p>
        </w:tc>
        <w:tc>
          <w:tcPr/>
          <w:p>
            <w:pPr>
              <w:pStyle w:val="Compact"/>
            </w:pPr>
            <w:r>
              <w:t xml:space="preserve">Jaccard &lt; 0.95; review overlap</w:t>
            </w:r>
          </w:p>
        </w:tc>
      </w:tr>
      <w:tr>
        <w:tc>
          <w:tcPr/>
          <w:p>
            <w:pPr>
              <w:pStyle w:val="Compact"/>
            </w:pPr>
            <w:r>
              <w:t xml:space="preserve">41</w:t>
            </w:r>
          </w:p>
        </w:tc>
        <w:tc>
          <w:tcPr/>
          <w:p>
            <w:pPr>
              <w:pStyle w:val="Compact"/>
            </w:pPr>
            <w:r>
              <w:t xml:space="preserve">pass</w:t>
            </w:r>
          </w:p>
        </w:tc>
        <w:tc>
          <w:tcPr/>
          <w:p>
            <w:pPr>
              <w:pStyle w:val="Compact"/>
            </w:pPr>
            <w:r>
              <w:t xml:space="preserve">0.9355</w:t>
            </w:r>
          </w:p>
        </w:tc>
        <w:tc>
          <w:tcPr/>
          <w:p>
            <w:pPr>
              <w:pStyle w:val="Compact"/>
            </w:pPr>
            <w:r>
              <w:t xml:space="preserve">Jaccard &lt; 0.95; review overlap</w:t>
            </w:r>
          </w:p>
        </w:tc>
      </w:tr>
      <w:tr>
        <w:tc>
          <w:tcPr/>
          <w:p>
            <w:pPr>
              <w:pStyle w:val="Compact"/>
            </w:pPr>
            <w:r>
              <w:t xml:space="preserve">46</w:t>
            </w:r>
          </w:p>
        </w:tc>
        <w:tc>
          <w:tcPr/>
          <w:p>
            <w:pPr>
              <w:pStyle w:val="Compact"/>
            </w:pPr>
            <w:r>
              <w:t xml:space="preserve">pass</w:t>
            </w:r>
          </w:p>
        </w:tc>
        <w:tc>
          <w:tcPr/>
          <w:p>
            <w:pPr>
              <w:pStyle w:val="Compact"/>
            </w:pPr>
            <w:r>
              <w:t xml:space="preserve">0.9355</w:t>
            </w:r>
          </w:p>
        </w:tc>
        <w:tc>
          <w:tcPr/>
          <w:p>
            <w:pPr>
              <w:pStyle w:val="Compact"/>
            </w:pPr>
            <w:r>
              <w:t xml:space="preserve">Jaccard &lt; 0.95; review overlap</w:t>
            </w:r>
          </w:p>
        </w:tc>
      </w:tr>
      <w:tr>
        <w:tc>
          <w:tcPr/>
          <w:p>
            <w:pPr>
              <w:pStyle w:val="Compact"/>
            </w:pPr>
            <w:r>
              <w:t xml:space="preserve">86</w:t>
            </w:r>
          </w:p>
        </w:tc>
        <w:tc>
          <w:tcPr/>
          <w:p>
            <w:pPr>
              <w:pStyle w:val="Compact"/>
            </w:pPr>
            <w:r>
              <w:t xml:space="preserve">pass</w:t>
            </w:r>
          </w:p>
        </w:tc>
        <w:tc>
          <w:tcPr/>
          <w:p>
            <w:pPr>
              <w:pStyle w:val="Compact"/>
            </w:pPr>
            <w:r>
              <w:t xml:space="preserve">0.9333</w:t>
            </w:r>
          </w:p>
        </w:tc>
        <w:tc>
          <w:tcPr/>
          <w:p>
            <w:pPr>
              <w:pStyle w:val="Compact"/>
            </w:pPr>
            <w:r>
              <w:t xml:space="preserve">Jaccard &lt; 0.95; review overlap</w:t>
            </w:r>
          </w:p>
        </w:tc>
      </w:tr>
      <w:tr>
        <w:tc>
          <w:tcPr/>
          <w:p>
            <w:pPr>
              <w:pStyle w:val="Compact"/>
            </w:pPr>
            <w:r>
              <w:t xml:space="preserve">24</w:t>
            </w:r>
          </w:p>
        </w:tc>
        <w:tc>
          <w:tcPr/>
          <w:p>
            <w:pPr>
              <w:pStyle w:val="Compact"/>
            </w:pPr>
            <w:r>
              <w:t xml:space="preserve">pass</w:t>
            </w:r>
          </w:p>
        </w:tc>
        <w:tc>
          <w:tcPr/>
          <w:p>
            <w:pPr>
              <w:pStyle w:val="Compact"/>
            </w:pPr>
            <w:r>
              <w:t xml:space="preserve">0.9310</w:t>
            </w:r>
          </w:p>
        </w:tc>
        <w:tc>
          <w:tcPr/>
          <w:p>
            <w:pPr>
              <w:pStyle w:val="Compact"/>
            </w:pPr>
            <w:r>
              <w:t xml:space="preserve">Jaccard &lt; 0.95; review overlap</w:t>
            </w:r>
          </w:p>
        </w:tc>
      </w:tr>
      <w:tr>
        <w:tc>
          <w:tcPr/>
          <w:p>
            <w:pPr>
              <w:pStyle w:val="Compact"/>
            </w:pPr>
            <w:r>
              <w:t xml:space="preserve">67</w:t>
            </w:r>
          </w:p>
        </w:tc>
        <w:tc>
          <w:tcPr/>
          <w:p>
            <w:pPr>
              <w:pStyle w:val="Compact"/>
            </w:pPr>
            <w:r>
              <w:t xml:space="preserve">pass</w:t>
            </w:r>
          </w:p>
        </w:tc>
        <w:tc>
          <w:tcPr/>
          <w:p>
            <w:pPr>
              <w:pStyle w:val="Compact"/>
            </w:pPr>
            <w:r>
              <w:t xml:space="preserve">0.9310</w:t>
            </w:r>
          </w:p>
        </w:tc>
        <w:tc>
          <w:tcPr/>
          <w:p>
            <w:pPr>
              <w:pStyle w:val="Compact"/>
            </w:pPr>
            <w:r>
              <w:t xml:space="preserve">Jaccard &lt; 0.95; review overlap</w:t>
            </w:r>
          </w:p>
        </w:tc>
      </w:tr>
      <w:tr>
        <w:tc>
          <w:tcPr/>
          <w:p>
            <w:pPr>
              <w:pStyle w:val="Compact"/>
            </w:pPr>
            <w:r>
              <w:t xml:space="preserve">96</w:t>
            </w:r>
          </w:p>
        </w:tc>
        <w:tc>
          <w:tcPr/>
          <w:p>
            <w:pPr>
              <w:pStyle w:val="Compact"/>
            </w:pPr>
            <w:r>
              <w:t xml:space="preserve">pass</w:t>
            </w:r>
          </w:p>
        </w:tc>
        <w:tc>
          <w:tcPr/>
          <w:p>
            <w:pPr>
              <w:pStyle w:val="Compact"/>
            </w:pPr>
            <w:r>
              <w:t xml:space="preserve">0.9310</w:t>
            </w:r>
          </w:p>
        </w:tc>
        <w:tc>
          <w:tcPr/>
          <w:p>
            <w:pPr>
              <w:pStyle w:val="Compact"/>
            </w:pPr>
            <w:r>
              <w:t xml:space="preserve">Jaccard &lt; 0.95; review overlap</w:t>
            </w:r>
          </w:p>
        </w:tc>
      </w:tr>
      <w:tr>
        <w:tc>
          <w:tcPr/>
          <w:p>
            <w:pPr>
              <w:pStyle w:val="Compact"/>
            </w:pPr>
            <w:r>
              <w:t xml:space="preserve">23</w:t>
            </w:r>
          </w:p>
        </w:tc>
        <w:tc>
          <w:tcPr/>
          <w:p>
            <w:pPr>
              <w:pStyle w:val="Compact"/>
            </w:pPr>
            <w:r>
              <w:t xml:space="preserve">pass</w:t>
            </w:r>
          </w:p>
        </w:tc>
        <w:tc>
          <w:tcPr/>
          <w:p>
            <w:pPr>
              <w:pStyle w:val="Compact"/>
            </w:pPr>
            <w:r>
              <w:t xml:space="preserve">0.9286</w:t>
            </w:r>
          </w:p>
        </w:tc>
        <w:tc>
          <w:tcPr/>
          <w:p>
            <w:pPr>
              <w:pStyle w:val="Compact"/>
            </w:pPr>
            <w:r>
              <w:t xml:space="preserve">Jaccard &lt; 0.95; review overlap</w:t>
            </w:r>
          </w:p>
        </w:tc>
      </w:tr>
      <w:tr>
        <w:tc>
          <w:tcPr/>
          <w:p>
            <w:pPr>
              <w:pStyle w:val="Compact"/>
            </w:pPr>
            <w:r>
              <w:t xml:space="preserve">40</w:t>
            </w:r>
          </w:p>
        </w:tc>
        <w:tc>
          <w:tcPr/>
          <w:p>
            <w:pPr>
              <w:pStyle w:val="Compact"/>
            </w:pPr>
            <w:r>
              <w:t xml:space="preserve">pass</w:t>
            </w:r>
          </w:p>
        </w:tc>
        <w:tc>
          <w:tcPr/>
          <w:p>
            <w:pPr>
              <w:pStyle w:val="Compact"/>
            </w:pPr>
            <w:r>
              <w:t xml:space="preserve">0.7576</w:t>
            </w:r>
          </w:p>
        </w:tc>
        <w:tc>
          <w:tcPr/>
          <w:p>
            <w:pPr>
              <w:pStyle w:val="Compact"/>
            </w:pPr>
            <w:r>
              <w:t xml:space="preserve">Jaccard &lt; 0.95; review overlap</w:t>
            </w:r>
          </w:p>
        </w:tc>
      </w:tr>
    </w:tbl>
    <w:bookmarkEnd w:id="278"/>
    <w:bookmarkStart w:id="279" w:name="appendix-d-extended-threats-to-validity"/>
    <w:p>
      <w:pPr>
        <w:pStyle w:val="Heading1"/>
      </w:pPr>
      <w:r>
        <w:t xml:space="preserve">APPENDIX D — Extended threats to validity</w:t>
      </w:r>
    </w:p>
    <w:p>
      <w:pPr>
        <w:pStyle w:val="FirstParagraph"/>
      </w:pPr>
      <w:r>
        <w:rPr>
          <w:b/>
          <w:bCs/>
        </w:rPr>
        <w:t xml:space="preserve">Internal validity:</w:t>
      </w:r>
      <w:r>
        <w:t xml:space="preserve"> </w:t>
      </w:r>
      <w:r>
        <w:t xml:space="preserve">the hundred-sample slice is not a random draw from all VERT; it is an early contiguous block chosen for reproducibility.</w:t>
      </w:r>
    </w:p>
    <w:p>
      <w:pPr>
        <w:pStyle w:val="BodyText"/>
      </w:pPr>
      <w:r>
        <w:rPr>
          <w:b/>
          <w:bCs/>
        </w:rPr>
        <w:t xml:space="preserve">External validity:</w:t>
      </w:r>
      <w:r>
        <w:t xml:space="preserve"> </w:t>
      </w:r>
      <w:r>
        <w:t xml:space="preserve">results may not transfer to full modules, different clocks, or commercial SVA subsets.</w:t>
      </w:r>
    </w:p>
    <w:p>
      <w:pPr>
        <w:pStyle w:val="BodyText"/>
      </w:pPr>
      <w:r>
        <w:rPr>
          <w:b/>
          <w:bCs/>
        </w:rPr>
        <w:t xml:space="preserve">Construct validity:</w:t>
      </w:r>
      <w:r>
        <w:t xml:space="preserve"> </w:t>
      </w:r>
      <w:r>
        <w:t xml:space="preserve">gold Jaccard measures lexical overlap, not full semantic entailment.</w:t>
      </w:r>
    </w:p>
    <w:p>
      <w:pPr>
        <w:pStyle w:val="BodyText"/>
      </w:pPr>
      <w:r>
        <w:rPr>
          <w:b/>
          <w:bCs/>
        </w:rPr>
        <w:t xml:space="preserve">Conclusion validity:</w:t>
      </w:r>
      <w:r>
        <w:t xml:space="preserve"> </w:t>
      </w:r>
      <w:r>
        <w:t xml:space="preserve">a single formal failure should be interpreted with the case study in Chapter V, not suppressed.</w:t>
      </w:r>
    </w:p>
    <w:bookmarkEnd w:id="279"/>
    <w:bookmarkStart w:id="280" w:name="X415f9c73b1dfc7803c88ca98ce8214c7503171b"/>
    <w:p>
      <w:pPr>
        <w:pStyle w:val="Heading1"/>
      </w:pPr>
      <w:r>
        <w:t xml:space="preserve">APPENDIX E — Table B.1 — Per-sample log (n = 100)</w:t>
      </w:r>
    </w:p>
    <w:tbl>
      <w:tblPr>
        <w:tblStyle w:val="Table"/>
        <w:tblW w:type="pct" w:w="5000"/>
        <w:tblLayout w:type="fixed"/>
        <w:tblLook w:firstRow="1" w:lastRow="0" w:firstColumn="0" w:lastColumn="0" w:noHBand="0" w:noVBand="0" w:val="0020"/>
      </w:tblPr>
      <w:tblGrid>
        <w:gridCol w:w="602"/>
        <w:gridCol w:w="946"/>
        <w:gridCol w:w="1033"/>
        <w:gridCol w:w="1205"/>
        <w:gridCol w:w="1721"/>
        <w:gridCol w:w="1377"/>
        <w:gridCol w:w="1033"/>
      </w:tblGrid>
      <w:tr>
        <w:trPr>
          <w:tblHeader w:val="on"/>
        </w:trPr>
        <w:tc>
          <w:tcPr/>
          <w:p>
            <w:pPr>
              <w:pStyle w:val="Compact"/>
            </w:pPr>
            <w:r>
              <w:t xml:space="preserve">Index</w:t>
            </w:r>
          </w:p>
        </w:tc>
        <w:tc>
          <w:tcPr/>
          <w:p>
            <w:pPr>
              <w:pStyle w:val="Compact"/>
            </w:pPr>
            <w:r>
              <w:t xml:space="preserve">Syntax OK</w:t>
            </w:r>
          </w:p>
        </w:tc>
        <w:tc>
          <w:tcPr/>
          <w:p>
            <w:pPr>
              <w:pStyle w:val="Compact"/>
            </w:pPr>
            <w:r>
              <w:t xml:space="preserve">SymbiYosys</w:t>
            </w:r>
          </w:p>
        </w:tc>
        <w:tc>
          <w:tcPr/>
          <w:p>
            <w:pPr>
              <w:pStyle w:val="Compact"/>
            </w:pPr>
            <w:r>
              <w:t xml:space="preserve">Gold Jaccard</w:t>
            </w:r>
          </w:p>
        </w:tc>
        <w:tc>
          <w:tcPr/>
          <w:p>
            <w:pPr>
              <w:pStyle w:val="Compact"/>
            </w:pPr>
            <w:r>
              <w:t xml:space="preserve">Attempted clauses</w:t>
            </w:r>
          </w:p>
        </w:tc>
        <w:tc>
          <w:tcPr/>
          <w:p>
            <w:pPr>
              <w:pStyle w:val="Compact"/>
            </w:pPr>
            <w:r>
              <w:t xml:space="preserve">Greedy dropped</w:t>
            </w:r>
          </w:p>
        </w:tc>
        <w:tc>
          <w:tcPr/>
          <w:p>
            <w:pPr>
              <w:pStyle w:val="Compact"/>
            </w:pPr>
            <w:r>
              <w:t xml:space="preserve">Converted</w:t>
            </w:r>
          </w:p>
        </w:tc>
      </w:tr>
      <w:tr>
        <w:tc>
          <w:tcPr/>
          <w:p>
            <w:pPr>
              <w:pStyle w:val="Compact"/>
            </w:pPr>
            <w:r>
              <w:t xml:space="preserve">1</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2</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8</w:t>
            </w:r>
          </w:p>
        </w:tc>
        <w:tc>
          <w:tcPr/>
          <w:p>
            <w:pPr>
              <w:pStyle w:val="Compact"/>
            </w:pPr>
            <w:r>
              <w:t xml:space="preserve">0</w:t>
            </w:r>
          </w:p>
        </w:tc>
        <w:tc>
          <w:tcPr/>
          <w:p>
            <w:pPr>
              <w:pStyle w:val="Compact"/>
            </w:pPr>
            <w:r>
              <w:t xml:space="preserve">8</w:t>
            </w:r>
          </w:p>
        </w:tc>
      </w:tr>
      <w:tr>
        <w:tc>
          <w:tcPr/>
          <w:p>
            <w:pPr>
              <w:pStyle w:val="Compact"/>
            </w:pPr>
            <w:r>
              <w:t xml:space="preserve">3</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4</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5</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6</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4</w:t>
            </w:r>
          </w:p>
        </w:tc>
        <w:tc>
          <w:tcPr/>
          <w:p>
            <w:pPr>
              <w:pStyle w:val="Compact"/>
            </w:pPr>
            <w:r>
              <w:t xml:space="preserve">0</w:t>
            </w:r>
          </w:p>
        </w:tc>
        <w:tc>
          <w:tcPr/>
          <w:p>
            <w:pPr>
              <w:pStyle w:val="Compact"/>
            </w:pPr>
            <w:r>
              <w:t xml:space="preserve">4</w:t>
            </w:r>
          </w:p>
        </w:tc>
      </w:tr>
      <w:tr>
        <w:tc>
          <w:tcPr/>
          <w:p>
            <w:pPr>
              <w:pStyle w:val="Compact"/>
            </w:pPr>
            <w:r>
              <w:t xml:space="preserve">7</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8</w:t>
            </w:r>
          </w:p>
        </w:tc>
        <w:tc>
          <w:tcPr/>
          <w:p>
            <w:pPr>
              <w:pStyle w:val="Compact"/>
            </w:pPr>
            <w:r>
              <w:t xml:space="preserve">0</w:t>
            </w:r>
          </w:p>
        </w:tc>
        <w:tc>
          <w:tcPr/>
          <w:p>
            <w:pPr>
              <w:pStyle w:val="Compact"/>
            </w:pPr>
            <w:r>
              <w:t xml:space="preserve">8</w:t>
            </w:r>
          </w:p>
        </w:tc>
      </w:tr>
      <w:tr>
        <w:tc>
          <w:tcPr/>
          <w:p>
            <w:pPr>
              <w:pStyle w:val="Compact"/>
            </w:pPr>
            <w:r>
              <w:t xml:space="preserve">8</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4</w:t>
            </w:r>
          </w:p>
        </w:tc>
        <w:tc>
          <w:tcPr/>
          <w:p>
            <w:pPr>
              <w:pStyle w:val="Compact"/>
            </w:pPr>
            <w:r>
              <w:t xml:space="preserve">0</w:t>
            </w:r>
          </w:p>
        </w:tc>
        <w:tc>
          <w:tcPr/>
          <w:p>
            <w:pPr>
              <w:pStyle w:val="Compact"/>
            </w:pPr>
            <w:r>
              <w:t xml:space="preserve">4</w:t>
            </w:r>
          </w:p>
        </w:tc>
      </w:tr>
      <w:tr>
        <w:tc>
          <w:tcPr/>
          <w:p>
            <w:pPr>
              <w:pStyle w:val="Compact"/>
            </w:pPr>
            <w:r>
              <w:t xml:space="preserve">9</w:t>
            </w:r>
          </w:p>
        </w:tc>
        <w:tc>
          <w:tcPr/>
          <w:p>
            <w:pPr>
              <w:pStyle w:val="Compact"/>
            </w:pPr>
            <w:r>
              <w:t xml:space="preserve">True</w:t>
            </w:r>
          </w:p>
        </w:tc>
        <w:tc>
          <w:tcPr/>
          <w:p>
            <w:pPr>
              <w:pStyle w:val="Compact"/>
            </w:pPr>
            <w:r>
              <w:t xml:space="preserve">pass</w:t>
            </w:r>
          </w:p>
        </w:tc>
        <w:tc>
          <w:tcPr/>
          <w:p>
            <w:pPr>
              <w:pStyle w:val="Compact"/>
            </w:pPr>
            <w:r>
              <w:t xml:space="preserve">0.9375</w:t>
            </w:r>
          </w:p>
        </w:tc>
        <w:tc>
          <w:tcPr/>
          <w:p>
            <w:pPr>
              <w:pStyle w:val="Compact"/>
            </w:pPr>
            <w:r>
              <w:t xml:space="preserve">7</w:t>
            </w:r>
          </w:p>
        </w:tc>
        <w:tc>
          <w:tcPr/>
          <w:p>
            <w:pPr>
              <w:pStyle w:val="Compact"/>
            </w:pPr>
            <w:r>
              <w:t xml:space="preserve">0</w:t>
            </w:r>
          </w:p>
        </w:tc>
        <w:tc>
          <w:tcPr/>
          <w:p>
            <w:pPr>
              <w:pStyle w:val="Compact"/>
            </w:pPr>
            <w:r>
              <w:t xml:space="preserve">7</w:t>
            </w:r>
          </w:p>
        </w:tc>
      </w:tr>
      <w:tr>
        <w:tc>
          <w:tcPr/>
          <w:p>
            <w:pPr>
              <w:pStyle w:val="Compact"/>
            </w:pPr>
            <w:r>
              <w:t xml:space="preserve">10</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8</w:t>
            </w:r>
          </w:p>
        </w:tc>
        <w:tc>
          <w:tcPr/>
          <w:p>
            <w:pPr>
              <w:pStyle w:val="Compact"/>
            </w:pPr>
            <w:r>
              <w:t xml:space="preserve">0</w:t>
            </w:r>
          </w:p>
        </w:tc>
        <w:tc>
          <w:tcPr/>
          <w:p>
            <w:pPr>
              <w:pStyle w:val="Compact"/>
            </w:pPr>
            <w:r>
              <w:t xml:space="preserve">8</w:t>
            </w:r>
          </w:p>
        </w:tc>
      </w:tr>
      <w:tr>
        <w:tc>
          <w:tcPr/>
          <w:p>
            <w:pPr>
              <w:pStyle w:val="Compact"/>
            </w:pPr>
            <w:r>
              <w:t xml:space="preserve">11</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12</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13</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4</w:t>
            </w:r>
          </w:p>
        </w:tc>
        <w:tc>
          <w:tcPr/>
          <w:p>
            <w:pPr>
              <w:pStyle w:val="Compact"/>
            </w:pPr>
            <w:r>
              <w:t xml:space="preserve">0</w:t>
            </w:r>
          </w:p>
        </w:tc>
        <w:tc>
          <w:tcPr/>
          <w:p>
            <w:pPr>
              <w:pStyle w:val="Compact"/>
            </w:pPr>
            <w:r>
              <w:t xml:space="preserve">4</w:t>
            </w:r>
          </w:p>
        </w:tc>
      </w:tr>
      <w:tr>
        <w:tc>
          <w:tcPr/>
          <w:p>
            <w:pPr>
              <w:pStyle w:val="Compact"/>
            </w:pPr>
            <w:r>
              <w:t xml:space="preserve">14</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15</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16</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5</w:t>
            </w:r>
          </w:p>
        </w:tc>
        <w:tc>
          <w:tcPr/>
          <w:p>
            <w:pPr>
              <w:pStyle w:val="Compact"/>
            </w:pPr>
            <w:r>
              <w:t xml:space="preserve">1</w:t>
            </w:r>
          </w:p>
        </w:tc>
        <w:tc>
          <w:tcPr/>
          <w:p>
            <w:pPr>
              <w:pStyle w:val="Compact"/>
            </w:pPr>
            <w:r>
              <w:t xml:space="preserve">4</w:t>
            </w:r>
          </w:p>
        </w:tc>
      </w:tr>
      <w:tr>
        <w:tc>
          <w:tcPr/>
          <w:p>
            <w:pPr>
              <w:pStyle w:val="Compact"/>
            </w:pPr>
            <w:r>
              <w:t xml:space="preserve">17</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4</w:t>
            </w:r>
          </w:p>
        </w:tc>
        <w:tc>
          <w:tcPr/>
          <w:p>
            <w:pPr>
              <w:pStyle w:val="Compact"/>
            </w:pPr>
            <w:r>
              <w:t xml:space="preserve">0</w:t>
            </w:r>
          </w:p>
        </w:tc>
        <w:tc>
          <w:tcPr/>
          <w:p>
            <w:pPr>
              <w:pStyle w:val="Compact"/>
            </w:pPr>
            <w:r>
              <w:t xml:space="preserve">4</w:t>
            </w:r>
          </w:p>
        </w:tc>
      </w:tr>
      <w:tr>
        <w:tc>
          <w:tcPr/>
          <w:p>
            <w:pPr>
              <w:pStyle w:val="Compact"/>
            </w:pPr>
            <w:r>
              <w:t xml:space="preserve">18</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5</w:t>
            </w:r>
          </w:p>
        </w:tc>
        <w:tc>
          <w:tcPr/>
          <w:p>
            <w:pPr>
              <w:pStyle w:val="Compact"/>
            </w:pPr>
            <w:r>
              <w:t xml:space="preserve">1</w:t>
            </w:r>
          </w:p>
        </w:tc>
        <w:tc>
          <w:tcPr/>
          <w:p>
            <w:pPr>
              <w:pStyle w:val="Compact"/>
            </w:pPr>
            <w:r>
              <w:t xml:space="preserve">4</w:t>
            </w:r>
          </w:p>
        </w:tc>
      </w:tr>
      <w:tr>
        <w:tc>
          <w:tcPr/>
          <w:p>
            <w:pPr>
              <w:pStyle w:val="Compact"/>
            </w:pPr>
            <w:r>
              <w:t xml:space="preserve">19</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5</w:t>
            </w:r>
          </w:p>
        </w:tc>
        <w:tc>
          <w:tcPr/>
          <w:p>
            <w:pPr>
              <w:pStyle w:val="Compact"/>
            </w:pPr>
            <w:r>
              <w:t xml:space="preserve">1</w:t>
            </w:r>
          </w:p>
        </w:tc>
        <w:tc>
          <w:tcPr/>
          <w:p>
            <w:pPr>
              <w:pStyle w:val="Compact"/>
            </w:pPr>
            <w:r>
              <w:t xml:space="preserve">4</w:t>
            </w:r>
          </w:p>
        </w:tc>
      </w:tr>
      <w:tr>
        <w:tc>
          <w:tcPr/>
          <w:p>
            <w:pPr>
              <w:pStyle w:val="Compact"/>
            </w:pPr>
            <w:r>
              <w:t xml:space="preserve">20</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8</w:t>
            </w:r>
          </w:p>
        </w:tc>
        <w:tc>
          <w:tcPr/>
          <w:p>
            <w:pPr>
              <w:pStyle w:val="Compact"/>
            </w:pPr>
            <w:r>
              <w:t xml:space="preserve">0</w:t>
            </w:r>
          </w:p>
        </w:tc>
        <w:tc>
          <w:tcPr/>
          <w:p>
            <w:pPr>
              <w:pStyle w:val="Compact"/>
            </w:pPr>
            <w:r>
              <w:t xml:space="preserve">8</w:t>
            </w:r>
          </w:p>
        </w:tc>
      </w:tr>
      <w:tr>
        <w:tc>
          <w:tcPr/>
          <w:p>
            <w:pPr>
              <w:pStyle w:val="Compact"/>
            </w:pPr>
            <w:r>
              <w:t xml:space="preserve">21</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4</w:t>
            </w:r>
          </w:p>
        </w:tc>
        <w:tc>
          <w:tcPr/>
          <w:p>
            <w:pPr>
              <w:pStyle w:val="Compact"/>
            </w:pPr>
            <w:r>
              <w:t xml:space="preserve">0</w:t>
            </w:r>
          </w:p>
        </w:tc>
        <w:tc>
          <w:tcPr/>
          <w:p>
            <w:pPr>
              <w:pStyle w:val="Compact"/>
            </w:pPr>
            <w:r>
              <w:t xml:space="preserve">4</w:t>
            </w:r>
          </w:p>
        </w:tc>
      </w:tr>
      <w:tr>
        <w:tc>
          <w:tcPr/>
          <w:p>
            <w:pPr>
              <w:pStyle w:val="Compact"/>
            </w:pPr>
            <w:r>
              <w:t xml:space="preserve">22</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23</w:t>
            </w:r>
          </w:p>
        </w:tc>
        <w:tc>
          <w:tcPr/>
          <w:p>
            <w:pPr>
              <w:pStyle w:val="Compact"/>
            </w:pPr>
            <w:r>
              <w:t xml:space="preserve">True</w:t>
            </w:r>
          </w:p>
        </w:tc>
        <w:tc>
          <w:tcPr/>
          <w:p>
            <w:pPr>
              <w:pStyle w:val="Compact"/>
            </w:pPr>
            <w:r>
              <w:t xml:space="preserve">pass</w:t>
            </w:r>
          </w:p>
        </w:tc>
        <w:tc>
          <w:tcPr/>
          <w:p>
            <w:pPr>
              <w:pStyle w:val="Compact"/>
            </w:pPr>
            <w:r>
              <w:t xml:space="preserve">0.9286</w:t>
            </w:r>
          </w:p>
        </w:tc>
        <w:tc>
          <w:tcPr/>
          <w:p>
            <w:pPr>
              <w:pStyle w:val="Compact"/>
            </w:pPr>
            <w:r>
              <w:t xml:space="preserve">7</w:t>
            </w:r>
          </w:p>
        </w:tc>
        <w:tc>
          <w:tcPr/>
          <w:p>
            <w:pPr>
              <w:pStyle w:val="Compact"/>
            </w:pPr>
            <w:r>
              <w:t xml:space="preserve">0</w:t>
            </w:r>
          </w:p>
        </w:tc>
        <w:tc>
          <w:tcPr/>
          <w:p>
            <w:pPr>
              <w:pStyle w:val="Compact"/>
            </w:pPr>
            <w:r>
              <w:t xml:space="preserve">7</w:t>
            </w:r>
          </w:p>
        </w:tc>
      </w:tr>
      <w:tr>
        <w:tc>
          <w:tcPr/>
          <w:p>
            <w:pPr>
              <w:pStyle w:val="Compact"/>
            </w:pPr>
            <w:r>
              <w:t xml:space="preserve">24</w:t>
            </w:r>
          </w:p>
        </w:tc>
        <w:tc>
          <w:tcPr/>
          <w:p>
            <w:pPr>
              <w:pStyle w:val="Compact"/>
            </w:pPr>
            <w:r>
              <w:t xml:space="preserve">True</w:t>
            </w:r>
          </w:p>
        </w:tc>
        <w:tc>
          <w:tcPr/>
          <w:p>
            <w:pPr>
              <w:pStyle w:val="Compact"/>
            </w:pPr>
            <w:r>
              <w:t xml:space="preserve">pass</w:t>
            </w:r>
          </w:p>
        </w:tc>
        <w:tc>
          <w:tcPr/>
          <w:p>
            <w:pPr>
              <w:pStyle w:val="Compact"/>
            </w:pPr>
            <w:r>
              <w:t xml:space="preserve">0.9310</w:t>
            </w:r>
          </w:p>
        </w:tc>
        <w:tc>
          <w:tcPr/>
          <w:p>
            <w:pPr>
              <w:pStyle w:val="Compact"/>
            </w:pPr>
            <w:r>
              <w:t xml:space="preserve">7</w:t>
            </w:r>
          </w:p>
        </w:tc>
        <w:tc>
          <w:tcPr/>
          <w:p>
            <w:pPr>
              <w:pStyle w:val="Compact"/>
            </w:pPr>
            <w:r>
              <w:t xml:space="preserve">0</w:t>
            </w:r>
          </w:p>
        </w:tc>
        <w:tc>
          <w:tcPr/>
          <w:p>
            <w:pPr>
              <w:pStyle w:val="Compact"/>
            </w:pPr>
            <w:r>
              <w:t xml:space="preserve">7</w:t>
            </w:r>
          </w:p>
        </w:tc>
      </w:tr>
      <w:tr>
        <w:tc>
          <w:tcPr/>
          <w:p>
            <w:pPr>
              <w:pStyle w:val="Compact"/>
            </w:pPr>
            <w:r>
              <w:t xml:space="preserve">25</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4</w:t>
            </w:r>
          </w:p>
        </w:tc>
        <w:tc>
          <w:tcPr/>
          <w:p>
            <w:pPr>
              <w:pStyle w:val="Compact"/>
            </w:pPr>
            <w:r>
              <w:t xml:space="preserve">0</w:t>
            </w:r>
          </w:p>
        </w:tc>
        <w:tc>
          <w:tcPr/>
          <w:p>
            <w:pPr>
              <w:pStyle w:val="Compact"/>
            </w:pPr>
            <w:r>
              <w:t xml:space="preserve">4</w:t>
            </w:r>
          </w:p>
        </w:tc>
      </w:tr>
      <w:tr>
        <w:tc>
          <w:tcPr/>
          <w:p>
            <w:pPr>
              <w:pStyle w:val="Compact"/>
            </w:pPr>
            <w:r>
              <w:t xml:space="preserve">26</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4</w:t>
            </w:r>
          </w:p>
        </w:tc>
        <w:tc>
          <w:tcPr/>
          <w:p>
            <w:pPr>
              <w:pStyle w:val="Compact"/>
            </w:pPr>
            <w:r>
              <w:t xml:space="preserve">0</w:t>
            </w:r>
          </w:p>
        </w:tc>
        <w:tc>
          <w:tcPr/>
          <w:p>
            <w:pPr>
              <w:pStyle w:val="Compact"/>
            </w:pPr>
            <w:r>
              <w:t xml:space="preserve">4</w:t>
            </w:r>
          </w:p>
        </w:tc>
      </w:tr>
      <w:tr>
        <w:tc>
          <w:tcPr/>
          <w:p>
            <w:pPr>
              <w:pStyle w:val="Compact"/>
            </w:pPr>
            <w:r>
              <w:t xml:space="preserve">27</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28</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8</w:t>
            </w:r>
          </w:p>
        </w:tc>
        <w:tc>
          <w:tcPr/>
          <w:p>
            <w:pPr>
              <w:pStyle w:val="Compact"/>
            </w:pPr>
            <w:r>
              <w:t xml:space="preserve">0</w:t>
            </w:r>
          </w:p>
        </w:tc>
        <w:tc>
          <w:tcPr/>
          <w:p>
            <w:pPr>
              <w:pStyle w:val="Compact"/>
            </w:pPr>
            <w:r>
              <w:t xml:space="preserve">8</w:t>
            </w:r>
          </w:p>
        </w:tc>
      </w:tr>
      <w:tr>
        <w:tc>
          <w:tcPr/>
          <w:p>
            <w:pPr>
              <w:pStyle w:val="Compact"/>
            </w:pPr>
            <w:r>
              <w:t xml:space="preserve">29</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4</w:t>
            </w:r>
          </w:p>
        </w:tc>
        <w:tc>
          <w:tcPr/>
          <w:p>
            <w:pPr>
              <w:pStyle w:val="Compact"/>
            </w:pPr>
            <w:r>
              <w:t xml:space="preserve">1</w:t>
            </w:r>
          </w:p>
        </w:tc>
        <w:tc>
          <w:tcPr/>
          <w:p>
            <w:pPr>
              <w:pStyle w:val="Compact"/>
            </w:pPr>
            <w:r>
              <w:t xml:space="preserve">3</w:t>
            </w:r>
          </w:p>
        </w:tc>
      </w:tr>
      <w:tr>
        <w:tc>
          <w:tcPr/>
          <w:p>
            <w:pPr>
              <w:pStyle w:val="Compact"/>
            </w:pPr>
            <w:r>
              <w:t xml:space="preserve">30</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5</w:t>
            </w:r>
          </w:p>
        </w:tc>
        <w:tc>
          <w:tcPr/>
          <w:p>
            <w:pPr>
              <w:pStyle w:val="Compact"/>
            </w:pPr>
            <w:r>
              <w:t xml:space="preserve">1</w:t>
            </w:r>
          </w:p>
        </w:tc>
        <w:tc>
          <w:tcPr/>
          <w:p>
            <w:pPr>
              <w:pStyle w:val="Compact"/>
            </w:pPr>
            <w:r>
              <w:t xml:space="preserve">4</w:t>
            </w:r>
          </w:p>
        </w:tc>
      </w:tr>
      <w:tr>
        <w:tc>
          <w:tcPr/>
          <w:p>
            <w:pPr>
              <w:pStyle w:val="Compact"/>
            </w:pPr>
            <w:r>
              <w:t xml:space="preserve">31</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32</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8</w:t>
            </w:r>
          </w:p>
        </w:tc>
        <w:tc>
          <w:tcPr/>
          <w:p>
            <w:pPr>
              <w:pStyle w:val="Compact"/>
            </w:pPr>
            <w:r>
              <w:t xml:space="preserve">0</w:t>
            </w:r>
          </w:p>
        </w:tc>
        <w:tc>
          <w:tcPr/>
          <w:p>
            <w:pPr>
              <w:pStyle w:val="Compact"/>
            </w:pPr>
            <w:r>
              <w:t xml:space="preserve">8</w:t>
            </w:r>
          </w:p>
        </w:tc>
      </w:tr>
      <w:tr>
        <w:tc>
          <w:tcPr/>
          <w:p>
            <w:pPr>
              <w:pStyle w:val="Compact"/>
            </w:pPr>
            <w:r>
              <w:t xml:space="preserve">33</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2</w:t>
            </w:r>
          </w:p>
        </w:tc>
        <w:tc>
          <w:tcPr/>
          <w:p>
            <w:pPr>
              <w:pStyle w:val="Compact"/>
            </w:pPr>
            <w:r>
              <w:t xml:space="preserve">0</w:t>
            </w:r>
          </w:p>
        </w:tc>
        <w:tc>
          <w:tcPr/>
          <w:p>
            <w:pPr>
              <w:pStyle w:val="Compact"/>
            </w:pPr>
            <w:r>
              <w:t xml:space="preserve">2</w:t>
            </w:r>
          </w:p>
        </w:tc>
      </w:tr>
      <w:tr>
        <w:tc>
          <w:tcPr/>
          <w:p>
            <w:pPr>
              <w:pStyle w:val="Compact"/>
            </w:pPr>
            <w:r>
              <w:t xml:space="preserve">34</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35</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4</w:t>
            </w:r>
          </w:p>
        </w:tc>
        <w:tc>
          <w:tcPr/>
          <w:p>
            <w:pPr>
              <w:pStyle w:val="Compact"/>
            </w:pPr>
            <w:r>
              <w:t xml:space="preserve">0</w:t>
            </w:r>
          </w:p>
        </w:tc>
        <w:tc>
          <w:tcPr/>
          <w:p>
            <w:pPr>
              <w:pStyle w:val="Compact"/>
            </w:pPr>
            <w:r>
              <w:t xml:space="preserve">4</w:t>
            </w:r>
          </w:p>
        </w:tc>
      </w:tr>
      <w:tr>
        <w:tc>
          <w:tcPr/>
          <w:p>
            <w:pPr>
              <w:pStyle w:val="Compact"/>
            </w:pPr>
            <w:r>
              <w:t xml:space="preserve">36</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8</w:t>
            </w:r>
          </w:p>
        </w:tc>
        <w:tc>
          <w:tcPr/>
          <w:p>
            <w:pPr>
              <w:pStyle w:val="Compact"/>
            </w:pPr>
            <w:r>
              <w:t xml:space="preserve">0</w:t>
            </w:r>
          </w:p>
        </w:tc>
        <w:tc>
          <w:tcPr/>
          <w:p>
            <w:pPr>
              <w:pStyle w:val="Compact"/>
            </w:pPr>
            <w:r>
              <w:t xml:space="preserve">8</w:t>
            </w:r>
          </w:p>
        </w:tc>
      </w:tr>
      <w:tr>
        <w:tc>
          <w:tcPr/>
          <w:p>
            <w:pPr>
              <w:pStyle w:val="Compact"/>
            </w:pPr>
            <w:r>
              <w:t xml:space="preserve">37</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5</w:t>
            </w:r>
          </w:p>
        </w:tc>
        <w:tc>
          <w:tcPr/>
          <w:p>
            <w:pPr>
              <w:pStyle w:val="Compact"/>
            </w:pPr>
            <w:r>
              <w:t xml:space="preserve">1</w:t>
            </w:r>
          </w:p>
        </w:tc>
        <w:tc>
          <w:tcPr/>
          <w:p>
            <w:pPr>
              <w:pStyle w:val="Compact"/>
            </w:pPr>
            <w:r>
              <w:t xml:space="preserve">4</w:t>
            </w:r>
          </w:p>
        </w:tc>
      </w:tr>
      <w:tr>
        <w:tc>
          <w:tcPr/>
          <w:p>
            <w:pPr>
              <w:pStyle w:val="Compact"/>
            </w:pPr>
            <w:r>
              <w:t xml:space="preserve">38</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39</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2</w:t>
            </w:r>
          </w:p>
        </w:tc>
        <w:tc>
          <w:tcPr/>
          <w:p>
            <w:pPr>
              <w:pStyle w:val="Compact"/>
            </w:pPr>
            <w:r>
              <w:t xml:space="preserve">1</w:t>
            </w:r>
          </w:p>
        </w:tc>
        <w:tc>
          <w:tcPr/>
          <w:p>
            <w:pPr>
              <w:pStyle w:val="Compact"/>
            </w:pPr>
            <w:r>
              <w:t xml:space="preserve">1</w:t>
            </w:r>
          </w:p>
        </w:tc>
      </w:tr>
      <w:tr>
        <w:tc>
          <w:tcPr/>
          <w:p>
            <w:pPr>
              <w:pStyle w:val="Compact"/>
            </w:pPr>
            <w:r>
              <w:t xml:space="preserve">40</w:t>
            </w:r>
          </w:p>
        </w:tc>
        <w:tc>
          <w:tcPr/>
          <w:p>
            <w:pPr>
              <w:pStyle w:val="Compact"/>
            </w:pPr>
            <w:r>
              <w:t xml:space="preserve">True</w:t>
            </w:r>
          </w:p>
        </w:tc>
        <w:tc>
          <w:tcPr/>
          <w:p>
            <w:pPr>
              <w:pStyle w:val="Compact"/>
            </w:pPr>
            <w:r>
              <w:t xml:space="preserve">pass</w:t>
            </w:r>
          </w:p>
        </w:tc>
        <w:tc>
          <w:tcPr/>
          <w:p>
            <w:pPr>
              <w:pStyle w:val="Compact"/>
            </w:pPr>
            <w:r>
              <w:t xml:space="preserve">0.7576</w:t>
            </w:r>
          </w:p>
        </w:tc>
        <w:tc>
          <w:tcPr/>
          <w:p>
            <w:pPr>
              <w:pStyle w:val="Compact"/>
            </w:pPr>
            <w:r>
              <w:t xml:space="preserve">6</w:t>
            </w:r>
          </w:p>
        </w:tc>
        <w:tc>
          <w:tcPr/>
          <w:p>
            <w:pPr>
              <w:pStyle w:val="Compact"/>
            </w:pPr>
            <w:r>
              <w:t xml:space="preserve">0</w:t>
            </w:r>
          </w:p>
        </w:tc>
        <w:tc>
          <w:tcPr/>
          <w:p>
            <w:pPr>
              <w:pStyle w:val="Compact"/>
            </w:pPr>
            <w:r>
              <w:t xml:space="preserve">6</w:t>
            </w:r>
          </w:p>
        </w:tc>
      </w:tr>
      <w:tr>
        <w:tc>
          <w:tcPr/>
          <w:p>
            <w:pPr>
              <w:pStyle w:val="Compact"/>
            </w:pPr>
            <w:r>
              <w:t xml:space="preserve">41</w:t>
            </w:r>
          </w:p>
        </w:tc>
        <w:tc>
          <w:tcPr/>
          <w:p>
            <w:pPr>
              <w:pStyle w:val="Compact"/>
            </w:pPr>
            <w:r>
              <w:t xml:space="preserve">True</w:t>
            </w:r>
          </w:p>
        </w:tc>
        <w:tc>
          <w:tcPr/>
          <w:p>
            <w:pPr>
              <w:pStyle w:val="Compact"/>
            </w:pPr>
            <w:r>
              <w:t xml:space="preserve">pass</w:t>
            </w:r>
          </w:p>
        </w:tc>
        <w:tc>
          <w:tcPr/>
          <w:p>
            <w:pPr>
              <w:pStyle w:val="Compact"/>
            </w:pPr>
            <w:r>
              <w:t xml:space="preserve">0.9355</w:t>
            </w:r>
          </w:p>
        </w:tc>
        <w:tc>
          <w:tcPr/>
          <w:p>
            <w:pPr>
              <w:pStyle w:val="Compact"/>
            </w:pPr>
            <w:r>
              <w:t xml:space="preserve">8</w:t>
            </w:r>
          </w:p>
        </w:tc>
        <w:tc>
          <w:tcPr/>
          <w:p>
            <w:pPr>
              <w:pStyle w:val="Compact"/>
            </w:pPr>
            <w:r>
              <w:t xml:space="preserve">0</w:t>
            </w:r>
          </w:p>
        </w:tc>
        <w:tc>
          <w:tcPr/>
          <w:p>
            <w:pPr>
              <w:pStyle w:val="Compact"/>
            </w:pPr>
            <w:r>
              <w:t xml:space="preserve">8</w:t>
            </w:r>
          </w:p>
        </w:tc>
      </w:tr>
      <w:tr>
        <w:tc>
          <w:tcPr/>
          <w:p>
            <w:pPr>
              <w:pStyle w:val="Compact"/>
            </w:pPr>
            <w:r>
              <w:t xml:space="preserve">42</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1</w:t>
            </w:r>
          </w:p>
        </w:tc>
        <w:tc>
          <w:tcPr/>
          <w:p>
            <w:pPr>
              <w:pStyle w:val="Compact"/>
            </w:pPr>
            <w:r>
              <w:t xml:space="preserve">2</w:t>
            </w:r>
          </w:p>
        </w:tc>
      </w:tr>
      <w:tr>
        <w:tc>
          <w:tcPr/>
          <w:p>
            <w:pPr>
              <w:pStyle w:val="Compact"/>
            </w:pPr>
            <w:r>
              <w:t xml:space="preserve">43</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8</w:t>
            </w:r>
          </w:p>
        </w:tc>
        <w:tc>
          <w:tcPr/>
          <w:p>
            <w:pPr>
              <w:pStyle w:val="Compact"/>
            </w:pPr>
            <w:r>
              <w:t xml:space="preserve">0</w:t>
            </w:r>
          </w:p>
        </w:tc>
        <w:tc>
          <w:tcPr/>
          <w:p>
            <w:pPr>
              <w:pStyle w:val="Compact"/>
            </w:pPr>
            <w:r>
              <w:t xml:space="preserve">8</w:t>
            </w:r>
          </w:p>
        </w:tc>
      </w:tr>
      <w:tr>
        <w:tc>
          <w:tcPr/>
          <w:p>
            <w:pPr>
              <w:pStyle w:val="Compact"/>
            </w:pPr>
            <w:r>
              <w:t xml:space="preserve">44</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45</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6</w:t>
            </w:r>
          </w:p>
        </w:tc>
        <w:tc>
          <w:tcPr/>
          <w:p>
            <w:pPr>
              <w:pStyle w:val="Compact"/>
            </w:pPr>
            <w:r>
              <w:t xml:space="preserve">1</w:t>
            </w:r>
          </w:p>
        </w:tc>
        <w:tc>
          <w:tcPr/>
          <w:p>
            <w:pPr>
              <w:pStyle w:val="Compact"/>
            </w:pPr>
            <w:r>
              <w:t xml:space="preserve">5</w:t>
            </w:r>
          </w:p>
        </w:tc>
      </w:tr>
      <w:tr>
        <w:tc>
          <w:tcPr/>
          <w:p>
            <w:pPr>
              <w:pStyle w:val="Compact"/>
            </w:pPr>
            <w:r>
              <w:t xml:space="preserve">46</w:t>
            </w:r>
          </w:p>
        </w:tc>
        <w:tc>
          <w:tcPr/>
          <w:p>
            <w:pPr>
              <w:pStyle w:val="Compact"/>
            </w:pPr>
            <w:r>
              <w:t xml:space="preserve">True</w:t>
            </w:r>
          </w:p>
        </w:tc>
        <w:tc>
          <w:tcPr/>
          <w:p>
            <w:pPr>
              <w:pStyle w:val="Compact"/>
            </w:pPr>
            <w:r>
              <w:t xml:space="preserve">pass</w:t>
            </w:r>
          </w:p>
        </w:tc>
        <w:tc>
          <w:tcPr/>
          <w:p>
            <w:pPr>
              <w:pStyle w:val="Compact"/>
            </w:pPr>
            <w:r>
              <w:t xml:space="preserve">0.9355</w:t>
            </w:r>
          </w:p>
        </w:tc>
        <w:tc>
          <w:tcPr/>
          <w:p>
            <w:pPr>
              <w:pStyle w:val="Compact"/>
            </w:pPr>
            <w:r>
              <w:t xml:space="preserve">7</w:t>
            </w:r>
          </w:p>
        </w:tc>
        <w:tc>
          <w:tcPr/>
          <w:p>
            <w:pPr>
              <w:pStyle w:val="Compact"/>
            </w:pPr>
            <w:r>
              <w:t xml:space="preserve">0</w:t>
            </w:r>
          </w:p>
        </w:tc>
        <w:tc>
          <w:tcPr/>
          <w:p>
            <w:pPr>
              <w:pStyle w:val="Compact"/>
            </w:pPr>
            <w:r>
              <w:t xml:space="preserve">7</w:t>
            </w:r>
          </w:p>
        </w:tc>
      </w:tr>
      <w:tr>
        <w:tc>
          <w:tcPr/>
          <w:p>
            <w:pPr>
              <w:pStyle w:val="Compact"/>
            </w:pPr>
            <w:r>
              <w:t xml:space="preserve">47</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48</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8</w:t>
            </w:r>
          </w:p>
        </w:tc>
        <w:tc>
          <w:tcPr/>
          <w:p>
            <w:pPr>
              <w:pStyle w:val="Compact"/>
            </w:pPr>
            <w:r>
              <w:t xml:space="preserve">0</w:t>
            </w:r>
          </w:p>
        </w:tc>
        <w:tc>
          <w:tcPr/>
          <w:p>
            <w:pPr>
              <w:pStyle w:val="Compact"/>
            </w:pPr>
            <w:r>
              <w:t xml:space="preserve">8</w:t>
            </w:r>
          </w:p>
        </w:tc>
      </w:tr>
      <w:tr>
        <w:tc>
          <w:tcPr/>
          <w:p>
            <w:pPr>
              <w:pStyle w:val="Compact"/>
            </w:pPr>
            <w:r>
              <w:t xml:space="preserve">49</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50</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2</w:t>
            </w:r>
          </w:p>
        </w:tc>
        <w:tc>
          <w:tcPr/>
          <w:p>
            <w:pPr>
              <w:pStyle w:val="Compact"/>
            </w:pPr>
            <w:r>
              <w:t xml:space="preserve">0</w:t>
            </w:r>
          </w:p>
        </w:tc>
        <w:tc>
          <w:tcPr/>
          <w:p>
            <w:pPr>
              <w:pStyle w:val="Compact"/>
            </w:pPr>
            <w:r>
              <w:t xml:space="preserve">2</w:t>
            </w:r>
          </w:p>
        </w:tc>
      </w:tr>
      <w:tr>
        <w:tc>
          <w:tcPr/>
          <w:p>
            <w:pPr>
              <w:pStyle w:val="Compact"/>
            </w:pPr>
            <w:r>
              <w:t xml:space="preserve">51</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52</w:t>
            </w:r>
          </w:p>
        </w:tc>
        <w:tc>
          <w:tcPr/>
          <w:p>
            <w:pPr>
              <w:pStyle w:val="Compact"/>
            </w:pPr>
            <w:r>
              <w:t xml:space="preserve">True</w:t>
            </w:r>
          </w:p>
        </w:tc>
        <w:tc>
          <w:tcPr/>
          <w:p>
            <w:pPr>
              <w:pStyle w:val="Compact"/>
            </w:pPr>
            <w:r>
              <w:t xml:space="preserve">pass</w:t>
            </w:r>
          </w:p>
        </w:tc>
        <w:tc>
          <w:tcPr/>
          <w:p>
            <w:pPr>
              <w:pStyle w:val="Compact"/>
            </w:pPr>
            <w:r>
              <w:t xml:space="preserve">0.9487</w:t>
            </w:r>
          </w:p>
        </w:tc>
        <w:tc>
          <w:tcPr/>
          <w:p>
            <w:pPr>
              <w:pStyle w:val="Compact"/>
            </w:pPr>
            <w:r>
              <w:t xml:space="preserve">4</w:t>
            </w:r>
          </w:p>
        </w:tc>
        <w:tc>
          <w:tcPr/>
          <w:p>
            <w:pPr>
              <w:pStyle w:val="Compact"/>
            </w:pPr>
            <w:r>
              <w:t xml:space="preserve">0</w:t>
            </w:r>
          </w:p>
        </w:tc>
        <w:tc>
          <w:tcPr/>
          <w:p>
            <w:pPr>
              <w:pStyle w:val="Compact"/>
            </w:pPr>
            <w:r>
              <w:t xml:space="preserve">4</w:t>
            </w:r>
          </w:p>
        </w:tc>
      </w:tr>
      <w:tr>
        <w:tc>
          <w:tcPr/>
          <w:p>
            <w:pPr>
              <w:pStyle w:val="Compact"/>
            </w:pPr>
            <w:r>
              <w:t xml:space="preserve">53</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54</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55</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56</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6</w:t>
            </w:r>
          </w:p>
        </w:tc>
        <w:tc>
          <w:tcPr/>
          <w:p>
            <w:pPr>
              <w:pStyle w:val="Compact"/>
            </w:pPr>
            <w:r>
              <w:t xml:space="preserve">1</w:t>
            </w:r>
          </w:p>
        </w:tc>
        <w:tc>
          <w:tcPr/>
          <w:p>
            <w:pPr>
              <w:pStyle w:val="Compact"/>
            </w:pPr>
            <w:r>
              <w:t xml:space="preserve">5</w:t>
            </w:r>
          </w:p>
        </w:tc>
      </w:tr>
      <w:tr>
        <w:tc>
          <w:tcPr/>
          <w:p>
            <w:pPr>
              <w:pStyle w:val="Compact"/>
            </w:pPr>
            <w:r>
              <w:t xml:space="preserve">57</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58</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6</w:t>
            </w:r>
          </w:p>
        </w:tc>
        <w:tc>
          <w:tcPr/>
          <w:p>
            <w:pPr>
              <w:pStyle w:val="Compact"/>
            </w:pPr>
            <w:r>
              <w:t xml:space="preserve">1</w:t>
            </w:r>
          </w:p>
        </w:tc>
        <w:tc>
          <w:tcPr/>
          <w:p>
            <w:pPr>
              <w:pStyle w:val="Compact"/>
            </w:pPr>
            <w:r>
              <w:t xml:space="preserve">5</w:t>
            </w:r>
          </w:p>
        </w:tc>
      </w:tr>
      <w:tr>
        <w:tc>
          <w:tcPr/>
          <w:p>
            <w:pPr>
              <w:pStyle w:val="Compact"/>
            </w:pPr>
            <w:r>
              <w:t xml:space="preserve">59</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60</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2</w:t>
            </w:r>
          </w:p>
        </w:tc>
        <w:tc>
          <w:tcPr/>
          <w:p>
            <w:pPr>
              <w:pStyle w:val="Compact"/>
            </w:pPr>
            <w:r>
              <w:t xml:space="preserve">0</w:t>
            </w:r>
          </w:p>
        </w:tc>
        <w:tc>
          <w:tcPr/>
          <w:p>
            <w:pPr>
              <w:pStyle w:val="Compact"/>
            </w:pPr>
            <w:r>
              <w:t xml:space="preserve">2</w:t>
            </w:r>
          </w:p>
        </w:tc>
      </w:tr>
      <w:tr>
        <w:tc>
          <w:tcPr/>
          <w:p>
            <w:pPr>
              <w:pStyle w:val="Compact"/>
            </w:pPr>
            <w:r>
              <w:t xml:space="preserve">61</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8</w:t>
            </w:r>
          </w:p>
        </w:tc>
        <w:tc>
          <w:tcPr/>
          <w:p>
            <w:pPr>
              <w:pStyle w:val="Compact"/>
            </w:pPr>
            <w:r>
              <w:t xml:space="preserve">0</w:t>
            </w:r>
          </w:p>
        </w:tc>
        <w:tc>
          <w:tcPr/>
          <w:p>
            <w:pPr>
              <w:pStyle w:val="Compact"/>
            </w:pPr>
            <w:r>
              <w:t xml:space="preserve">8</w:t>
            </w:r>
          </w:p>
        </w:tc>
      </w:tr>
      <w:tr>
        <w:tc>
          <w:tcPr/>
          <w:p>
            <w:pPr>
              <w:pStyle w:val="Compact"/>
            </w:pPr>
            <w:r>
              <w:t xml:space="preserve">62</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4</w:t>
            </w:r>
          </w:p>
        </w:tc>
        <w:tc>
          <w:tcPr/>
          <w:p>
            <w:pPr>
              <w:pStyle w:val="Compact"/>
            </w:pPr>
            <w:r>
              <w:t xml:space="preserve">0</w:t>
            </w:r>
          </w:p>
        </w:tc>
        <w:tc>
          <w:tcPr/>
          <w:p>
            <w:pPr>
              <w:pStyle w:val="Compact"/>
            </w:pPr>
            <w:r>
              <w:t xml:space="preserve">4</w:t>
            </w:r>
          </w:p>
        </w:tc>
      </w:tr>
      <w:tr>
        <w:tc>
          <w:tcPr/>
          <w:p>
            <w:pPr>
              <w:pStyle w:val="Compact"/>
            </w:pPr>
            <w:r>
              <w:t xml:space="preserve">63</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64</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4</w:t>
            </w:r>
          </w:p>
        </w:tc>
        <w:tc>
          <w:tcPr/>
          <w:p>
            <w:pPr>
              <w:pStyle w:val="Compact"/>
            </w:pPr>
            <w:r>
              <w:t xml:space="preserve">0</w:t>
            </w:r>
          </w:p>
        </w:tc>
        <w:tc>
          <w:tcPr/>
          <w:p>
            <w:pPr>
              <w:pStyle w:val="Compact"/>
            </w:pPr>
            <w:r>
              <w:t xml:space="preserve">4</w:t>
            </w:r>
          </w:p>
        </w:tc>
      </w:tr>
      <w:tr>
        <w:tc>
          <w:tcPr/>
          <w:p>
            <w:pPr>
              <w:pStyle w:val="Compact"/>
            </w:pPr>
            <w:r>
              <w:t xml:space="preserve">65</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66</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67</w:t>
            </w:r>
          </w:p>
        </w:tc>
        <w:tc>
          <w:tcPr/>
          <w:p>
            <w:pPr>
              <w:pStyle w:val="Compact"/>
            </w:pPr>
            <w:r>
              <w:t xml:space="preserve">True</w:t>
            </w:r>
          </w:p>
        </w:tc>
        <w:tc>
          <w:tcPr/>
          <w:p>
            <w:pPr>
              <w:pStyle w:val="Compact"/>
            </w:pPr>
            <w:r>
              <w:t xml:space="preserve">pass</w:t>
            </w:r>
          </w:p>
        </w:tc>
        <w:tc>
          <w:tcPr/>
          <w:p>
            <w:pPr>
              <w:pStyle w:val="Compact"/>
            </w:pPr>
            <w:r>
              <w:t xml:space="preserve">0.9310</w:t>
            </w:r>
          </w:p>
        </w:tc>
        <w:tc>
          <w:tcPr/>
          <w:p>
            <w:pPr>
              <w:pStyle w:val="Compact"/>
            </w:pPr>
            <w:r>
              <w:t xml:space="preserve">7</w:t>
            </w:r>
          </w:p>
        </w:tc>
        <w:tc>
          <w:tcPr/>
          <w:p>
            <w:pPr>
              <w:pStyle w:val="Compact"/>
            </w:pPr>
            <w:r>
              <w:t xml:space="preserve">0</w:t>
            </w:r>
          </w:p>
        </w:tc>
        <w:tc>
          <w:tcPr/>
          <w:p>
            <w:pPr>
              <w:pStyle w:val="Compact"/>
            </w:pPr>
            <w:r>
              <w:t xml:space="preserve">7</w:t>
            </w:r>
          </w:p>
        </w:tc>
      </w:tr>
      <w:tr>
        <w:tc>
          <w:tcPr/>
          <w:p>
            <w:pPr>
              <w:pStyle w:val="Compact"/>
            </w:pPr>
            <w:r>
              <w:t xml:space="preserve">68</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69</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4</w:t>
            </w:r>
          </w:p>
        </w:tc>
        <w:tc>
          <w:tcPr/>
          <w:p>
            <w:pPr>
              <w:pStyle w:val="Compact"/>
            </w:pPr>
            <w:r>
              <w:t xml:space="preserve">0</w:t>
            </w:r>
          </w:p>
        </w:tc>
        <w:tc>
          <w:tcPr/>
          <w:p>
            <w:pPr>
              <w:pStyle w:val="Compact"/>
            </w:pPr>
            <w:r>
              <w:t xml:space="preserve">4</w:t>
            </w:r>
          </w:p>
        </w:tc>
      </w:tr>
      <w:tr>
        <w:tc>
          <w:tcPr/>
          <w:p>
            <w:pPr>
              <w:pStyle w:val="Compact"/>
            </w:pPr>
            <w:r>
              <w:t xml:space="preserve">70</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8</w:t>
            </w:r>
          </w:p>
        </w:tc>
        <w:tc>
          <w:tcPr/>
          <w:p>
            <w:pPr>
              <w:pStyle w:val="Compact"/>
            </w:pPr>
            <w:r>
              <w:t xml:space="preserve">0</w:t>
            </w:r>
          </w:p>
        </w:tc>
        <w:tc>
          <w:tcPr/>
          <w:p>
            <w:pPr>
              <w:pStyle w:val="Compact"/>
            </w:pPr>
            <w:r>
              <w:t xml:space="preserve">8</w:t>
            </w:r>
          </w:p>
        </w:tc>
      </w:tr>
      <w:tr>
        <w:tc>
          <w:tcPr/>
          <w:p>
            <w:pPr>
              <w:pStyle w:val="Compact"/>
            </w:pPr>
            <w:r>
              <w:t xml:space="preserve">71</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72</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4</w:t>
            </w:r>
          </w:p>
        </w:tc>
        <w:tc>
          <w:tcPr/>
          <w:p>
            <w:pPr>
              <w:pStyle w:val="Compact"/>
            </w:pPr>
            <w:r>
              <w:t xml:space="preserve">0</w:t>
            </w:r>
          </w:p>
        </w:tc>
        <w:tc>
          <w:tcPr/>
          <w:p>
            <w:pPr>
              <w:pStyle w:val="Compact"/>
            </w:pPr>
            <w:r>
              <w:t xml:space="preserve">4</w:t>
            </w:r>
          </w:p>
        </w:tc>
      </w:tr>
      <w:tr>
        <w:tc>
          <w:tcPr/>
          <w:p>
            <w:pPr>
              <w:pStyle w:val="Compact"/>
            </w:pPr>
            <w:r>
              <w:t xml:space="preserve">73</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4</w:t>
            </w:r>
          </w:p>
        </w:tc>
        <w:tc>
          <w:tcPr/>
          <w:p>
            <w:pPr>
              <w:pStyle w:val="Compact"/>
            </w:pPr>
            <w:r>
              <w:t xml:space="preserve">0</w:t>
            </w:r>
          </w:p>
        </w:tc>
        <w:tc>
          <w:tcPr/>
          <w:p>
            <w:pPr>
              <w:pStyle w:val="Compact"/>
            </w:pPr>
            <w:r>
              <w:t xml:space="preserve">4</w:t>
            </w:r>
          </w:p>
        </w:tc>
      </w:tr>
      <w:tr>
        <w:tc>
          <w:tcPr/>
          <w:p>
            <w:pPr>
              <w:pStyle w:val="Compact"/>
            </w:pPr>
            <w:r>
              <w:t xml:space="preserve">74</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4</w:t>
            </w:r>
          </w:p>
        </w:tc>
        <w:tc>
          <w:tcPr/>
          <w:p>
            <w:pPr>
              <w:pStyle w:val="Compact"/>
            </w:pPr>
            <w:r>
              <w:t xml:space="preserve">0</w:t>
            </w:r>
          </w:p>
        </w:tc>
        <w:tc>
          <w:tcPr/>
          <w:p>
            <w:pPr>
              <w:pStyle w:val="Compact"/>
            </w:pPr>
            <w:r>
              <w:t xml:space="preserve">4</w:t>
            </w:r>
          </w:p>
        </w:tc>
      </w:tr>
      <w:tr>
        <w:tc>
          <w:tcPr/>
          <w:p>
            <w:pPr>
              <w:pStyle w:val="Compact"/>
            </w:pPr>
            <w:r>
              <w:t xml:space="preserve">75</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76</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4</w:t>
            </w:r>
          </w:p>
        </w:tc>
        <w:tc>
          <w:tcPr/>
          <w:p>
            <w:pPr>
              <w:pStyle w:val="Compact"/>
            </w:pPr>
            <w:r>
              <w:t xml:space="preserve">0</w:t>
            </w:r>
          </w:p>
        </w:tc>
        <w:tc>
          <w:tcPr/>
          <w:p>
            <w:pPr>
              <w:pStyle w:val="Compact"/>
            </w:pPr>
            <w:r>
              <w:t xml:space="preserve">4</w:t>
            </w:r>
          </w:p>
        </w:tc>
      </w:tr>
      <w:tr>
        <w:tc>
          <w:tcPr/>
          <w:p>
            <w:pPr>
              <w:pStyle w:val="Compact"/>
            </w:pPr>
            <w:r>
              <w:t xml:space="preserve">77</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78</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8</w:t>
            </w:r>
          </w:p>
        </w:tc>
        <w:tc>
          <w:tcPr/>
          <w:p>
            <w:pPr>
              <w:pStyle w:val="Compact"/>
            </w:pPr>
            <w:r>
              <w:t xml:space="preserve">0</w:t>
            </w:r>
          </w:p>
        </w:tc>
        <w:tc>
          <w:tcPr/>
          <w:p>
            <w:pPr>
              <w:pStyle w:val="Compact"/>
            </w:pPr>
            <w:r>
              <w:t xml:space="preserve">8</w:t>
            </w:r>
          </w:p>
        </w:tc>
      </w:tr>
      <w:tr>
        <w:tc>
          <w:tcPr/>
          <w:p>
            <w:pPr>
              <w:pStyle w:val="Compact"/>
            </w:pPr>
            <w:r>
              <w:t xml:space="preserve">79</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4</w:t>
            </w:r>
          </w:p>
        </w:tc>
        <w:tc>
          <w:tcPr/>
          <w:p>
            <w:pPr>
              <w:pStyle w:val="Compact"/>
            </w:pPr>
            <w:r>
              <w:t xml:space="preserve">1</w:t>
            </w:r>
          </w:p>
        </w:tc>
        <w:tc>
          <w:tcPr/>
          <w:p>
            <w:pPr>
              <w:pStyle w:val="Compact"/>
            </w:pPr>
            <w:r>
              <w:t xml:space="preserve">3</w:t>
            </w:r>
          </w:p>
        </w:tc>
      </w:tr>
      <w:tr>
        <w:tc>
          <w:tcPr/>
          <w:p>
            <w:pPr>
              <w:pStyle w:val="Compact"/>
            </w:pPr>
            <w:r>
              <w:t xml:space="preserve">80</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4</w:t>
            </w:r>
          </w:p>
        </w:tc>
        <w:tc>
          <w:tcPr/>
          <w:p>
            <w:pPr>
              <w:pStyle w:val="Compact"/>
            </w:pPr>
            <w:r>
              <w:t xml:space="preserve">0</w:t>
            </w:r>
          </w:p>
        </w:tc>
        <w:tc>
          <w:tcPr/>
          <w:p>
            <w:pPr>
              <w:pStyle w:val="Compact"/>
            </w:pPr>
            <w:r>
              <w:t xml:space="preserve">4</w:t>
            </w:r>
          </w:p>
        </w:tc>
      </w:tr>
      <w:tr>
        <w:tc>
          <w:tcPr/>
          <w:p>
            <w:pPr>
              <w:pStyle w:val="Compact"/>
            </w:pPr>
            <w:r>
              <w:t xml:space="preserve">81</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8</w:t>
            </w:r>
          </w:p>
        </w:tc>
        <w:tc>
          <w:tcPr/>
          <w:p>
            <w:pPr>
              <w:pStyle w:val="Compact"/>
            </w:pPr>
            <w:r>
              <w:t xml:space="preserve">0</w:t>
            </w:r>
          </w:p>
        </w:tc>
        <w:tc>
          <w:tcPr/>
          <w:p>
            <w:pPr>
              <w:pStyle w:val="Compact"/>
            </w:pPr>
            <w:r>
              <w:t xml:space="preserve">8</w:t>
            </w:r>
          </w:p>
        </w:tc>
      </w:tr>
      <w:tr>
        <w:tc>
          <w:tcPr/>
          <w:p>
            <w:pPr>
              <w:pStyle w:val="Compact"/>
            </w:pPr>
            <w:r>
              <w:t xml:space="preserve">82</w:t>
            </w:r>
          </w:p>
        </w:tc>
        <w:tc>
          <w:tcPr/>
          <w:p>
            <w:pPr>
              <w:pStyle w:val="Compact"/>
            </w:pPr>
            <w:r>
              <w:t xml:space="preserve">True</w:t>
            </w:r>
          </w:p>
        </w:tc>
        <w:tc>
          <w:tcPr/>
          <w:p>
            <w:pPr>
              <w:pStyle w:val="Compact"/>
            </w:pPr>
            <w:r>
              <w:t xml:space="preserve">fail</w:t>
            </w:r>
          </w:p>
        </w:tc>
        <w:tc>
          <w:tcPr/>
          <w:p>
            <w:pPr>
              <w:pStyle w:val="Compact"/>
            </w:pPr>
            <w:r>
              <w:t xml:space="preserve">1.0000</w:t>
            </w:r>
          </w:p>
        </w:tc>
        <w:tc>
          <w:tcPr/>
          <w:p>
            <w:pPr>
              <w:pStyle w:val="Compact"/>
            </w:pPr>
            <w:r>
              <w:t xml:space="preserve">4</w:t>
            </w:r>
          </w:p>
        </w:tc>
        <w:tc>
          <w:tcPr/>
          <w:p>
            <w:pPr>
              <w:pStyle w:val="Compact"/>
            </w:pPr>
            <w:r>
              <w:t xml:space="preserve">0</w:t>
            </w:r>
          </w:p>
        </w:tc>
        <w:tc>
          <w:tcPr/>
          <w:p>
            <w:pPr>
              <w:pStyle w:val="Compact"/>
            </w:pPr>
            <w:r>
              <w:t xml:space="preserve">4</w:t>
            </w:r>
          </w:p>
        </w:tc>
      </w:tr>
      <w:tr>
        <w:tc>
          <w:tcPr/>
          <w:p>
            <w:pPr>
              <w:pStyle w:val="Compact"/>
            </w:pPr>
            <w:r>
              <w:t xml:space="preserve">83</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4</w:t>
            </w:r>
          </w:p>
        </w:tc>
        <w:tc>
          <w:tcPr/>
          <w:p>
            <w:pPr>
              <w:pStyle w:val="Compact"/>
            </w:pPr>
            <w:r>
              <w:t xml:space="preserve">0</w:t>
            </w:r>
          </w:p>
        </w:tc>
        <w:tc>
          <w:tcPr/>
          <w:p>
            <w:pPr>
              <w:pStyle w:val="Compact"/>
            </w:pPr>
            <w:r>
              <w:t xml:space="preserve">4</w:t>
            </w:r>
          </w:p>
        </w:tc>
      </w:tr>
      <w:tr>
        <w:tc>
          <w:tcPr/>
          <w:p>
            <w:pPr>
              <w:pStyle w:val="Compact"/>
            </w:pPr>
            <w:r>
              <w:t xml:space="preserve">84</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4</w:t>
            </w:r>
          </w:p>
        </w:tc>
        <w:tc>
          <w:tcPr/>
          <w:p>
            <w:pPr>
              <w:pStyle w:val="Compact"/>
            </w:pPr>
            <w:r>
              <w:t xml:space="preserve">0</w:t>
            </w:r>
          </w:p>
        </w:tc>
        <w:tc>
          <w:tcPr/>
          <w:p>
            <w:pPr>
              <w:pStyle w:val="Compact"/>
            </w:pPr>
            <w:r>
              <w:t xml:space="preserve">4</w:t>
            </w:r>
          </w:p>
        </w:tc>
      </w:tr>
      <w:tr>
        <w:tc>
          <w:tcPr/>
          <w:p>
            <w:pPr>
              <w:pStyle w:val="Compact"/>
            </w:pPr>
            <w:r>
              <w:t xml:space="preserve">85</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86</w:t>
            </w:r>
          </w:p>
        </w:tc>
        <w:tc>
          <w:tcPr/>
          <w:p>
            <w:pPr>
              <w:pStyle w:val="Compact"/>
            </w:pPr>
            <w:r>
              <w:t xml:space="preserve">True</w:t>
            </w:r>
          </w:p>
        </w:tc>
        <w:tc>
          <w:tcPr/>
          <w:p>
            <w:pPr>
              <w:pStyle w:val="Compact"/>
            </w:pPr>
            <w:r>
              <w:t xml:space="preserve">pass</w:t>
            </w:r>
          </w:p>
        </w:tc>
        <w:tc>
          <w:tcPr/>
          <w:p>
            <w:pPr>
              <w:pStyle w:val="Compact"/>
            </w:pPr>
            <w:r>
              <w:t xml:space="preserve">0.9333</w:t>
            </w:r>
          </w:p>
        </w:tc>
        <w:tc>
          <w:tcPr/>
          <w:p>
            <w:pPr>
              <w:pStyle w:val="Compact"/>
            </w:pPr>
            <w:r>
              <w:t xml:space="preserve">7</w:t>
            </w:r>
          </w:p>
        </w:tc>
        <w:tc>
          <w:tcPr/>
          <w:p>
            <w:pPr>
              <w:pStyle w:val="Compact"/>
            </w:pPr>
            <w:r>
              <w:t xml:space="preserve">0</w:t>
            </w:r>
          </w:p>
        </w:tc>
        <w:tc>
          <w:tcPr/>
          <w:p>
            <w:pPr>
              <w:pStyle w:val="Compact"/>
            </w:pPr>
            <w:r>
              <w:t xml:space="preserve">7</w:t>
            </w:r>
          </w:p>
        </w:tc>
      </w:tr>
      <w:tr>
        <w:tc>
          <w:tcPr/>
          <w:p>
            <w:pPr>
              <w:pStyle w:val="Compact"/>
            </w:pPr>
            <w:r>
              <w:t xml:space="preserve">87</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8</w:t>
            </w:r>
          </w:p>
        </w:tc>
        <w:tc>
          <w:tcPr/>
          <w:p>
            <w:pPr>
              <w:pStyle w:val="Compact"/>
            </w:pPr>
            <w:r>
              <w:t xml:space="preserve">0</w:t>
            </w:r>
          </w:p>
        </w:tc>
        <w:tc>
          <w:tcPr/>
          <w:p>
            <w:pPr>
              <w:pStyle w:val="Compact"/>
            </w:pPr>
            <w:r>
              <w:t xml:space="preserve">8</w:t>
            </w:r>
          </w:p>
        </w:tc>
      </w:tr>
      <w:tr>
        <w:tc>
          <w:tcPr/>
          <w:p>
            <w:pPr>
              <w:pStyle w:val="Compact"/>
            </w:pPr>
            <w:r>
              <w:t xml:space="preserve">88</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2</w:t>
            </w:r>
          </w:p>
        </w:tc>
        <w:tc>
          <w:tcPr/>
          <w:p>
            <w:pPr>
              <w:pStyle w:val="Compact"/>
            </w:pPr>
            <w:r>
              <w:t xml:space="preserve">1</w:t>
            </w:r>
          </w:p>
        </w:tc>
        <w:tc>
          <w:tcPr/>
          <w:p>
            <w:pPr>
              <w:pStyle w:val="Compact"/>
            </w:pPr>
            <w:r>
              <w:t xml:space="preserve">1</w:t>
            </w:r>
          </w:p>
        </w:tc>
      </w:tr>
      <w:tr>
        <w:tc>
          <w:tcPr/>
          <w:p>
            <w:pPr>
              <w:pStyle w:val="Compact"/>
            </w:pPr>
            <w:r>
              <w:t xml:space="preserve">89</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90</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4</w:t>
            </w:r>
          </w:p>
        </w:tc>
        <w:tc>
          <w:tcPr/>
          <w:p>
            <w:pPr>
              <w:pStyle w:val="Compact"/>
            </w:pPr>
            <w:r>
              <w:t xml:space="preserve">0</w:t>
            </w:r>
          </w:p>
        </w:tc>
        <w:tc>
          <w:tcPr/>
          <w:p>
            <w:pPr>
              <w:pStyle w:val="Compact"/>
            </w:pPr>
            <w:r>
              <w:t xml:space="preserve">4</w:t>
            </w:r>
          </w:p>
        </w:tc>
      </w:tr>
      <w:tr>
        <w:tc>
          <w:tcPr/>
          <w:p>
            <w:pPr>
              <w:pStyle w:val="Compact"/>
            </w:pPr>
            <w:r>
              <w:t xml:space="preserve">91</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5</w:t>
            </w:r>
          </w:p>
        </w:tc>
        <w:tc>
          <w:tcPr/>
          <w:p>
            <w:pPr>
              <w:pStyle w:val="Compact"/>
            </w:pPr>
            <w:r>
              <w:t xml:space="preserve">1</w:t>
            </w:r>
          </w:p>
        </w:tc>
        <w:tc>
          <w:tcPr/>
          <w:p>
            <w:pPr>
              <w:pStyle w:val="Compact"/>
            </w:pPr>
            <w:r>
              <w:t xml:space="preserve">4</w:t>
            </w:r>
          </w:p>
        </w:tc>
      </w:tr>
      <w:tr>
        <w:tc>
          <w:tcPr/>
          <w:p>
            <w:pPr>
              <w:pStyle w:val="Compact"/>
            </w:pPr>
            <w:r>
              <w:t xml:space="preserve">92</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8</w:t>
            </w:r>
          </w:p>
        </w:tc>
        <w:tc>
          <w:tcPr/>
          <w:p>
            <w:pPr>
              <w:pStyle w:val="Compact"/>
            </w:pPr>
            <w:r>
              <w:t xml:space="preserve">0</w:t>
            </w:r>
          </w:p>
        </w:tc>
        <w:tc>
          <w:tcPr/>
          <w:p>
            <w:pPr>
              <w:pStyle w:val="Compact"/>
            </w:pPr>
            <w:r>
              <w:t xml:space="preserve">8</w:t>
            </w:r>
          </w:p>
        </w:tc>
      </w:tr>
      <w:tr>
        <w:tc>
          <w:tcPr/>
          <w:p>
            <w:pPr>
              <w:pStyle w:val="Compact"/>
            </w:pPr>
            <w:r>
              <w:t xml:space="preserve">93</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8</w:t>
            </w:r>
          </w:p>
        </w:tc>
        <w:tc>
          <w:tcPr/>
          <w:p>
            <w:pPr>
              <w:pStyle w:val="Compact"/>
            </w:pPr>
            <w:r>
              <w:t xml:space="preserve">0</w:t>
            </w:r>
          </w:p>
        </w:tc>
        <w:tc>
          <w:tcPr/>
          <w:p>
            <w:pPr>
              <w:pStyle w:val="Compact"/>
            </w:pPr>
            <w:r>
              <w:t xml:space="preserve">8</w:t>
            </w:r>
          </w:p>
        </w:tc>
      </w:tr>
      <w:tr>
        <w:tc>
          <w:tcPr/>
          <w:p>
            <w:pPr>
              <w:pStyle w:val="Compact"/>
            </w:pPr>
            <w:r>
              <w:t xml:space="preserve">94</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8</w:t>
            </w:r>
          </w:p>
        </w:tc>
        <w:tc>
          <w:tcPr/>
          <w:p>
            <w:pPr>
              <w:pStyle w:val="Compact"/>
            </w:pPr>
            <w:r>
              <w:t xml:space="preserve">0</w:t>
            </w:r>
          </w:p>
        </w:tc>
        <w:tc>
          <w:tcPr/>
          <w:p>
            <w:pPr>
              <w:pStyle w:val="Compact"/>
            </w:pPr>
            <w:r>
              <w:t xml:space="preserve">8</w:t>
            </w:r>
          </w:p>
        </w:tc>
      </w:tr>
      <w:tr>
        <w:tc>
          <w:tcPr/>
          <w:p>
            <w:pPr>
              <w:pStyle w:val="Compact"/>
            </w:pPr>
            <w:r>
              <w:t xml:space="preserve">95</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8</w:t>
            </w:r>
          </w:p>
        </w:tc>
        <w:tc>
          <w:tcPr/>
          <w:p>
            <w:pPr>
              <w:pStyle w:val="Compact"/>
            </w:pPr>
            <w:r>
              <w:t xml:space="preserve">0</w:t>
            </w:r>
          </w:p>
        </w:tc>
        <w:tc>
          <w:tcPr/>
          <w:p>
            <w:pPr>
              <w:pStyle w:val="Compact"/>
            </w:pPr>
            <w:r>
              <w:t xml:space="preserve">8</w:t>
            </w:r>
          </w:p>
        </w:tc>
      </w:tr>
      <w:tr>
        <w:tc>
          <w:tcPr/>
          <w:p>
            <w:pPr>
              <w:pStyle w:val="Compact"/>
            </w:pPr>
            <w:r>
              <w:t xml:space="preserve">96</w:t>
            </w:r>
          </w:p>
        </w:tc>
        <w:tc>
          <w:tcPr/>
          <w:p>
            <w:pPr>
              <w:pStyle w:val="Compact"/>
            </w:pPr>
            <w:r>
              <w:t xml:space="preserve">True</w:t>
            </w:r>
          </w:p>
        </w:tc>
        <w:tc>
          <w:tcPr/>
          <w:p>
            <w:pPr>
              <w:pStyle w:val="Compact"/>
            </w:pPr>
            <w:r>
              <w:t xml:space="preserve">pass</w:t>
            </w:r>
          </w:p>
        </w:tc>
        <w:tc>
          <w:tcPr/>
          <w:p>
            <w:pPr>
              <w:pStyle w:val="Compact"/>
            </w:pPr>
            <w:r>
              <w:t xml:space="preserve">0.9310</w:t>
            </w:r>
          </w:p>
        </w:tc>
        <w:tc>
          <w:tcPr/>
          <w:p>
            <w:pPr>
              <w:pStyle w:val="Compact"/>
            </w:pPr>
            <w:r>
              <w:t xml:space="preserve">7</w:t>
            </w:r>
          </w:p>
        </w:tc>
        <w:tc>
          <w:tcPr/>
          <w:p>
            <w:pPr>
              <w:pStyle w:val="Compact"/>
            </w:pPr>
            <w:r>
              <w:t xml:space="preserve">0</w:t>
            </w:r>
          </w:p>
        </w:tc>
        <w:tc>
          <w:tcPr/>
          <w:p>
            <w:pPr>
              <w:pStyle w:val="Compact"/>
            </w:pPr>
            <w:r>
              <w:t xml:space="preserve">7</w:t>
            </w:r>
          </w:p>
        </w:tc>
      </w:tr>
      <w:tr>
        <w:tc>
          <w:tcPr/>
          <w:p>
            <w:pPr>
              <w:pStyle w:val="Compact"/>
            </w:pPr>
            <w:r>
              <w:t xml:space="preserve">97</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4</w:t>
            </w:r>
          </w:p>
        </w:tc>
        <w:tc>
          <w:tcPr/>
          <w:p>
            <w:pPr>
              <w:pStyle w:val="Compact"/>
            </w:pPr>
            <w:r>
              <w:t xml:space="preserve">0</w:t>
            </w:r>
          </w:p>
        </w:tc>
        <w:tc>
          <w:tcPr/>
          <w:p>
            <w:pPr>
              <w:pStyle w:val="Compact"/>
            </w:pPr>
            <w:r>
              <w:t xml:space="preserve">4</w:t>
            </w:r>
          </w:p>
        </w:tc>
      </w:tr>
      <w:tr>
        <w:tc>
          <w:tcPr/>
          <w:p>
            <w:pPr>
              <w:pStyle w:val="Compact"/>
            </w:pPr>
            <w:r>
              <w:t xml:space="preserve">98</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4</w:t>
            </w:r>
          </w:p>
        </w:tc>
        <w:tc>
          <w:tcPr/>
          <w:p>
            <w:pPr>
              <w:pStyle w:val="Compact"/>
            </w:pPr>
            <w:r>
              <w:t xml:space="preserve">0</w:t>
            </w:r>
          </w:p>
        </w:tc>
        <w:tc>
          <w:tcPr/>
          <w:p>
            <w:pPr>
              <w:pStyle w:val="Compact"/>
            </w:pPr>
            <w:r>
              <w:t xml:space="preserve">4</w:t>
            </w:r>
          </w:p>
        </w:tc>
      </w:tr>
      <w:tr>
        <w:tc>
          <w:tcPr/>
          <w:p>
            <w:pPr>
              <w:pStyle w:val="Compact"/>
            </w:pPr>
            <w:r>
              <w:t xml:space="preserve">99</w:t>
            </w:r>
          </w:p>
        </w:tc>
        <w:tc>
          <w:tcPr/>
          <w:p>
            <w:pPr>
              <w:pStyle w:val="Compact"/>
            </w:pPr>
            <w:r>
              <w:t xml:space="preserve">True</w:t>
            </w:r>
          </w:p>
        </w:tc>
        <w:tc>
          <w:tcPr/>
          <w:p>
            <w:pPr>
              <w:pStyle w:val="Compact"/>
            </w:pPr>
            <w:r>
              <w:t xml:space="preserve">pass</w:t>
            </w:r>
          </w:p>
        </w:tc>
        <w:tc>
          <w:tcPr/>
          <w:p>
            <w:pPr>
              <w:pStyle w:val="Compact"/>
            </w:pPr>
            <w:r>
              <w:t xml:space="preserve">0.9667</w:t>
            </w:r>
          </w:p>
        </w:tc>
        <w:tc>
          <w:tcPr/>
          <w:p>
            <w:pPr>
              <w:pStyle w:val="Compact"/>
            </w:pPr>
            <w:r>
              <w:t xml:space="preserve">7</w:t>
            </w:r>
          </w:p>
        </w:tc>
        <w:tc>
          <w:tcPr/>
          <w:p>
            <w:pPr>
              <w:pStyle w:val="Compact"/>
            </w:pPr>
            <w:r>
              <w:t xml:space="preserve">0</w:t>
            </w:r>
          </w:p>
        </w:tc>
        <w:tc>
          <w:tcPr/>
          <w:p>
            <w:pPr>
              <w:pStyle w:val="Compact"/>
            </w:pPr>
            <w:r>
              <w:t xml:space="preserve">7</w:t>
            </w:r>
          </w:p>
        </w:tc>
      </w:tr>
      <w:tr>
        <w:tc>
          <w:tcPr/>
          <w:p>
            <w:pPr>
              <w:pStyle w:val="Compact"/>
            </w:pPr>
            <w:r>
              <w:t xml:space="preserve">100</w:t>
            </w:r>
          </w:p>
        </w:tc>
        <w:tc>
          <w:tcPr/>
          <w:p>
            <w:pPr>
              <w:pStyle w:val="Compact"/>
            </w:pPr>
            <w:r>
              <w:t xml:space="preserve">True</w:t>
            </w:r>
          </w:p>
        </w:tc>
        <w:tc>
          <w:tcPr/>
          <w:p>
            <w:pPr>
              <w:pStyle w:val="Compact"/>
            </w:pPr>
            <w:r>
              <w:t xml:space="preserve">pass</w:t>
            </w:r>
          </w:p>
        </w:tc>
        <w:tc>
          <w:tcPr/>
          <w:p>
            <w:pPr>
              <w:pStyle w:val="Compact"/>
            </w:pPr>
            <w:r>
              <w:t xml:space="preserve">1.0000</w:t>
            </w:r>
          </w:p>
        </w:tc>
        <w:tc>
          <w:tcPr/>
          <w:p>
            <w:pPr>
              <w:pStyle w:val="Compact"/>
            </w:pPr>
            <w:r>
              <w:t xml:space="preserve">4</w:t>
            </w:r>
          </w:p>
        </w:tc>
        <w:tc>
          <w:tcPr/>
          <w:p>
            <w:pPr>
              <w:pStyle w:val="Compact"/>
            </w:pPr>
            <w:r>
              <w:t xml:space="preserve">0</w:t>
            </w:r>
          </w:p>
        </w:tc>
        <w:tc>
          <w:tcPr/>
          <w:p>
            <w:pPr>
              <w:pStyle w:val="Compact"/>
            </w:pPr>
            <w:r>
              <w:t xml:space="preserve">4</w:t>
            </w:r>
          </w:p>
        </w:tc>
      </w:tr>
    </w:tbl>
    <w:p>
      <w:pPr>
        <w:pStyle w:val="BodyText"/>
      </w:pPr>
      <w:r>
        <w:rPr>
          <w:i/>
          <w:iCs/>
        </w:rPr>
        <w:t xml:space="preserve">Table footnotes (8 pt in Word): Greedy dropped counts assertions removed by the compatibility filter for that sample.</w:t>
      </w:r>
    </w:p>
    <w:p>
      <w:pPr>
        <w:pStyle w:val="BodyText"/>
      </w:pPr>
      <w:r>
        <w:rPr>
          <w:i/>
          <w:iCs/>
        </w:rPr>
        <w:t xml:space="preserve">End of Draft 3 Markdown — regenerate with</w:t>
      </w:r>
      <w:r>
        <w:rPr>
          <w:i/>
          <w:iCs/>
        </w:rPr>
        <w:t xml:space="preserve"> </w:t>
      </w:r>
      <w:r>
        <w:rPr>
          <w:rStyle w:val="VerbatimChar"/>
          <w:i/>
          <w:iCs/>
        </w:rPr>
        <w:t xml:space="preserve">python scripts/build_vista_report_md.py</w:t>
      </w:r>
      <w:r>
        <w:rPr>
          <w:i/>
          <w:iCs/>
        </w:rPr>
        <w:t xml:space="preserve"> </w:t>
      </w:r>
      <w:r>
        <w:rPr>
          <w:i/>
          <w:iCs/>
        </w:rPr>
        <w:t xml:space="preserve">and export with</w:t>
      </w:r>
      <w:r>
        <w:rPr>
          <w:i/>
          <w:iCs/>
        </w:rPr>
        <w:t xml:space="preserve"> </w:t>
      </w:r>
      <w:r>
        <w:rPr>
          <w:rStyle w:val="VerbatimChar"/>
          <w:i/>
          <w:iCs/>
        </w:rPr>
        <w:t xml:space="preserve">python scripts/export_report_to_docx.py</w:t>
      </w:r>
      <w:r>
        <w:rPr>
          <w:i/>
          <w:iCs/>
        </w:rPr>
        <w:t xml:space="preserve"> </w:t>
      </w:r>
      <w:r>
        <w:rPr>
          <w:i/>
          <w:iCs/>
        </w:rPr>
        <w:t xml:space="preserve">(default output:</w:t>
      </w:r>
      <w:r>
        <w:rPr>
          <w:i/>
          <w:iCs/>
        </w:rPr>
        <w:t xml:space="preserve"> </w:t>
      </w:r>
      <w:r>
        <w:rPr>
          <w:rStyle w:val="VerbatimChar"/>
          <w:i/>
          <w:iCs/>
        </w:rPr>
        <w:t xml:space="preserve">exports/Draft 3.docx</w:t>
      </w:r>
      <w:r>
        <w:rPr>
          <w:i/>
          <w:iCs/>
        </w:rPr>
        <w:t xml:space="preserve">).</w:t>
      </w:r>
    </w:p>
    <w:bookmarkEnd w:id="2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119" Target="media/rId119.png"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36" Target="media/rId136.png" /><Relationship Type="http://schemas.openxmlformats.org/officeDocument/2006/relationships/image" Id="rId139" Target="media/rId139.png" /><Relationship Type="http://schemas.openxmlformats.org/officeDocument/2006/relationships/image" Id="rId142" Target="media/rId142.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85" Target="media/rId185.png" /><Relationship Type="http://schemas.openxmlformats.org/officeDocument/2006/relationships/image" Id="rId48" Target="media/rId48.png" /><Relationship Type="http://schemas.openxmlformats.org/officeDocument/2006/relationships/image" Id="rId188" Target="media/rId188.png" /><Relationship Type="http://schemas.openxmlformats.org/officeDocument/2006/relationships/image" Id="rId191" Target="media/rId191.png" /><Relationship Type="http://schemas.openxmlformats.org/officeDocument/2006/relationships/image" Id="rId194" Target="media/rId194.png" /><Relationship Type="http://schemas.openxmlformats.org/officeDocument/2006/relationships/image" Id="rId219" Target="media/rId219.png" /><Relationship Type="http://schemas.openxmlformats.org/officeDocument/2006/relationships/image" Id="rId51" Target="media/rId51.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113" Target="media/rId113.png" /><Relationship Type="http://schemas.openxmlformats.org/officeDocument/2006/relationships/image" Id="rId116" Target="media/rId1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2026-04-19T23:52:59Z</dcterms:created>
  <dcterms:modified xsi:type="dcterms:W3CDTF">2026-04-19T23:52:59Z</dcterms:modified>
</cp:coreProperties>
</file>

<file path=docProps/custom.xml><?xml version="1.0" encoding="utf-8"?>
<Properties xmlns="http://schemas.openxmlformats.org/officeDocument/2006/custom-properties" xmlns:vt="http://schemas.openxmlformats.org/officeDocument/2006/docPropsVTypes"/>
</file>