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4.png" ContentType="image/png"/>
  <Override PartName="/word/media/rId57.png" ContentType="image/png"/>
  <Override PartName="/word/media/rId67.png" ContentType="image/png"/>
  <Override PartName="/word/media/rId71.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d7bea72dc39511120af7183634b718c2db7bb2"/>
    <w:p>
      <w:pPr>
        <w:pStyle w:val="Heading1"/>
      </w:pPr>
      <w:r>
        <w:t xml:space="preserve">VISTA: Verification using Intelligent Systems for Test Automation</w:t>
      </w:r>
    </w:p>
    <w:bookmarkStart w:id="20" w:name="X98d727289c9cc3fc78ebc2372da420dce6ffc1b"/>
    <w:p>
      <w:pPr>
        <w:pStyle w:val="Heading2"/>
      </w:pPr>
      <w:r>
        <w:t xml:space="preserve">Final Year Project Report (Draft 2 — professional body)</w:t>
      </w:r>
    </w:p>
    <w:p>
      <w:pPr>
        <w:pStyle w:val="FirstParagraph"/>
      </w:pPr>
      <w:r>
        <w:t xml:space="preserve">This document follows the structure expected by the GIKI senior design report guidelines. Export to Microsoft Word for final typography (Times New Roman, 12 pt, 1.5 line spacing, institute margins). Source code listings are intentionally omitted; implementation remains available in the project repository for examination.</w:t>
      </w:r>
    </w:p>
    <w:bookmarkEnd w:id="20"/>
    <w:bookmarkStart w:id="21" w:name="title-page-content-checklist"/>
    <w:p>
      <w:pPr>
        <w:pStyle w:val="Heading2"/>
      </w:pPr>
      <w:r>
        <w:t xml:space="preserve">Title Page (content checklist)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Entry</w:t>
            </w:r>
          </w:p>
        </w:tc>
      </w:tr>
      <w:tr>
        <w:tc>
          <w:tcPr/>
          <w:p>
            <w:pPr>
              <w:pStyle w:val="Compact"/>
            </w:pPr>
            <w:r>
              <w:t xml:space="preserve">Title</w:t>
            </w:r>
          </w:p>
        </w:tc>
        <w:tc>
          <w:tcPr/>
          <w:p>
            <w:pPr>
              <w:pStyle w:val="Compact"/>
            </w:pPr>
            <w:r>
              <w:rPr>
                <w:b/>
                <w:bCs/>
              </w:rPr>
              <w:t xml:space="preserve">VISTA: Verification using Intelligent Systems for Test Automation</w:t>
            </w:r>
          </w:p>
        </w:tc>
      </w:tr>
      <w:tr>
        <w:tc>
          <w:tcPr/>
          <w:p>
            <w:pPr>
              <w:pStyle w:val="Compact"/>
            </w:pPr>
            <w:r>
              <w:t xml:space="preserve">Authors</w:t>
            </w:r>
          </w:p>
        </w:tc>
        <w:tc>
          <w:tcPr/>
          <w:p>
            <w:pPr>
              <w:pStyle w:val="Compact"/>
            </w:pPr>
            <w:r>
              <w:t xml:space="preserve">Asad Ali; Sheikh Abbas; Mian Arqam (add registration numbers)</w:t>
            </w:r>
          </w:p>
        </w:tc>
      </w:tr>
      <w:tr>
        <w:tc>
          <w:tcPr/>
          <w:p>
            <w:pPr>
              <w:pStyle w:val="Compact"/>
            </w:pPr>
            <w:r>
              <w:t xml:space="preserve">Advisor</w:t>
            </w:r>
          </w:p>
        </w:tc>
        <w:tc>
          <w:tcPr/>
          <w:p>
            <w:pPr>
              <w:pStyle w:val="Compact"/>
            </w:pPr>
            <w:r>
              <w:t xml:space="preserve">Dr. Fahad Bin Muslim</w:t>
            </w:r>
          </w:p>
        </w:tc>
      </w:tr>
      <w:tr>
        <w:tc>
          <w:tcPr/>
          <w:p>
            <w:pPr>
              <w:pStyle w:val="Compact"/>
            </w:pPr>
            <w:r>
              <w:t xml:space="preserve">Co-advisor</w:t>
            </w:r>
          </w:p>
        </w:tc>
        <w:tc>
          <w:tcPr/>
          <w:p>
            <w:pPr>
              <w:pStyle w:val="Compact"/>
            </w:pPr>
            <w:r>
              <w:t xml:space="preserve">Dr. Waqar (if applicable)</w:t>
            </w:r>
          </w:p>
        </w:tc>
      </w:tr>
      <w:tr>
        <w:tc>
          <w:tcPr/>
          <w:p>
            <w:pPr>
              <w:pStyle w:val="Compact"/>
            </w:pPr>
            <w:r>
              <w:t xml:space="preserve">Industrial mentors</w:t>
            </w:r>
          </w:p>
        </w:tc>
        <w:tc>
          <w:tcPr/>
          <w:p>
            <w:pPr>
              <w:pStyle w:val="Compact"/>
            </w:pPr>
            <w:r>
              <w:t xml:space="preserve">Dr. Haroon; Dr. Majeed (NECOP)</w:t>
            </w:r>
          </w:p>
        </w:tc>
      </w:tr>
      <w:tr>
        <w:tc>
          <w:tcPr/>
          <w:p>
            <w:pPr>
              <w:pStyle w:val="Compact"/>
            </w:pPr>
            <w:r>
              <w:t xml:space="preserve">Affiliation</w:t>
            </w:r>
          </w:p>
        </w:tc>
        <w:tc>
          <w:tcPr/>
          <w:p>
            <w:pPr>
              <w:pStyle w:val="Compact"/>
            </w:pPr>
            <w:r>
              <w:t xml:space="preserve">Ghulam Ishaq Khan Institute of Engineering Sciences and Technology</w:t>
            </w:r>
          </w:p>
        </w:tc>
      </w:tr>
    </w:tbl>
    <w:p>
      <w:pPr>
        <w:pStyle w:val="BodyText"/>
      </w:pPr>
      <w:r>
        <w:t xml:space="preserve">Insert the official university logo and faculty name per the approved title page.</w:t>
      </w:r>
    </w:p>
    <w:bookmarkEnd w:id="21"/>
    <w:bookmarkStart w:id="22" w:name="certificate-of-approval"/>
    <w:p>
      <w:pPr>
        <w:pStyle w:val="Heading2"/>
      </w:pPr>
      <w:r>
        <w:t xml:space="preserve">Certificate of Approval</w:t>
      </w:r>
    </w:p>
    <w:p>
      <w:pPr>
        <w:pStyle w:val="FirstParagraph"/>
      </w:pPr>
      <w:r>
        <w:t xml:space="preserve">It is certified that the work presented in this report was performed by</w:t>
      </w:r>
      <w:r>
        <w:t xml:space="preserve"> </w:t>
      </w:r>
      <w:r>
        <w:rPr>
          <w:b/>
          <w:bCs/>
        </w:rPr>
        <w:t xml:space="preserve">Asad Ali</w:t>
      </w:r>
      <w:r>
        <w:t xml:space="preserve">,</w:t>
      </w:r>
      <w:r>
        <w:t xml:space="preserve"> </w:t>
      </w:r>
      <w:r>
        <w:rPr>
          <w:b/>
          <w:bCs/>
        </w:rPr>
        <w:t xml:space="preserve">Sheikh Abbas</w:t>
      </w:r>
      <w:r>
        <w:t xml:space="preserve">, and</w:t>
      </w:r>
      <w:r>
        <w:t xml:space="preserve"> </w:t>
      </w:r>
      <w:r>
        <w:rPr>
          <w:b/>
          <w:bCs/>
        </w:rPr>
        <w:t xml:space="preserve">Mian Arqam</w:t>
      </w:r>
      <w:r>
        <w:t xml:space="preserve"> </w:t>
      </w:r>
      <w:r>
        <w:t xml:space="preserve">under the supervision of</w:t>
      </w:r>
      <w:r>
        <w:t xml:space="preserve"> </w:t>
      </w:r>
      <w:r>
        <w:rPr>
          <w:b/>
          <w:bCs/>
        </w:rPr>
        <w:t xml:space="preserve">Dr. Fahad Bin Muslim</w:t>
      </w:r>
      <w:r>
        <w:t xml:space="preserve">, and is adequate for the degree of Bachelor of Science in</w:t>
      </w:r>
      <w:r>
        <w:t xml:space="preserve"> </w:t>
      </w:r>
      <w:r>
        <w:rPr>
          <w:b/>
          <w:bCs/>
        </w:rPr>
        <w:t xml:space="preserve">Computer Engineering</w:t>
      </w:r>
      <w:r>
        <w:t xml:space="preserve">. Industrial perspective was provided through</w:t>
      </w:r>
      <w:r>
        <w:t xml:space="preserve"> </w:t>
      </w:r>
      <w:r>
        <w:rPr>
          <w:b/>
          <w:bCs/>
        </w:rPr>
        <w:t xml:space="preserve">NECOP</w:t>
      </w:r>
      <w:r>
        <w:t xml:space="preserve"> </w:t>
      </w:r>
      <w:r>
        <w:t xml:space="preserve">with mentorship from</w:t>
      </w:r>
      <w:r>
        <w:t xml:space="preserve"> </w:t>
      </w:r>
      <w:r>
        <w:rPr>
          <w:b/>
          <w:bCs/>
        </w:rPr>
        <w:t xml:space="preserve">Dr. Haroon</w:t>
      </w:r>
      <w:r>
        <w:t xml:space="preserve"> </w:t>
      </w:r>
      <w:r>
        <w:t xml:space="preserve">and</w:t>
      </w:r>
      <w:r>
        <w:t xml:space="preserve"> </w:t>
      </w:r>
      <w:r>
        <w:rPr>
          <w:b/>
          <w:bCs/>
        </w:rPr>
        <w:t xml:space="preserve">Dr. Majeed</w:t>
      </w:r>
      <w:r>
        <w:t xml:space="preserve">. Signature blocks for advisor, co-advisor (if any), and the Dean should appear on the bound copy as prescribed by the faculty.</w:t>
      </w:r>
    </w:p>
    <w:bookmarkEnd w:id="22"/>
    <w:bookmarkStart w:id="23" w:name="sdgs-inclusion"/>
    <w:p>
      <w:pPr>
        <w:pStyle w:val="Heading2"/>
      </w:pPr>
      <w:r>
        <w:t xml:space="preserve">SDGs Inclusion</w:t>
      </w:r>
    </w:p>
    <w:p>
      <w:pPr>
        <w:pStyle w:val="FirstParagraph"/>
      </w:pPr>
      <w:r>
        <w:rPr>
          <w:b/>
          <w:bCs/>
        </w:rPr>
        <w:t xml:space="preserve">SDG 4 (Quality education).</w:t>
      </w:r>
      <w:r>
        <w:t xml:space="preserve"> </w:t>
      </w:r>
      <w:r>
        <w:t xml:space="preserve">VISTA supports teaching and research on formal hardware verification by providing a reproducible pipeline from register-transfer level descriptions to assertions checked with open tools.</w:t>
      </w:r>
    </w:p>
    <w:p>
      <w:pPr>
        <w:pStyle w:val="BodyText"/>
      </w:pPr>
      <w:r>
        <w:rPr>
          <w:b/>
          <w:bCs/>
        </w:rPr>
        <w:t xml:space="preserve">SDG 9 (Industry, innovation and infrastructure).</w:t>
      </w:r>
      <w:r>
        <w:t xml:space="preserve"> </w:t>
      </w:r>
      <w:r>
        <w:t xml:space="preserve">Dependable digital systems require rigorous verification; lowering the cost of assertion authoring contributes to safer infrastructure.</w:t>
      </w:r>
    </w:p>
    <w:p>
      <w:pPr>
        <w:pStyle w:val="BodyText"/>
      </w:pPr>
      <w:r>
        <w:rPr>
          <w:b/>
          <w:bCs/>
        </w:rPr>
        <w:t xml:space="preserve">SDG 12 (Responsible consumption and production).</w:t>
      </w:r>
      <w:r>
        <w:t xml:space="preserve"> </w:t>
      </w:r>
      <w:r>
        <w:t xml:space="preserve">Parameter-efficient fine-tuning (QLoRA) reduces GPU memory and energy use relative to full model fine-tuning for comparable task quality.</w:t>
      </w:r>
    </w:p>
    <w:bookmarkEnd w:id="23"/>
    <w:bookmarkStart w:id="24" w:name="abstract"/>
    <w:p>
      <w:pPr>
        <w:pStyle w:val="Heading2"/>
      </w:pPr>
      <w:r>
        <w:t xml:space="preserve">Abstract</w:t>
      </w:r>
    </w:p>
    <w:p>
      <w:pPr>
        <w:pStyle w:val="FirstParagraph"/>
      </w:pPr>
      <w:r>
        <w:t xml:space="preserve">Hardware verification remains a major fraction of system-on-chip development effort. SystemVerilog assertions express temporal design intent for simulation and formal analysis, yet manual assertion writing is slow and requires specialized expertise.</w:t>
      </w:r>
      <w:r>
        <w:t xml:space="preserve"> </w:t>
      </w:r>
      <w:r>
        <w:rPr>
          <w:b/>
          <w:bCs/>
        </w:rPr>
        <w:t xml:space="preserve">VISTA</w:t>
      </w:r>
      <w:r>
        <w:t xml:space="preserve"> </w:t>
      </w:r>
      <w:r>
        <w:t xml:space="preserve">is an integrated framework that proposes assertions directly from RTL fragments by combining a</w:t>
      </w:r>
      <w:r>
        <w:t xml:space="preserve"> </w:t>
      </w:r>
      <w:r>
        <w:rPr>
          <w:b/>
          <w:bCs/>
        </w:rPr>
        <w:t xml:space="preserve">QLoRA</w:t>
      </w:r>
      <w:r>
        <w:t xml:space="preserve">-adapted</w:t>
      </w:r>
      <w:r>
        <w:t xml:space="preserve"> </w:t>
      </w:r>
      <w:r>
        <w:rPr>
          <w:b/>
          <w:bCs/>
        </w:rPr>
        <w:t xml:space="preserve">LLaMA 3.1 (8B)</w:t>
      </w:r>
      <w:r>
        <w:t xml:space="preserve"> </w:t>
      </w:r>
      <w:r>
        <w:t xml:space="preserve">model with deterministic post-processing and a</w:t>
      </w:r>
      <w:r>
        <w:t xml:space="preserve"> </w:t>
      </w:r>
      <w:r>
        <w:rPr>
          <w:b/>
          <w:bCs/>
        </w:rPr>
        <w:t xml:space="preserve">dynamic wrapping</w:t>
      </w:r>
      <w:r>
        <w:t xml:space="preserve"> </w:t>
      </w:r>
      <w:r>
        <w:t xml:space="preserve">stage that produces tool-ready SystemVerilog modules. Training and evaluation use the</w:t>
      </w:r>
      <w:r>
        <w:t xml:space="preserve"> </w:t>
      </w:r>
      <w:r>
        <w:rPr>
          <w:b/>
          <w:bCs/>
        </w:rPr>
        <w:t xml:space="preserve">VERT</w:t>
      </w:r>
      <w:r>
        <w:t xml:space="preserve"> </w:t>
      </w:r>
      <w:r>
        <w:t xml:space="preserve">corpus (twenty thousand labeled pairs in this repository). On a fixed evaluation set of one hundred consecutive samples,</w:t>
      </w:r>
      <w:r>
        <w:t xml:space="preserve"> </w:t>
      </w:r>
      <w:r>
        <w:rPr>
          <w:b/>
          <w:bCs/>
        </w:rPr>
        <w:t xml:space="preserve">all</w:t>
      </w:r>
      <w:r>
        <w:t xml:space="preserve"> </w:t>
      </w:r>
      <w:r>
        <w:t xml:space="preserve">generated wrappers parsed successfully in the open-source front end,</w:t>
      </w:r>
      <w:r>
        <w:t xml:space="preserve"> </w:t>
      </w:r>
      <w:r>
        <w:rPr>
          <w:b/>
          <w:bCs/>
        </w:rPr>
        <w:t xml:space="preserve">ninety-nine</w:t>
      </w:r>
      <w:r>
        <w:t xml:space="preserve"> </w:t>
      </w:r>
      <w:r>
        <w:t xml:space="preserve">bounded model-checking runs completed with a pass verdict under SymbiYosys, and mean</w:t>
      </w:r>
      <w:r>
        <w:t xml:space="preserve"> </w:t>
      </w:r>
      <w:r>
        <w:rPr>
          <w:b/>
          <w:bCs/>
        </w:rPr>
        <w:t xml:space="preserve">gold Jaccard</w:t>
      </w:r>
      <w:r>
        <w:t xml:space="preserve"> </w:t>
      </w:r>
      <w:r>
        <w:t xml:space="preserve">similarity to reference assertions was</w:t>
      </w:r>
      <w:r>
        <w:t xml:space="preserve"> </w:t>
      </w:r>
      <w:r>
        <w:rPr>
          <w:b/>
          <w:bCs/>
        </w:rPr>
        <w:t xml:space="preserve">0.991</w:t>
      </w:r>
      <w:r>
        <w:t xml:space="preserve">. The single formal failure coincides with</w:t>
      </w:r>
      <w:r>
        <w:t xml:space="preserve"> </w:t>
      </w:r>
      <w:r>
        <w:rPr>
          <w:b/>
          <w:bCs/>
        </w:rPr>
        <w:t xml:space="preserve">perfect</w:t>
      </w:r>
      <w:r>
        <w:t xml:space="preserve"> </w:t>
      </w:r>
      <w:r>
        <w:t xml:space="preserve">lexical agreement but exposes a limitation of four-valued</w:t>
      </w:r>
      <w:r>
        <w:t xml:space="preserve"> </w:t>
      </w:r>
      <w:r>
        <w:rPr>
          <w:b/>
          <w:bCs/>
        </w:rPr>
        <w:t xml:space="preserve">don’t-care</w:t>
      </w:r>
      <w:r>
        <w:t xml:space="preserve"> </w:t>
      </w:r>
      <w:r>
        <w:t xml:space="preserve">bits in a case selector—a reminder that formal outcomes depend on encoding and assumptions, not token match alone. A web-based demonstration couples a Next.js interface to a Python service for interactive use. Future work includes counterexample-guided refinement and stronger treatment of unknown logic values.</w:t>
      </w:r>
    </w:p>
    <w:p>
      <w:pPr>
        <w:pStyle w:val="BodyText"/>
      </w:pPr>
      <w:r>
        <w:rPr>
          <w:b/>
          <w:bCs/>
        </w:rPr>
        <w:t xml:space="preserve">Keywords:</w:t>
      </w:r>
      <w:r>
        <w:t xml:space="preserve"> </w:t>
      </w:r>
      <w:r>
        <w:t xml:space="preserve">formal verification, SystemVerilog assertions, large language models, QLoRA, VERT, SymbiYosys, RTL wrapping.</w:t>
      </w:r>
    </w:p>
    <w:bookmarkEnd w:id="24"/>
    <w:bookmarkStart w:id="25" w:name="acknowledgements"/>
    <w:p>
      <w:pPr>
        <w:pStyle w:val="Heading2"/>
      </w:pPr>
      <w:r>
        <w:t xml:space="preserve">Acknowledgements</w:t>
      </w:r>
    </w:p>
    <w:p>
      <w:pPr>
        <w:pStyle w:val="FirstParagraph"/>
      </w:pPr>
      <w:r>
        <w:t xml:space="preserve">The authors thank</w:t>
      </w:r>
      <w:r>
        <w:t xml:space="preserve"> </w:t>
      </w:r>
      <w:r>
        <w:rPr>
          <w:b/>
          <w:bCs/>
        </w:rPr>
        <w:t xml:space="preserve">Dr. Fahad Bin Muslim</w:t>
      </w:r>
      <w:r>
        <w:t xml:space="preserve"> </w:t>
      </w:r>
      <w:r>
        <w:t xml:space="preserve">and</w:t>
      </w:r>
      <w:r>
        <w:t xml:space="preserve"> </w:t>
      </w:r>
      <w:r>
        <w:rPr>
          <w:b/>
          <w:bCs/>
        </w:rPr>
        <w:t xml:space="preserve">Dr. Waqar</w:t>
      </w:r>
      <w:r>
        <w:t xml:space="preserve"> </w:t>
      </w:r>
      <w:r>
        <w:t xml:space="preserve">for academic supervision;</w:t>
      </w:r>
      <w:r>
        <w:t xml:space="preserve"> </w:t>
      </w:r>
      <w:r>
        <w:rPr>
          <w:b/>
          <w:bCs/>
        </w:rPr>
        <w:t xml:space="preserve">NECOP</w:t>
      </w:r>
      <w:r>
        <w:t xml:space="preserve"> </w:t>
      </w:r>
      <w:r>
        <w:t xml:space="preserve">and mentors</w:t>
      </w:r>
      <w:r>
        <w:t xml:space="preserve"> </w:t>
      </w:r>
      <w:r>
        <w:rPr>
          <w:b/>
          <w:bCs/>
        </w:rPr>
        <w:t xml:space="preserve">Dr. Haroon</w:t>
      </w:r>
      <w:r>
        <w:t xml:space="preserve"> </w:t>
      </w:r>
      <w:r>
        <w:t xml:space="preserve">and</w:t>
      </w:r>
      <w:r>
        <w:t xml:space="preserve"> </w:t>
      </w:r>
      <w:r>
        <w:rPr>
          <w:b/>
          <w:bCs/>
        </w:rPr>
        <w:t xml:space="preserve">Dr. Majeed</w:t>
      </w:r>
      <w:r>
        <w:t xml:space="preserve"> </w:t>
      </w:r>
      <w:r>
        <w:t xml:space="preserve">for industrial guidance; and the maintainers of open-source verification and machine-learning software used in this work.</w:t>
      </w:r>
    </w:p>
    <w:bookmarkEnd w:id="25"/>
    <w:bookmarkStart w:id="26" w:name="table-of-contents"/>
    <w:p>
      <w:pPr>
        <w:pStyle w:val="Heading2"/>
      </w:pPr>
      <w:r>
        <w:t xml:space="preserve">Table of Contents</w:t>
      </w:r>
    </w:p>
    <w:p>
      <w:pPr>
        <w:pStyle w:val="FirstParagraph"/>
      </w:pPr>
      <w:r>
        <w:t xml:space="preserve">Chapter I — Introduction · Chapter II — Literature survey · Chapter III — Requirements and specifications · Chapter IV — Methodology and implementation · Chapter V — Results and discussion · Chapter VI — Conclusion and future work · Glossary · References · Appendices.</w:t>
      </w:r>
      <w:r>
        <w:t xml:space="preserve"> </w:t>
      </w:r>
      <w:r>
        <w:rPr>
          <w:i/>
          <w:iCs/>
        </w:rPr>
        <w:t xml:space="preserve">(Replace this list with Word’s auto-generated table of contents and page numbers.)</w:t>
      </w:r>
    </w:p>
    <w:bookmarkEnd w:id="26"/>
    <w:bookmarkStart w:id="27" w:name="list-of-figures"/>
    <w:p>
      <w:pPr>
        <w:pStyle w:val="Heading2"/>
      </w:pPr>
      <w:r>
        <w:t xml:space="preserve">List of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w:t>
            </w:r>
          </w:p>
        </w:tc>
        <w:tc>
          <w:tcPr/>
          <w:p>
            <w:pPr>
              <w:pStyle w:val="Compact"/>
            </w:pPr>
            <w:r>
              <w:t xml:space="preserve">Description</w:t>
            </w:r>
          </w:p>
        </w:tc>
      </w:tr>
      <w:tr>
        <w:tc>
          <w:tcPr/>
          <w:p>
            <w:pPr>
              <w:pStyle w:val="Compact"/>
            </w:pPr>
            <w:r>
              <w:t xml:space="preserve">1.1</w:t>
            </w:r>
          </w:p>
        </w:tc>
        <w:tc>
          <w:tcPr/>
          <w:p>
            <w:pPr>
              <w:pStyle w:val="Compact"/>
            </w:pPr>
            <w:r>
              <w:t xml:space="preserve">End-to-end system context</w:t>
            </w:r>
          </w:p>
        </w:tc>
      </w:tr>
      <w:tr>
        <w:tc>
          <w:tcPr/>
          <w:p>
            <w:pPr>
              <w:pStyle w:val="Compact"/>
            </w:pPr>
            <w:r>
              <w:t xml:space="preserve">2.1</w:t>
            </w:r>
          </w:p>
        </w:tc>
        <w:tc>
          <w:tcPr/>
          <w:p>
            <w:pPr>
              <w:pStyle w:val="Compact"/>
            </w:pPr>
            <w:r>
              <w:t xml:space="preserve">Landscape of assertion-generation approaches</w:t>
            </w:r>
          </w:p>
        </w:tc>
      </w:tr>
      <w:tr>
        <w:tc>
          <w:tcPr/>
          <w:p>
            <w:pPr>
              <w:pStyle w:val="Compact"/>
            </w:pPr>
            <w:r>
              <w:t xml:space="preserve">4.1</w:t>
            </w:r>
          </w:p>
        </w:tc>
        <w:tc>
          <w:tcPr/>
          <w:p>
            <w:pPr>
              <w:pStyle w:val="Compact"/>
            </w:pPr>
            <w:r>
              <w:t xml:space="preserve">VISTA processing pipeline</w:t>
            </w:r>
          </w:p>
        </w:tc>
      </w:tr>
      <w:tr>
        <w:tc>
          <w:tcPr/>
          <w:p>
            <w:pPr>
              <w:pStyle w:val="Compact"/>
            </w:pPr>
            <w:r>
              <w:t xml:space="preserve">5.1</w:t>
            </w:r>
          </w:p>
        </w:tc>
        <w:tc>
          <w:tcPr/>
          <w:p>
            <w:pPr>
              <w:pStyle w:val="Compact"/>
            </w:pPr>
            <w:r>
              <w:t xml:space="preserve">Formal and syntax outcomes (n = 100)</w:t>
            </w:r>
          </w:p>
        </w:tc>
      </w:tr>
      <w:tr>
        <w:tc>
          <w:tcPr/>
          <w:p>
            <w:pPr>
              <w:pStyle w:val="Compact"/>
            </w:pPr>
            <w:r>
              <w:t xml:space="preserve">5.2</w:t>
            </w:r>
          </w:p>
        </w:tc>
        <w:tc>
          <w:tcPr/>
          <w:p>
            <w:pPr>
              <w:pStyle w:val="Compact"/>
            </w:pPr>
            <w:r>
              <w:t xml:space="preserve">Distribution of gold Jaccard similarity</w:t>
            </w:r>
          </w:p>
        </w:tc>
      </w:tr>
      <w:tr>
        <w:tc>
          <w:tcPr/>
          <w:p>
            <w:pPr>
              <w:pStyle w:val="Compact"/>
            </w:pPr>
            <w:r>
              <w:t xml:space="preserve">6.1</w:t>
            </w:r>
          </w:p>
        </w:tc>
        <w:tc>
          <w:tcPr/>
          <w:p>
            <w:pPr>
              <w:pStyle w:val="Compact"/>
            </w:pPr>
            <w:r>
              <w:t xml:space="preserve">Roadmap for future research</w:t>
            </w:r>
          </w:p>
        </w:tc>
      </w:tr>
    </w:tbl>
    <w:bookmarkEnd w:id="27"/>
    <w:bookmarkStart w:id="28" w:name="list-of-tables"/>
    <w:p>
      <w:pPr>
        <w:pStyle w:val="Heading2"/>
      </w:pPr>
      <w:r>
        <w:t xml:space="preserve">List of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Description</w:t>
            </w:r>
          </w:p>
        </w:tc>
      </w:tr>
      <w:tr>
        <w:tc>
          <w:tcPr/>
          <w:p>
            <w:pPr>
              <w:pStyle w:val="Compact"/>
            </w:pPr>
            <w:r>
              <w:t xml:space="preserve">3.1</w:t>
            </w:r>
          </w:p>
        </w:tc>
        <w:tc>
          <w:tcPr/>
          <w:p>
            <w:pPr>
              <w:pStyle w:val="Compact"/>
            </w:pPr>
            <w:r>
              <w:t xml:space="preserve">Functional requirements</w:t>
            </w:r>
          </w:p>
        </w:tc>
      </w:tr>
      <w:tr>
        <w:tc>
          <w:tcPr/>
          <w:p>
            <w:pPr>
              <w:pStyle w:val="Compact"/>
            </w:pPr>
            <w:r>
              <w:t xml:space="preserve">4.1</w:t>
            </w:r>
          </w:p>
        </w:tc>
        <w:tc>
          <w:tcPr/>
          <w:p>
            <w:pPr>
              <w:pStyle w:val="Compact"/>
            </w:pPr>
            <w:r>
              <w:t xml:space="preserve">Training hyperparameters (defaults used in this project)</w:t>
            </w:r>
          </w:p>
        </w:tc>
      </w:tr>
      <w:tr>
        <w:tc>
          <w:tcPr/>
          <w:p>
            <w:pPr>
              <w:pStyle w:val="Compact"/>
            </w:pPr>
            <w:r>
              <w:t xml:space="preserve">5.1</w:t>
            </w:r>
          </w:p>
        </w:tc>
        <w:tc>
          <w:tcPr/>
          <w:p>
            <w:pPr>
              <w:pStyle w:val="Compact"/>
            </w:pPr>
            <w:r>
              <w:t xml:space="preserve">Aggregate evaluation metrics</w:t>
            </w:r>
          </w:p>
        </w:tc>
      </w:tr>
      <w:tr>
        <w:tc>
          <w:tcPr/>
          <w:p>
            <w:pPr>
              <w:pStyle w:val="Compact"/>
            </w:pPr>
            <w:r>
              <w:t xml:space="preserve">5.2</w:t>
            </w:r>
          </w:p>
        </w:tc>
        <w:tc>
          <w:tcPr/>
          <w:p>
            <w:pPr>
              <w:pStyle w:val="Compact"/>
            </w:pPr>
            <w:r>
              <w:t xml:space="preserve">Gold Jaccard buckets</w:t>
            </w:r>
          </w:p>
        </w:tc>
      </w:tr>
      <w:tr>
        <w:tc>
          <w:tcPr/>
          <w:p>
            <w:pPr>
              <w:pStyle w:val="Compact"/>
            </w:pPr>
            <w:r>
              <w:t xml:space="preserve">A.1</w:t>
            </w:r>
          </w:p>
        </w:tc>
        <w:tc>
          <w:tcPr/>
          <w:p>
            <w:pPr>
              <w:pStyle w:val="Compact"/>
            </w:pPr>
            <w:r>
              <w:t xml:space="preserve">Outlier cases (formal failure or Jaccard below 0.95)</w:t>
            </w:r>
          </w:p>
        </w:tc>
      </w:tr>
    </w:tbl>
    <w:bookmarkEnd w:id="28"/>
    <w:bookmarkEnd w:id="29"/>
    <w:bookmarkStart w:id="38" w:name="chapter-i-introduction"/>
    <w:p>
      <w:pPr>
        <w:pStyle w:val="Heading1"/>
      </w:pPr>
      <w:r>
        <w:t xml:space="preserve">Chapter I — Introduction</w:t>
      </w:r>
    </w:p>
    <w:bookmarkStart w:id="30" w:name="motivation"/>
    <w:p>
      <w:pPr>
        <w:pStyle w:val="Heading3"/>
      </w:pPr>
      <w:r>
        <w:t xml:space="preserve">1.1 Motivation</w:t>
      </w:r>
    </w:p>
    <w:p>
      <w:pPr>
        <w:pStyle w:val="FirstParagraph"/>
      </w:pPr>
      <w:r>
        <w:t xml:space="preserve">Modern integrated circuits are verified through simulation, emulation, and increasingly through</w:t>
      </w:r>
      <w:r>
        <w:t xml:space="preserve"> </w:t>
      </w:r>
      <w:r>
        <w:rPr>
          <w:b/>
          <w:bCs/>
        </w:rPr>
        <w:t xml:space="preserve">formal methods</w:t>
      </w:r>
      <w:r>
        <w:t xml:space="preserve"> </w:t>
      </w:r>
      <w:r>
        <w:t xml:space="preserve">that search for counterexamples or construct proofs over finite or inductive horizons.</w:t>
      </w:r>
      <w:r>
        <w:t xml:space="preserve"> </w:t>
      </w:r>
      <w:r>
        <w:rPr>
          <w:b/>
          <w:bCs/>
        </w:rPr>
        <w:t xml:space="preserve">SystemVerilog assertions (SVA)</w:t>
      </w:r>
      <w:r>
        <w:t xml:space="preserve"> </w:t>
      </w:r>
      <w:r>
        <w:t xml:space="preserve">are a standard mechanism for capturing safety and bounded-liveness properties at the register-transfer level. In practice, the bottleneck is often not the availability of engines but the</w:t>
      </w:r>
      <w:r>
        <w:t xml:space="preserve"> </w:t>
      </w:r>
      <w:r>
        <w:rPr>
          <w:b/>
          <w:bCs/>
        </w:rPr>
        <w:t xml:space="preserve">volume and quality</w:t>
      </w:r>
      <w:r>
        <w:t xml:space="preserve"> </w:t>
      </w:r>
      <w:r>
        <w:t xml:space="preserve">of properties: engineers must translate intricate RTL behavior into concise, checkable assertions without introducing vacuity or contradictory constraints.</w:t>
      </w:r>
    </w:p>
    <w:bookmarkEnd w:id="30"/>
    <w:bookmarkStart w:id="31" w:name="problem-statement"/>
    <w:p>
      <w:pPr>
        <w:pStyle w:val="Heading3"/>
      </w:pPr>
      <w:r>
        <w:t xml:space="preserve">1.2 Problem statement</w:t>
      </w:r>
    </w:p>
    <w:p>
      <w:pPr>
        <w:pStyle w:val="FirstParagraph"/>
      </w:pPr>
      <w:r>
        <w:t xml:space="preserve">This project addresses</w:t>
      </w:r>
      <w:r>
        <w:t xml:space="preserve"> </w:t>
      </w:r>
      <w:r>
        <w:rPr>
          <w:b/>
          <w:bCs/>
        </w:rPr>
        <w:t xml:space="preserve">RTL-fragment-to-assertion</w:t>
      </w:r>
      <w:r>
        <w:t xml:space="preserve"> </w:t>
      </w:r>
      <w:r>
        <w:t xml:space="preserve">generation under the distribution induced by the VERT dataset: inputs are typically</w:t>
      </w:r>
      <w:r>
        <w:t xml:space="preserve"> </w:t>
      </w:r>
      <w:r>
        <w:rPr>
          <w:b/>
          <w:bCs/>
        </w:rPr>
        <w:t xml:space="preserve">conditional snippets</w:t>
      </w:r>
      <w:r>
        <w:t xml:space="preserve"> </w:t>
      </w:r>
      <w:r>
        <w:t xml:space="preserve">rather than complete modules, and formal tools expect elaboratable modules with explicit clocks and declared signals. A usable solution must therefore combine</w:t>
      </w:r>
      <w:r>
        <w:t xml:space="preserve"> </w:t>
      </w:r>
      <w:r>
        <w:rPr>
          <w:b/>
          <w:bCs/>
        </w:rPr>
        <w:t xml:space="preserve">learned generation</w:t>
      </w:r>
      <w:r>
        <w:t xml:space="preserve"> </w:t>
      </w:r>
      <w:r>
        <w:t xml:space="preserve">with</w:t>
      </w:r>
      <w:r>
        <w:t xml:space="preserve"> </w:t>
      </w:r>
      <w:r>
        <w:rPr>
          <w:b/>
          <w:bCs/>
        </w:rPr>
        <w:t xml:space="preserve">tool-aware normalization</w:t>
      </w:r>
      <w:r>
        <w:t xml:space="preserve"> </w:t>
      </w:r>
      <w:r>
        <w:t xml:space="preserve">and</w:t>
      </w:r>
      <w:r>
        <w:t xml:space="preserve"> </w:t>
      </w:r>
      <w:r>
        <w:rPr>
          <w:b/>
          <w:bCs/>
        </w:rPr>
        <w:t xml:space="preserve">harness construction</w:t>
      </w:r>
      <w:r>
        <w:t xml:space="preserve">.</w:t>
      </w:r>
    </w:p>
    <w:bookmarkEnd w:id="31"/>
    <w:bookmarkStart w:id="32" w:name="contributions"/>
    <w:p>
      <w:pPr>
        <w:pStyle w:val="Heading3"/>
      </w:pPr>
      <w:r>
        <w:t xml:space="preserve">1.3 Contributions</w:t>
      </w:r>
    </w:p>
    <w:p>
      <w:pPr>
        <w:pStyle w:val="FirstParagraph"/>
      </w:pPr>
      <w:r>
        <w:t xml:space="preserve">The main contributions are: (1) an end-to-end pipeline from VERT-style fields to SymbiYosys-ready SystemVerilog; (2) a dynamic wrapper that infers interface signals and aligns assertion evaluation with clocking semantics; (3) post-processing that extracts clean property structure, adapts expressions for the open-source formal front end, and applies a greedy syntax filter; (4) a reproducible evaluation harness and frozen metrics on one hundred samples; (5) a demonstration web application for stakeholders.</w:t>
      </w:r>
    </w:p>
    <w:bookmarkEnd w:id="32"/>
    <w:bookmarkStart w:id="33" w:name="report-organization"/>
    <w:p>
      <w:pPr>
        <w:pStyle w:val="Heading3"/>
      </w:pPr>
      <w:r>
        <w:t xml:space="preserve">1.4 Report organization</w:t>
      </w:r>
    </w:p>
    <w:p>
      <w:pPr>
        <w:pStyle w:val="FirstParagraph"/>
      </w:pPr>
      <w:r>
        <w:t xml:space="preserve">Chapter II surveys related work. Chapter III states requirements. Chapter IV presents methodology and system design. Chapter V reports experimental results. Chapter VI concludes and outlines future work.</w:t>
      </w:r>
    </w:p>
    <w:bookmarkEnd w:id="33"/>
    <w:bookmarkStart w:id="37" w:name="figure-1.1-system-context"/>
    <w:p>
      <w:pPr>
        <w:pStyle w:val="Heading3"/>
      </w:pPr>
      <w:r>
        <w:t xml:space="preserve">Figure 1.1 — System context</w:t>
      </w:r>
    </w:p>
    <w:p>
      <w:pPr>
        <w:pStyle w:val="CaptionedFigure"/>
      </w:pPr>
      <w:r>
        <w:drawing>
          <wp:inline>
            <wp:extent cx="5334000" cy="3565988"/>
            <wp:effectExtent b="0" l="0" r="0" t="0"/>
            <wp:docPr descr="Figure 1 — diagram" title="" id="35" name="Picture"/>
            <a:graphic>
              <a:graphicData uri="http://schemas.openxmlformats.org/drawingml/2006/picture">
                <pic:pic>
                  <pic:nvPicPr>
                    <pic:cNvPr descr="figure_1.png" id="36" name="Picture"/>
                    <pic:cNvPicPr>
                      <a:picLocks noChangeArrowheads="1" noChangeAspect="1"/>
                    </pic:cNvPicPr>
                  </pic:nvPicPr>
                  <pic:blipFill>
                    <a:blip r:embed="rId34"/>
                    <a:stretch>
                      <a:fillRect/>
                    </a:stretch>
                  </pic:blipFill>
                  <pic:spPr bwMode="auto">
                    <a:xfrm>
                      <a:off x="0" y="0"/>
                      <a:ext cx="5334000" cy="3565988"/>
                    </a:xfrm>
                    <a:prstGeom prst="rect">
                      <a:avLst/>
                    </a:prstGeom>
                    <a:noFill/>
                    <a:ln w="9525">
                      <a:noFill/>
                      <a:headEnd/>
                      <a:tailEnd/>
                    </a:ln>
                  </pic:spPr>
                </pic:pic>
              </a:graphicData>
            </a:graphic>
          </wp:inline>
        </w:drawing>
      </w:r>
    </w:p>
    <w:p>
      <w:pPr>
        <w:pStyle w:val="ImageCaption"/>
      </w:pPr>
      <w:r>
        <w:t xml:space="preserve">Figure 1 — diagram</w:t>
      </w:r>
    </w:p>
    <w:bookmarkEnd w:id="37"/>
    <w:bookmarkEnd w:id="38"/>
    <w:bookmarkStart w:id="48" w:name="chapter-ii-literature-survey"/>
    <w:p>
      <w:pPr>
        <w:pStyle w:val="Heading1"/>
      </w:pPr>
      <w:r>
        <w:t xml:space="preserve">Chapter II — Literature survey</w:t>
      </w:r>
    </w:p>
    <w:bookmarkStart w:id="39" w:name="formal-verification-and-assertions"/>
    <w:p>
      <w:pPr>
        <w:pStyle w:val="Heading3"/>
      </w:pPr>
      <w:r>
        <w:t xml:space="preserve">2.1 Formal verification and assertions</w:t>
      </w:r>
    </w:p>
    <w:p>
      <w:pPr>
        <w:pStyle w:val="FirstParagraph"/>
      </w:pPr>
      <w:r>
        <w:t xml:space="preserve">Industrial practice combines property checking with simulation. Academic and open-source flows frequently target subsets of SystemVerilog that are well supported by elaboration tools; this influences how generated assertions must be shaped before any proof attempt.</w:t>
      </w:r>
    </w:p>
    <w:bookmarkEnd w:id="39"/>
    <w:bookmarkStart w:id="40" w:name="classical-assertion-mining"/>
    <w:p>
      <w:pPr>
        <w:pStyle w:val="Heading3"/>
      </w:pPr>
      <w:r>
        <w:t xml:space="preserve">2.2 Classical assertion mining</w:t>
      </w:r>
    </w:p>
    <w:p>
      <w:pPr>
        <w:pStyle w:val="FirstParagraph"/>
      </w:pPr>
      <w:r>
        <w:t xml:space="preserve">Historically,</w:t>
      </w:r>
      <w:r>
        <w:t xml:space="preserve"> </w:t>
      </w:r>
      <w:r>
        <w:rPr>
          <w:b/>
          <w:bCs/>
        </w:rPr>
        <w:t xml:space="preserve">mining</w:t>
      </w:r>
      <w:r>
        <w:t xml:space="preserve"> </w:t>
      </w:r>
      <w:r>
        <w:t xml:space="preserve">approaches inferred candidate properties from simulation traces or static structure. These methods can scale but may propose weak or redundant properties and can struggle with deep temporal relationships unless guided by strong coverage.</w:t>
      </w:r>
    </w:p>
    <w:bookmarkEnd w:id="40"/>
    <w:bookmarkStart w:id="41" w:name="language-models-for-verification"/>
    <w:p>
      <w:pPr>
        <w:pStyle w:val="Heading3"/>
      </w:pPr>
      <w:r>
        <w:t xml:space="preserve">2.3 Language models for verification</w:t>
      </w:r>
    </w:p>
    <w:p>
      <w:pPr>
        <w:pStyle w:val="FirstParagraph"/>
      </w:pPr>
      <w:r>
        <w:t xml:space="preserve">Recent research explores large language models for translating</w:t>
      </w:r>
      <w:r>
        <w:t xml:space="preserve"> </w:t>
      </w:r>
      <w:r>
        <w:rPr>
          <w:b/>
          <w:bCs/>
        </w:rPr>
        <w:t xml:space="preserve">natural language</w:t>
      </w:r>
      <w:r>
        <w:t xml:space="preserve"> </w:t>
      </w:r>
      <w:r>
        <w:t xml:space="preserve">or auxiliary artifacts into assertions. Such pipelines depend on specification quality.</w:t>
      </w:r>
      <w:r>
        <w:t xml:space="preserve"> </w:t>
      </w:r>
      <w:r>
        <w:rPr>
          <w:b/>
          <w:bCs/>
        </w:rPr>
        <w:t xml:space="preserve">VISTA</w:t>
      </w:r>
      <w:r>
        <w:t xml:space="preserve"> </w:t>
      </w:r>
      <w:r>
        <w:t xml:space="preserve">deliberately operates in an</w:t>
      </w:r>
      <w:r>
        <w:t xml:space="preserve"> </w:t>
      </w:r>
      <w:r>
        <w:rPr>
          <w:b/>
          <w:bCs/>
        </w:rPr>
        <w:t xml:space="preserve">RTL-only</w:t>
      </w:r>
      <w:r>
        <w:t xml:space="preserve"> </w:t>
      </w:r>
      <w:r>
        <w:t xml:space="preserve">setting to study how much intent can be recovered from implementation text and VERT-style metadata (synchronous flag and clock).</w:t>
      </w:r>
    </w:p>
    <w:bookmarkEnd w:id="41"/>
    <w:bookmarkStart w:id="42" w:name="benchmarks"/>
    <w:p>
      <w:pPr>
        <w:pStyle w:val="Heading3"/>
      </w:pPr>
      <w:r>
        <w:t xml:space="preserve">2.4 Benchmarks</w:t>
      </w:r>
    </w:p>
    <w:p>
      <w:pPr>
        <w:pStyle w:val="FirstParagraph"/>
      </w:pPr>
      <w:r>
        <w:rPr>
          <w:b/>
          <w:bCs/>
        </w:rPr>
        <w:t xml:space="preserve">AssertionBench</w:t>
      </w:r>
      <w:r>
        <w:t xml:space="preserve"> </w:t>
      </w:r>
      <w:r>
        <w:t xml:space="preserve">provides a controlled setting for comparing models on assertion generation.</w:t>
      </w:r>
      <w:r>
        <w:t xml:space="preserve"> </w:t>
      </w:r>
      <w:r>
        <w:rPr>
          <w:b/>
          <w:bCs/>
        </w:rPr>
        <w:t xml:space="preserve">VERT</w:t>
      </w:r>
      <w:r>
        <w:t xml:space="preserve"> </w:t>
      </w:r>
      <w:r>
        <w:t xml:space="preserve">offers large-scale RTL–assertion pairs at finer granularity, which motivates the wrapping and normalization stages central to this thesis.</w:t>
      </w:r>
    </w:p>
    <w:bookmarkEnd w:id="42"/>
    <w:bookmarkStart w:id="43" w:name="parameter-efficient-adaptation"/>
    <w:p>
      <w:pPr>
        <w:pStyle w:val="Heading3"/>
      </w:pPr>
      <w:r>
        <w:t xml:space="preserve">2.5 Parameter-efficient adaptation</w:t>
      </w:r>
    </w:p>
    <w:p>
      <w:pPr>
        <w:pStyle w:val="FirstParagraph"/>
      </w:pPr>
      <w:r>
        <w:rPr>
          <w:b/>
          <w:bCs/>
        </w:rPr>
        <w:t xml:space="preserve">QLoRA</w:t>
      </w:r>
      <w:r>
        <w:t xml:space="preserve"> </w:t>
      </w:r>
      <w:r>
        <w:t xml:space="preserve">enables fine-tuning large models under constrained GPU memory by training adapters on a quantized base representation, which is attractive for student and laboratory settings.</w:t>
      </w:r>
    </w:p>
    <w:bookmarkEnd w:id="43"/>
    <w:bookmarkStart w:id="47" w:name="figure-2.1-landscape-of-approaches"/>
    <w:p>
      <w:pPr>
        <w:pStyle w:val="Heading3"/>
      </w:pPr>
      <w:r>
        <w:t xml:space="preserve">Figure 2.1 — Landscape of approaches</w:t>
      </w:r>
    </w:p>
    <w:p>
      <w:pPr>
        <w:pStyle w:val="CaptionedFigure"/>
      </w:pPr>
      <w:r>
        <w:drawing>
          <wp:inline>
            <wp:extent cx="5334000" cy="1382405"/>
            <wp:effectExtent b="0" l="0" r="0" t="0"/>
            <wp:docPr descr="Figure 2 — diagram" title="" id="45" name="Picture"/>
            <a:graphic>
              <a:graphicData uri="http://schemas.openxmlformats.org/drawingml/2006/picture">
                <pic:pic>
                  <pic:nvPicPr>
                    <pic:cNvPr descr="figure_2.png" id="46" name="Picture"/>
                    <pic:cNvPicPr>
                      <a:picLocks noChangeArrowheads="1" noChangeAspect="1"/>
                    </pic:cNvPicPr>
                  </pic:nvPicPr>
                  <pic:blipFill>
                    <a:blip r:embed="rId44"/>
                    <a:stretch>
                      <a:fillRect/>
                    </a:stretch>
                  </pic:blipFill>
                  <pic:spPr bwMode="auto">
                    <a:xfrm>
                      <a:off x="0" y="0"/>
                      <a:ext cx="5334000" cy="1382405"/>
                    </a:xfrm>
                    <a:prstGeom prst="rect">
                      <a:avLst/>
                    </a:prstGeom>
                    <a:noFill/>
                    <a:ln w="9525">
                      <a:noFill/>
                      <a:headEnd/>
                      <a:tailEnd/>
                    </a:ln>
                  </pic:spPr>
                </pic:pic>
              </a:graphicData>
            </a:graphic>
          </wp:inline>
        </w:drawing>
      </w:r>
    </w:p>
    <w:p>
      <w:pPr>
        <w:pStyle w:val="ImageCaption"/>
      </w:pPr>
      <w:r>
        <w:t xml:space="preserve">Figure 2 — diagram</w:t>
      </w:r>
    </w:p>
    <w:bookmarkEnd w:id="47"/>
    <w:bookmarkEnd w:id="48"/>
    <w:bookmarkStart w:id="52" w:name="Xc01562a851fa53232179669a12096f69fa4d523"/>
    <w:p>
      <w:pPr>
        <w:pStyle w:val="Heading1"/>
      </w:pPr>
      <w:r>
        <w:t xml:space="preserve">Chapter III — Requirements and specifications</w:t>
      </w:r>
    </w:p>
    <w:bookmarkStart w:id="49" w:name="scope"/>
    <w:p>
      <w:pPr>
        <w:pStyle w:val="Heading3"/>
      </w:pPr>
      <w:r>
        <w:t xml:space="preserve">3.1 Scope</w:t>
      </w:r>
    </w:p>
    <w:p>
      <w:pPr>
        <w:pStyle w:val="FirstParagraph"/>
      </w:pPr>
      <w:r>
        <w:t xml:space="preserve">The system targets VERT-compatible JSON records, local or laboratory GPU inference, and evaluation with Yosys and SymbiYosys. Full-chip hierarchical verification and proprietary foundry timing sign-off are out of scope.</w:t>
      </w:r>
    </w:p>
    <w:bookmarkEnd w:id="49"/>
    <w:bookmarkStart w:id="50" w:name="functional-requirements"/>
    <w:p>
      <w:pPr>
        <w:pStyle w:val="Heading3"/>
      </w:pPr>
      <w:r>
        <w:t xml:space="preserve">3.2 Functional requirements</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FR-1</w:t>
            </w:r>
          </w:p>
        </w:tc>
        <w:tc>
          <w:tcPr/>
          <w:p>
            <w:pPr>
              <w:pStyle w:val="Compact"/>
            </w:pPr>
            <w:r>
              <w:t xml:space="preserve">Accept RTL text with synchronization and clock metadata.</w:t>
            </w:r>
          </w:p>
        </w:tc>
      </w:tr>
      <w:tr>
        <w:tc>
          <w:tcPr/>
          <w:p>
            <w:pPr>
              <w:pStyle w:val="Compact"/>
            </w:pPr>
            <w:r>
              <w:t xml:space="preserve">FR-2</w:t>
            </w:r>
          </w:p>
        </w:tc>
        <w:tc>
          <w:tcPr/>
          <w:p>
            <w:pPr>
              <w:pStyle w:val="Compact"/>
            </w:pPr>
            <w:r>
              <w:t xml:space="preserve">Generate assertions aligned with the training instruction format.</w:t>
            </w:r>
          </w:p>
        </w:tc>
      </w:tr>
      <w:tr>
        <w:tc>
          <w:tcPr/>
          <w:p>
            <w:pPr>
              <w:pStyle w:val="Compact"/>
            </w:pPr>
            <w:r>
              <w:t xml:space="preserve">FR-3</w:t>
            </w:r>
          </w:p>
        </w:tc>
        <w:tc>
          <w:tcPr/>
          <w:p>
            <w:pPr>
              <w:pStyle w:val="Compact"/>
            </w:pPr>
            <w:r>
              <w:t xml:space="preserve">Produce a single elaboratable wrapper module suitable for formal analysis.</w:t>
            </w:r>
          </w:p>
        </w:tc>
      </w:tr>
      <w:tr>
        <w:tc>
          <w:tcPr/>
          <w:p>
            <w:pPr>
              <w:pStyle w:val="Compact"/>
            </w:pPr>
            <w:r>
              <w:t xml:space="preserve">FR-4</w:t>
            </w:r>
          </w:p>
        </w:tc>
        <w:tc>
          <w:tcPr/>
          <w:p>
            <w:pPr>
              <w:pStyle w:val="Compact"/>
            </w:pPr>
            <w:r>
              <w:t xml:space="preserve">Record syntax success, formal status, and similarity to reference assertions.</w:t>
            </w:r>
          </w:p>
        </w:tc>
      </w:tr>
      <w:tr>
        <w:tc>
          <w:tcPr/>
          <w:p>
            <w:pPr>
              <w:pStyle w:val="Compact"/>
            </w:pPr>
            <w:r>
              <w:t xml:space="preserve">FR-5</w:t>
            </w:r>
          </w:p>
        </w:tc>
        <w:tc>
          <w:tcPr/>
          <w:p>
            <w:pPr>
              <w:pStyle w:val="Compact"/>
            </w:pPr>
            <w:r>
              <w:t xml:space="preserve">Provide a demonstration interface for interactive runs.</w:t>
            </w:r>
          </w:p>
        </w:tc>
      </w:tr>
    </w:tbl>
    <w:bookmarkEnd w:id="50"/>
    <w:bookmarkStart w:id="51" w:name="non-functional-requirements"/>
    <w:p>
      <w:pPr>
        <w:pStyle w:val="Heading3"/>
      </w:pPr>
      <w:r>
        <w:t xml:space="preserve">3.3 Non-functional requirements</w:t>
      </w:r>
    </w:p>
    <w:p>
      <w:pPr>
        <w:pStyle w:val="FirstParagraph"/>
      </w:pPr>
      <w:r>
        <w:t xml:space="preserve">Reproducibility (fixed decoding and logged configuration),</w:t>
      </w:r>
      <w:r>
        <w:t xml:space="preserve"> </w:t>
      </w:r>
      <w:r>
        <w:rPr>
          <w:b/>
          <w:bCs/>
        </w:rPr>
        <w:t xml:space="preserve">local deployment</w:t>
      </w:r>
      <w:r>
        <w:t xml:space="preserve"> </w:t>
      </w:r>
      <w:r>
        <w:t xml:space="preserve">to protect intellectual property, and maintainability through a single evaluation entry point are required. Latency should remain acceptable for interactive demonstration on a workstation-class GPU.</w:t>
      </w:r>
    </w:p>
    <w:bookmarkEnd w:id="51"/>
    <w:bookmarkEnd w:id="52"/>
    <w:bookmarkStart w:id="61" w:name="Xca62be807aaec0f28f2192cca9f1afbb55245bb"/>
    <w:p>
      <w:pPr>
        <w:pStyle w:val="Heading1"/>
      </w:pPr>
      <w:r>
        <w:t xml:space="preserve">Chapter IV — Methodology and implementation</w:t>
      </w:r>
    </w:p>
    <w:bookmarkStart w:id="53" w:name="dataset"/>
    <w:p>
      <w:pPr>
        <w:pStyle w:val="Heading3"/>
      </w:pPr>
      <w:r>
        <w:t xml:space="preserve">4.1 Dataset</w:t>
      </w:r>
    </w:p>
    <w:p>
      <w:pPr>
        <w:pStyle w:val="FirstParagraph"/>
      </w:pPr>
      <w:r>
        <w:t xml:space="preserve">The VERT-derived corpus in this repository contains</w:t>
      </w:r>
      <w:r>
        <w:t xml:space="preserve"> </w:t>
      </w:r>
      <w:r>
        <w:rPr>
          <w:b/>
          <w:bCs/>
        </w:rPr>
        <w:t xml:space="preserve">twenty thousand</w:t>
      </w:r>
      <w:r>
        <w:t xml:space="preserve"> </w:t>
      </w:r>
      <w:r>
        <w:t xml:space="preserve">labeled pairs. Supervised fine-tuning consumes the bulk of the set; the quantitative results in Chapter V use a</w:t>
      </w:r>
      <w:r>
        <w:t xml:space="preserve"> </w:t>
      </w:r>
      <w:r>
        <w:rPr>
          <w:b/>
          <w:bCs/>
        </w:rPr>
        <w:t xml:space="preserve">deterministic slice of one hundred</w:t>
      </w:r>
      <w:r>
        <w:t xml:space="preserve"> </w:t>
      </w:r>
      <w:r>
        <w:t xml:space="preserve">consecutive records to balance runtime with a stable snapshot.</w:t>
      </w:r>
    </w:p>
    <w:bookmarkEnd w:id="53"/>
    <w:bookmarkStart w:id="54" w:name="model-training"/>
    <w:p>
      <w:pPr>
        <w:pStyle w:val="Heading3"/>
      </w:pPr>
      <w:r>
        <w:t xml:space="preserve">4.2 Model training</w:t>
      </w:r>
    </w:p>
    <w:p>
      <w:pPr>
        <w:pStyle w:val="FirstParagraph"/>
      </w:pPr>
      <w:r>
        <w:t xml:space="preserve">The student implementation uses</w:t>
      </w:r>
      <w:r>
        <w:t xml:space="preserve"> </w:t>
      </w:r>
      <w:r>
        <w:rPr>
          <w:b/>
          <w:bCs/>
        </w:rPr>
        <w:t xml:space="preserve">Unsloth</w:t>
      </w:r>
      <w:r>
        <w:t xml:space="preserve">-accelerated training with</w:t>
      </w:r>
      <w:r>
        <w:t xml:space="preserve"> </w:t>
      </w:r>
      <w:r>
        <w:rPr>
          <w:b/>
          <w:bCs/>
        </w:rPr>
        <w:t xml:space="preserve">QLoRA</w:t>
      </w:r>
      <w:r>
        <w:t xml:space="preserve"> </w:t>
      </w:r>
      <w:r>
        <w:t xml:space="preserve">adapters on a</w:t>
      </w:r>
      <w:r>
        <w:t xml:space="preserve"> </w:t>
      </w:r>
      <w:r>
        <w:rPr>
          <w:b/>
          <w:bCs/>
        </w:rPr>
        <w:t xml:space="preserve">LLaMA 3.1 8B</w:t>
      </w:r>
      <w:r>
        <w:t xml:space="preserve"> </w:t>
      </w:r>
      <w:r>
        <w:t xml:space="preserve">base. Representative defaults are: LoRA rank and scaling</w:t>
      </w:r>
      <w:r>
        <w:t xml:space="preserve"> </w:t>
      </w:r>
      <w:r>
        <w:rPr>
          <w:b/>
          <w:bCs/>
        </w:rPr>
        <w:t xml:space="preserve">256</w:t>
      </w:r>
      <w:r>
        <w:t xml:space="preserve">, learning rate</w:t>
      </w:r>
      <w:r>
        <w:t xml:space="preserve"> </w:t>
      </w:r>
      <w:r>
        <w:rPr>
          <w:b/>
          <w:bCs/>
        </w:rPr>
        <w:t xml:space="preserve">10⁻⁴</w:t>
      </w:r>
      <w:r>
        <w:t xml:space="preserve">,</w:t>
      </w:r>
      <w:r>
        <w:t xml:space="preserve"> </w:t>
      </w:r>
      <w:r>
        <w:rPr>
          <w:b/>
          <w:bCs/>
        </w:rPr>
        <w:t xml:space="preserve">three</w:t>
      </w:r>
      <w:r>
        <w:t xml:space="preserve"> </w:t>
      </w:r>
      <w:r>
        <w:t xml:space="preserve">epochs, micro-batch</w:t>
      </w:r>
      <w:r>
        <w:t xml:space="preserve"> </w:t>
      </w:r>
      <w:r>
        <w:rPr>
          <w:b/>
          <w:bCs/>
        </w:rPr>
        <w:t xml:space="preserve">two</w:t>
      </w:r>
      <w:r>
        <w:t xml:space="preserve"> </w:t>
      </w:r>
      <w:r>
        <w:t xml:space="preserve">with gradient accumulation</w:t>
      </w:r>
      <w:r>
        <w:t xml:space="preserve"> </w:t>
      </w:r>
      <w:r>
        <w:rPr>
          <w:b/>
          <w:bCs/>
        </w:rPr>
        <w:t xml:space="preserve">thirty-two</w:t>
      </w:r>
      <w:r>
        <w:t xml:space="preserve"> </w:t>
      </w:r>
      <w:r>
        <w:t xml:space="preserve">(effective batch</w:t>
      </w:r>
      <w:r>
        <w:t xml:space="preserve"> </w:t>
      </w:r>
      <w:r>
        <w:rPr>
          <w:b/>
          <w:bCs/>
        </w:rPr>
        <w:t xml:space="preserve">sixty-four</w:t>
      </w:r>
      <w:r>
        <w:t xml:space="preserve">), and maximum sequence length</w:t>
      </w:r>
      <w:r>
        <w:t xml:space="preserve"> </w:t>
      </w:r>
      <w:r>
        <w:rPr>
          <w:b/>
          <w:bCs/>
        </w:rPr>
        <w:t xml:space="preserve">4096</w:t>
      </w:r>
      <w:r>
        <w:t xml:space="preserve"> </w:t>
      </w:r>
      <w:r>
        <w:t xml:space="preserve">tokens. An internal prose draft may cite different figures; the</w:t>
      </w:r>
      <w:r>
        <w:t xml:space="preserve"> </w:t>
      </w:r>
      <w:r>
        <w:rPr>
          <w:b/>
          <w:bCs/>
        </w:rPr>
        <w:t xml:space="preserve">frozen training script defaults</w:t>
      </w:r>
      <w:r>
        <w:t xml:space="preserve"> </w:t>
      </w:r>
      <w:r>
        <w:t xml:space="preserve">in the repository govern what was actually executed for this submission.</w:t>
      </w:r>
    </w:p>
    <w:bookmarkEnd w:id="54"/>
    <w:bookmarkStart w:id="55" w:name="inference-and-normalization"/>
    <w:p>
      <w:pPr>
        <w:pStyle w:val="Heading3"/>
      </w:pPr>
      <w:r>
        <w:t xml:space="preserve">4.3 Inference and normalization</w:t>
      </w:r>
    </w:p>
    <w:p>
      <w:pPr>
        <w:pStyle w:val="FirstParagraph"/>
      </w:pPr>
      <w:r>
        <w:t xml:space="preserve">At inference time, the model receives a structured prompt containing the RTL fragment and metadata. The service</w:t>
      </w:r>
      <w:r>
        <w:t xml:space="preserve"> </w:t>
      </w:r>
      <w:r>
        <w:rPr>
          <w:b/>
          <w:bCs/>
        </w:rPr>
        <w:t xml:space="preserve">extracts</w:t>
      </w:r>
      <w:r>
        <w:t xml:space="preserve"> </w:t>
      </w:r>
      <w:r>
        <w:t xml:space="preserve">assertion regions,</w:t>
      </w:r>
      <w:r>
        <w:t xml:space="preserve"> </w:t>
      </w:r>
      <w:r>
        <w:rPr>
          <w:b/>
          <w:bCs/>
        </w:rPr>
        <w:t xml:space="preserve">normalizes</w:t>
      </w:r>
      <w:r>
        <w:t xml:space="preserve"> </w:t>
      </w:r>
      <w:r>
        <w:t xml:space="preserve">syntax for the target elaborator,</w:t>
      </w:r>
      <w:r>
        <w:t xml:space="preserve"> </w:t>
      </w:r>
      <w:r>
        <w:rPr>
          <w:b/>
          <w:bCs/>
        </w:rPr>
        <w:t xml:space="preserve">lowers</w:t>
      </w:r>
      <w:r>
        <w:t xml:space="preserve"> </w:t>
      </w:r>
      <w:r>
        <w:t xml:space="preserve">selected temporal forms where required, and applies a</w:t>
      </w:r>
      <w:r>
        <w:t xml:space="preserve"> </w:t>
      </w:r>
      <w:r>
        <w:rPr>
          <w:b/>
          <w:bCs/>
        </w:rPr>
        <w:t xml:space="preserve">greedy filter</w:t>
      </w:r>
      <w:r>
        <w:t xml:space="preserve"> </w:t>
      </w:r>
      <w:r>
        <w:t xml:space="preserve">that preserves as many clauses as possible while retaining a parseable wrapper. A dedicated component</w:t>
      </w:r>
      <w:r>
        <w:t xml:space="preserve"> </w:t>
      </w:r>
      <w:r>
        <w:rPr>
          <w:b/>
          <w:bCs/>
        </w:rPr>
        <w:t xml:space="preserve">infers</w:t>
      </w:r>
      <w:r>
        <w:t xml:space="preserve"> </w:t>
      </w:r>
      <w:r>
        <w:t xml:space="preserve">signal names from the RTL and generated text, filters language keywords, and constructs synchronous or combinational harness logic with first-cycle handling appropriate to bounded checks.</w:t>
      </w:r>
    </w:p>
    <w:bookmarkEnd w:id="55"/>
    <w:bookmarkStart w:id="56" w:name="demonstration-application"/>
    <w:p>
      <w:pPr>
        <w:pStyle w:val="Heading3"/>
      </w:pPr>
      <w:r>
        <w:t xml:space="preserve">4.4 Demonstration application</w:t>
      </w:r>
    </w:p>
    <w:p>
      <w:pPr>
        <w:pStyle w:val="FirstParagraph"/>
      </w:pPr>
      <w:r>
        <w:t xml:space="preserve">A browser-based client provides editing and inspection of inputs and outputs; a Python service hosts the model and shared transformation logic so that demonstration behavior matches the evaluation harness where possible.</w:t>
      </w:r>
    </w:p>
    <w:bookmarkEnd w:id="56"/>
    <w:bookmarkStart w:id="60" w:name="figure-4.1-processing-pipeline"/>
    <w:p>
      <w:pPr>
        <w:pStyle w:val="Heading3"/>
      </w:pPr>
      <w:r>
        <w:t xml:space="preserve">Figure 4.1 — Processing pipeline</w:t>
      </w:r>
    </w:p>
    <w:p>
      <w:pPr>
        <w:pStyle w:val="CaptionedFigure"/>
      </w:pPr>
      <w:r>
        <w:drawing>
          <wp:inline>
            <wp:extent cx="3683000" cy="6858000"/>
            <wp:effectExtent b="0" l="0" r="0" t="0"/>
            <wp:docPr descr="Figure 3 — diagram" title="" id="58" name="Picture"/>
            <a:graphic>
              <a:graphicData uri="http://schemas.openxmlformats.org/drawingml/2006/picture">
                <pic:pic>
                  <pic:nvPicPr>
                    <pic:cNvPr descr="figure_3.png" id="59" name="Picture"/>
                    <pic:cNvPicPr>
                      <a:picLocks noChangeArrowheads="1" noChangeAspect="1"/>
                    </pic:cNvPicPr>
                  </pic:nvPicPr>
                  <pic:blipFill>
                    <a:blip r:embed="rId57"/>
                    <a:stretch>
                      <a:fillRect/>
                    </a:stretch>
                  </pic:blipFill>
                  <pic:spPr bwMode="auto">
                    <a:xfrm>
                      <a:off x="0" y="0"/>
                      <a:ext cx="3683000" cy="6858000"/>
                    </a:xfrm>
                    <a:prstGeom prst="rect">
                      <a:avLst/>
                    </a:prstGeom>
                    <a:noFill/>
                    <a:ln w="9525">
                      <a:noFill/>
                      <a:headEnd/>
                      <a:tailEnd/>
                    </a:ln>
                  </pic:spPr>
                </pic:pic>
              </a:graphicData>
            </a:graphic>
          </wp:inline>
        </w:drawing>
      </w:r>
    </w:p>
    <w:p>
      <w:pPr>
        <w:pStyle w:val="ImageCaption"/>
      </w:pPr>
      <w:r>
        <w:t xml:space="preserve">Figure 3 — diagram</w:t>
      </w:r>
    </w:p>
    <w:bookmarkEnd w:id="60"/>
    <w:bookmarkEnd w:id="61"/>
    <w:bookmarkStart w:id="75" w:name="chapter-v-results-and-discussion"/>
    <w:p>
      <w:pPr>
        <w:pStyle w:val="Heading1"/>
      </w:pPr>
      <w:r>
        <w:t xml:space="preserve">Chapter V — Results and discussion</w:t>
      </w:r>
    </w:p>
    <w:bookmarkStart w:id="62" w:name="experimental-configuration"/>
    <w:p>
      <w:pPr>
        <w:pStyle w:val="Heading3"/>
      </w:pPr>
      <w:r>
        <w:t xml:space="preserve">5.1 Experimental configuration</w:t>
      </w:r>
    </w:p>
    <w:p>
      <w:pPr>
        <w:pStyle w:val="FirstParagraph"/>
      </w:pPr>
      <w:r>
        <w:t xml:space="preserve">Results reported here correspond to run</w:t>
      </w:r>
      <w:r>
        <w:t xml:space="preserve"> </w:t>
      </w:r>
      <w:r>
        <w:rPr>
          <w:b/>
          <w:bCs/>
        </w:rPr>
        <w:t xml:space="preserve">model_eval_v7_100</w:t>
      </w:r>
      <w:r>
        <w:t xml:space="preserve">: one hundred samples, greedy decoding, greedy assertion filtering enabled, and wrapper options that initialize state and omit an explicit reset driver where noted in the run manifest.</w:t>
      </w:r>
    </w:p>
    <w:bookmarkEnd w:id="62"/>
    <w:bookmarkStart w:id="63" w:name="aggregate-outcomes"/>
    <w:p>
      <w:pPr>
        <w:pStyle w:val="Heading3"/>
      </w:pPr>
      <w:r>
        <w:t xml:space="preserve">5.2 Aggregate outcomes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Samples</w:t>
            </w:r>
          </w:p>
        </w:tc>
        <w:tc>
          <w:tcPr/>
          <w:p>
            <w:pPr>
              <w:pStyle w:val="Compact"/>
            </w:pPr>
            <w:r>
              <w:t xml:space="preserve">100</w:t>
            </w:r>
          </w:p>
        </w:tc>
      </w:tr>
      <w:tr>
        <w:tc>
          <w:tcPr/>
          <w:p>
            <w:pPr>
              <w:pStyle w:val="Compact"/>
            </w:pPr>
            <w:r>
              <w:t xml:space="preserve">Yosys syntax success</w:t>
            </w:r>
          </w:p>
        </w:tc>
        <w:tc>
          <w:tcPr/>
          <w:p>
            <w:pPr>
              <w:pStyle w:val="Compact"/>
            </w:pPr>
            <w:r>
              <w:t xml:space="preserve">100 / 100</w:t>
            </w:r>
          </w:p>
        </w:tc>
      </w:tr>
      <w:tr>
        <w:tc>
          <w:tcPr/>
          <w:p>
            <w:pPr>
              <w:pStyle w:val="Compact"/>
            </w:pPr>
            <w:r>
              <w:t xml:space="preserve">SymbiYosys pass</w:t>
            </w:r>
          </w:p>
        </w:tc>
        <w:tc>
          <w:tcPr/>
          <w:p>
            <w:pPr>
              <w:pStyle w:val="Compact"/>
            </w:pPr>
            <w:r>
              <w:t xml:space="preserve">99 / 100</w:t>
            </w:r>
          </w:p>
        </w:tc>
      </w:tr>
      <w:tr>
        <w:tc>
          <w:tcPr/>
          <w:p>
            <w:pPr>
              <w:pStyle w:val="Compact"/>
            </w:pPr>
            <w:r>
              <w:t xml:space="preserve">SymbiYosys fail</w:t>
            </w:r>
          </w:p>
        </w:tc>
        <w:tc>
          <w:tcPr/>
          <w:p>
            <w:pPr>
              <w:pStyle w:val="Compact"/>
            </w:pPr>
            <w:r>
              <w:t xml:space="preserve">1</w:t>
            </w:r>
          </w:p>
        </w:tc>
      </w:tr>
      <w:tr>
        <w:tc>
          <w:tcPr/>
          <w:p>
            <w:pPr>
              <w:pStyle w:val="Compact"/>
            </w:pPr>
            <w:r>
              <w:t xml:space="preserve">Mean gold Jaccard</w:t>
            </w:r>
          </w:p>
        </w:tc>
        <w:tc>
          <w:tcPr/>
          <w:p>
            <w:pPr>
              <w:pStyle w:val="Compact"/>
            </w:pPr>
            <w:r>
              <w:t xml:space="preserve">0.9914</w:t>
            </w:r>
          </w:p>
        </w:tc>
      </w:tr>
      <w:tr>
        <w:tc>
          <w:tcPr/>
          <w:p>
            <w:pPr>
              <w:pStyle w:val="Compact"/>
            </w:pPr>
            <w:r>
              <w:t xml:space="preserve">Assertion clauses attempted (sum)</w:t>
            </w:r>
          </w:p>
        </w:tc>
        <w:tc>
          <w:tcPr/>
          <w:p>
            <w:pPr>
              <w:pStyle w:val="Compact"/>
            </w:pPr>
            <w:r>
              <w:t xml:space="preserve">472</w:t>
            </w:r>
          </w:p>
        </w:tc>
      </w:tr>
      <w:tr>
        <w:tc>
          <w:tcPr/>
          <w:p>
            <w:pPr>
              <w:pStyle w:val="Compact"/>
            </w:pPr>
            <w:r>
              <w:t xml:space="preserve">Clauses after conversion (sum)</w:t>
            </w:r>
          </w:p>
        </w:tc>
        <w:tc>
          <w:tcPr/>
          <w:p>
            <w:pPr>
              <w:pStyle w:val="Compact"/>
            </w:pPr>
            <w:r>
              <w:t xml:space="preserve">472</w:t>
            </w:r>
          </w:p>
        </w:tc>
      </w:tr>
      <w:tr>
        <w:tc>
          <w:tcPr/>
          <w:p>
            <w:pPr>
              <w:pStyle w:val="Compact"/>
            </w:pPr>
            <w:r>
              <w:t xml:space="preserve">Clauses dropped by greedy filter (sum)</w:t>
            </w:r>
          </w:p>
        </w:tc>
        <w:tc>
          <w:tcPr/>
          <w:p>
            <w:pPr>
              <w:pStyle w:val="Compact"/>
            </w:pPr>
            <w:r>
              <w:t xml:space="preserve">14</w:t>
            </w:r>
          </w:p>
        </w:tc>
      </w:tr>
    </w:tbl>
    <w:bookmarkEnd w:id="63"/>
    <w:bookmarkStart w:id="64" w:name="distribution-of-gold-jaccard"/>
    <w:p>
      <w:pPr>
        <w:pStyle w:val="Heading3"/>
      </w:pPr>
      <w:r>
        <w:t xml:space="preserve">5.3 Distribution of gold Jaccard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Count</w:t>
            </w:r>
          </w:p>
        </w:tc>
      </w:tr>
      <w:tr>
        <w:tc>
          <w:tcPr/>
          <w:p>
            <w:pPr>
              <w:pStyle w:val="Compact"/>
            </w:pPr>
            <w:r>
              <w:t xml:space="preserve">0.900 – 0.949</w:t>
            </w:r>
          </w:p>
        </w:tc>
        <w:tc>
          <w:tcPr/>
          <w:p>
            <w:pPr>
              <w:pStyle w:val="Compact"/>
            </w:pPr>
            <w:r>
              <w:t xml:space="preserve">9</w:t>
            </w:r>
          </w:p>
        </w:tc>
      </w:tr>
      <w:tr>
        <w:tc>
          <w:tcPr/>
          <w:p>
            <w:pPr>
              <w:pStyle w:val="Compact"/>
            </w:pPr>
            <w:r>
              <w:t xml:space="preserve">0.950 – 0.998</w:t>
            </w:r>
          </w:p>
        </w:tc>
        <w:tc>
          <w:tcPr/>
          <w:p>
            <w:pPr>
              <w:pStyle w:val="Compact"/>
            </w:pPr>
            <w:r>
              <w:t xml:space="preserve">1</w:t>
            </w:r>
          </w:p>
        </w:tc>
      </w:tr>
      <w:tr>
        <w:tc>
          <w:tcPr/>
          <w:p>
            <w:pPr>
              <w:pStyle w:val="Compact"/>
            </w:pPr>
            <w:r>
              <w:t xml:space="preserve">≥ 0.999</w:t>
            </w:r>
          </w:p>
        </w:tc>
        <w:tc>
          <w:tcPr/>
          <w:p>
            <w:pPr>
              <w:pStyle w:val="Compact"/>
            </w:pPr>
            <w:r>
              <w:t xml:space="preserve">89</w:t>
            </w:r>
          </w:p>
        </w:tc>
      </w:tr>
      <w:tr>
        <w:tc>
          <w:tcPr/>
          <w:p>
            <w:pPr>
              <w:pStyle w:val="Compact"/>
            </w:pPr>
            <w:r>
              <w:t xml:space="preserve">&lt; 0.900</w:t>
            </w:r>
          </w:p>
        </w:tc>
        <w:tc>
          <w:tcPr/>
          <w:p>
            <w:pPr>
              <w:pStyle w:val="Compact"/>
            </w:pPr>
            <w:r>
              <w:t xml:space="preserve">1</w:t>
            </w:r>
          </w:p>
        </w:tc>
      </w:tr>
    </w:tbl>
    <w:bookmarkEnd w:id="64"/>
    <w:bookmarkStart w:id="65" w:name="interpretation"/>
    <w:p>
      <w:pPr>
        <w:pStyle w:val="Heading3"/>
      </w:pPr>
      <w:r>
        <w:t xml:space="preserve">5.4 Interpretation</w:t>
      </w:r>
    </w:p>
    <w:p>
      <w:pPr>
        <w:pStyle w:val="FirstParagraph"/>
      </w:pPr>
      <w:r>
        <w:t xml:space="preserve">The combination of</w:t>
      </w:r>
      <w:r>
        <w:t xml:space="preserve"> </w:t>
      </w:r>
      <w:r>
        <w:rPr>
          <w:b/>
          <w:bCs/>
        </w:rPr>
        <w:t xml:space="preserve">perfect</w:t>
      </w:r>
      <w:r>
        <w:t xml:space="preserve"> </w:t>
      </w:r>
      <w:r>
        <w:t xml:space="preserve">syntax rate and</w:t>
      </w:r>
      <w:r>
        <w:t xml:space="preserve"> </w:t>
      </w:r>
      <w:r>
        <w:rPr>
          <w:b/>
          <w:bCs/>
        </w:rPr>
        <w:t xml:space="preserve">ninety-nine</w:t>
      </w:r>
      <w:r>
        <w:t xml:space="preserve"> </w:t>
      </w:r>
      <w:r>
        <w:t xml:space="preserve">formal passes indicates that the learned model, training recipe, and normalization stack are well aligned with VERT’s distribution under the chosen proof bounds. Mean Jaccard near</w:t>
      </w:r>
      <w:r>
        <w:t xml:space="preserve"> </w:t>
      </w:r>
      <w:r>
        <w:rPr>
          <w:b/>
          <w:bCs/>
        </w:rPr>
        <w:t xml:space="preserve">0.99</w:t>
      </w:r>
      <w:r>
        <w:t xml:space="preserve"> </w:t>
      </w:r>
      <w:r>
        <w:t xml:space="preserve">indicates strong lexical overlap with reference assertions, which is appropriate for a dataset-supervised generator but must not be mistaken for unconditional semantic equivalence.</w:t>
      </w:r>
    </w:p>
    <w:bookmarkEnd w:id="65"/>
    <w:bookmarkStart w:id="66" w:name="X0b49646cc594589ff4b3d7393faf9f4fbeb7208"/>
    <w:p>
      <w:pPr>
        <w:pStyle w:val="Heading3"/>
      </w:pPr>
      <w:r>
        <w:t xml:space="preserve">5.5 Case discussion: formal failure with identical gold similarity</w:t>
      </w:r>
    </w:p>
    <w:p>
      <w:pPr>
        <w:pStyle w:val="FirstParagraph"/>
      </w:pPr>
      <w:r>
        <w:t xml:space="preserve">Sample index</w:t>
      </w:r>
      <w:r>
        <w:t xml:space="preserve"> </w:t>
      </w:r>
      <w:r>
        <w:rPr>
          <w:b/>
          <w:bCs/>
        </w:rPr>
        <w:t xml:space="preserve">82</w:t>
      </w:r>
      <w:r>
        <w:t xml:space="preserve"> </w:t>
      </w:r>
      <w:r>
        <w:t xml:space="preserve">received a</w:t>
      </w:r>
      <w:r>
        <w:t xml:space="preserve"> </w:t>
      </w:r>
      <w:r>
        <w:rPr>
          <w:b/>
          <w:bCs/>
        </w:rPr>
        <w:t xml:space="preserve">fail</w:t>
      </w:r>
      <w:r>
        <w:t xml:space="preserve"> </w:t>
      </w:r>
      <w:r>
        <w:t xml:space="preserve">verdict from SymbiYosys while maintaining</w:t>
      </w:r>
      <w:r>
        <w:t xml:space="preserve"> </w:t>
      </w:r>
      <w:r>
        <w:rPr>
          <w:b/>
          <w:bCs/>
        </w:rPr>
        <w:t xml:space="preserve">gold Jaccard 1.0</w:t>
      </w:r>
      <w:r>
        <w:t xml:space="preserve">. The RTL contains a</w:t>
      </w:r>
      <w:r>
        <w:t xml:space="preserve"> </w:t>
      </w:r>
      <w:r>
        <w:rPr>
          <w:b/>
          <w:bCs/>
        </w:rPr>
        <w:t xml:space="preserve">case</w:t>
      </w:r>
      <w:r>
        <w:t xml:space="preserve"> </w:t>
      </w:r>
      <w:r>
        <w:t xml:space="preserve">item keyed by a bit vector with</w:t>
      </w:r>
      <w:r>
        <w:t xml:space="preserve"> </w:t>
      </w:r>
      <w:r>
        <w:rPr>
          <w:b/>
          <w:bCs/>
        </w:rPr>
        <w:t xml:space="preserve">don’t-care</w:t>
      </w:r>
      <w:r>
        <w:t xml:space="preserve"> </w:t>
      </w:r>
      <w:r>
        <w:t xml:space="preserve">positions. Even when generated and reference assertions match as strings, bounded model checking may still fail depending on how unknown bits are encoded and which assumptions govern the harness. This case should be reported honestly as a</w:t>
      </w:r>
      <w:r>
        <w:t xml:space="preserve"> </w:t>
      </w:r>
      <w:r>
        <w:rPr>
          <w:b/>
          <w:bCs/>
        </w:rPr>
        <w:t xml:space="preserve">formal encoding and data-semantics</w:t>
      </w:r>
      <w:r>
        <w:t xml:space="preserve"> </w:t>
      </w:r>
      <w:r>
        <w:t xml:space="preserve">lesson rather than as a neural decoding defect.</w:t>
      </w:r>
    </w:p>
    <w:bookmarkEnd w:id="66"/>
    <w:bookmarkStart w:id="70" w:name="figure-5.1-syntax-and-formal-outcomes"/>
    <w:p>
      <w:pPr>
        <w:pStyle w:val="Heading3"/>
      </w:pPr>
      <w:r>
        <w:t xml:space="preserve">Figure 5.1 — Syntax and formal outcomes</w:t>
      </w:r>
    </w:p>
    <w:p>
      <w:pPr>
        <w:pStyle w:val="CaptionedFigure"/>
      </w:pPr>
      <w:r>
        <w:drawing>
          <wp:inline>
            <wp:extent cx="5334000" cy="3810000"/>
            <wp:effectExtent b="0" l="0" r="0" t="0"/>
            <wp:docPr descr="Figure 4 — diagram" title="" id="68" name="Picture"/>
            <a:graphic>
              <a:graphicData uri="http://schemas.openxmlformats.org/drawingml/2006/picture">
                <pic:pic>
                  <pic:nvPicPr>
                    <pic:cNvPr descr="figure_4.png" id="69" name="Picture"/>
                    <pic:cNvPicPr>
                      <a:picLocks noChangeArrowheads="1" noChangeAspect="1"/>
                    </pic:cNvPicPr>
                  </pic:nvPicPr>
                  <pic:blipFill>
                    <a:blip r:embed="rId6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4 — diagram</w:t>
      </w:r>
    </w:p>
    <w:bookmarkEnd w:id="70"/>
    <w:bookmarkStart w:id="74" w:name="figure-5.2-gold-jaccard-buckets"/>
    <w:p>
      <w:pPr>
        <w:pStyle w:val="Heading3"/>
      </w:pPr>
      <w:r>
        <w:t xml:space="preserve">Figure 5.2 — Gold Jaccard buckets</w:t>
      </w:r>
    </w:p>
    <w:p>
      <w:pPr>
        <w:pStyle w:val="CaptionedFigure"/>
      </w:pPr>
      <w:r>
        <w:drawing>
          <wp:inline>
            <wp:extent cx="5334000" cy="3896590"/>
            <wp:effectExtent b="0" l="0" r="0" t="0"/>
            <wp:docPr descr="Figure 5 — diagram" title="" id="72" name="Picture"/>
            <a:graphic>
              <a:graphicData uri="http://schemas.openxmlformats.org/drawingml/2006/picture">
                <pic:pic>
                  <pic:nvPicPr>
                    <pic:cNvPr descr="figure_5.png" id="73" name="Picture"/>
                    <pic:cNvPicPr>
                      <a:picLocks noChangeArrowheads="1" noChangeAspect="1"/>
                    </pic:cNvPicPr>
                  </pic:nvPicPr>
                  <pic:blipFill>
                    <a:blip r:embed="rId71"/>
                    <a:stretch>
                      <a:fillRect/>
                    </a:stretch>
                  </pic:blipFill>
                  <pic:spPr bwMode="auto">
                    <a:xfrm>
                      <a:off x="0" y="0"/>
                      <a:ext cx="5334000" cy="3896590"/>
                    </a:xfrm>
                    <a:prstGeom prst="rect">
                      <a:avLst/>
                    </a:prstGeom>
                    <a:noFill/>
                    <a:ln w="9525">
                      <a:noFill/>
                      <a:headEnd/>
                      <a:tailEnd/>
                    </a:ln>
                  </pic:spPr>
                </pic:pic>
              </a:graphicData>
            </a:graphic>
          </wp:inline>
        </w:drawing>
      </w:r>
    </w:p>
    <w:p>
      <w:pPr>
        <w:pStyle w:val="ImageCaption"/>
      </w:pPr>
      <w:r>
        <w:t xml:space="preserve">Figure 5 — diagram</w:t>
      </w:r>
    </w:p>
    <w:bookmarkEnd w:id="74"/>
    <w:bookmarkEnd w:id="75"/>
    <w:bookmarkStart w:id="82" w:name="chapter-vi-conclusion-and-future-work"/>
    <w:p>
      <w:pPr>
        <w:pStyle w:val="Heading1"/>
      </w:pPr>
      <w:r>
        <w:t xml:space="preserve">Chapter VI — Conclusion and future work</w:t>
      </w:r>
    </w:p>
    <w:bookmarkStart w:id="76" w:name="conclusion"/>
    <w:p>
      <w:pPr>
        <w:pStyle w:val="Heading3"/>
      </w:pPr>
      <w:r>
        <w:t xml:space="preserve">6.1 Conclusion</w:t>
      </w:r>
    </w:p>
    <w:p>
      <w:pPr>
        <w:pStyle w:val="FirstParagraph"/>
      </w:pPr>
      <w:r>
        <w:t xml:space="preserve">VISTA demonstrates that a domain-adapted large language model, together with rigorous deterministic post-processing and a formal-tool-aware harness, can produce high-quality SystemVerilog assertions for VERT-style RTL fragments. Quantitative results on a fixed hundred-sample evaluation are strong, and the one formal failure highlights the continued need for careful treatment of unknowns and assumptions.</w:t>
      </w:r>
    </w:p>
    <w:bookmarkEnd w:id="76"/>
    <w:bookmarkStart w:id="77" w:name="future-work"/>
    <w:p>
      <w:pPr>
        <w:pStyle w:val="Heading3"/>
      </w:pPr>
      <w:r>
        <w:t xml:space="preserve">6.2 Future work</w:t>
      </w:r>
    </w:p>
    <w:p>
      <w:pPr>
        <w:pStyle w:val="FirstParagraph"/>
      </w:pPr>
      <w:r>
        <w:t xml:space="preserve">Planned extensions include</w:t>
      </w:r>
      <w:r>
        <w:t xml:space="preserve"> </w:t>
      </w:r>
      <w:r>
        <w:rPr>
          <w:b/>
          <w:bCs/>
        </w:rPr>
        <w:t xml:space="preserve">counterexample-guided</w:t>
      </w:r>
      <w:r>
        <w:t xml:space="preserve"> </w:t>
      </w:r>
      <w:r>
        <w:t xml:space="preserve">revision of assertions, stronger preprocessing of four-valued constructs, integration with commercial formal platforms, and scaling toward hierarchical modules and interface contracts.</w:t>
      </w:r>
    </w:p>
    <w:bookmarkEnd w:id="77"/>
    <w:bookmarkStart w:id="81" w:name="figure-6.1-research-roadmap"/>
    <w:p>
      <w:pPr>
        <w:pStyle w:val="Heading3"/>
      </w:pPr>
      <w:r>
        <w:t xml:space="preserve">Figure 6.1 — Research roadmap</w:t>
      </w:r>
    </w:p>
    <w:p>
      <w:pPr>
        <w:pStyle w:val="CaptionedFigure"/>
      </w:pPr>
      <w:r>
        <w:drawing>
          <wp:inline>
            <wp:extent cx="5334000" cy="2716305"/>
            <wp:effectExtent b="0" l="0" r="0" t="0"/>
            <wp:docPr descr="Figure 6 — diagram" title="" id="79" name="Picture"/>
            <a:graphic>
              <a:graphicData uri="http://schemas.openxmlformats.org/drawingml/2006/picture">
                <pic:pic>
                  <pic:nvPicPr>
                    <pic:cNvPr descr="figure_6.png" id="80" name="Picture"/>
                    <pic:cNvPicPr>
                      <a:picLocks noChangeArrowheads="1" noChangeAspect="1"/>
                    </pic:cNvPicPr>
                  </pic:nvPicPr>
                  <pic:blipFill>
                    <a:blip r:embed="rId78"/>
                    <a:stretch>
                      <a:fillRect/>
                    </a:stretch>
                  </pic:blipFill>
                  <pic:spPr bwMode="auto">
                    <a:xfrm>
                      <a:off x="0" y="0"/>
                      <a:ext cx="5334000" cy="2716305"/>
                    </a:xfrm>
                    <a:prstGeom prst="rect">
                      <a:avLst/>
                    </a:prstGeom>
                    <a:noFill/>
                    <a:ln w="9525">
                      <a:noFill/>
                      <a:headEnd/>
                      <a:tailEnd/>
                    </a:ln>
                  </pic:spPr>
                </pic:pic>
              </a:graphicData>
            </a:graphic>
          </wp:inline>
        </w:drawing>
      </w:r>
    </w:p>
    <w:p>
      <w:pPr>
        <w:pStyle w:val="ImageCaption"/>
      </w:pPr>
      <w:r>
        <w:t xml:space="preserve">Figure 6 — diagram</w:t>
      </w:r>
    </w:p>
    <w:bookmarkEnd w:id="81"/>
    <w:bookmarkEnd w:id="82"/>
    <w:bookmarkStart w:id="83" w:name="glossary"/>
    <w:p>
      <w:pPr>
        <w:pStyle w:val="Heading1"/>
      </w:pPr>
      <w:r>
        <w:t xml:space="preserve">Glossary</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BMC</w:t>
            </w:r>
          </w:p>
        </w:tc>
        <w:tc>
          <w:tcPr/>
          <w:p>
            <w:pPr>
              <w:pStyle w:val="Compact"/>
            </w:pPr>
            <w:r>
              <w:t xml:space="preserve">Bounded model checking over a finite horizon</w:t>
            </w:r>
          </w:p>
        </w:tc>
      </w:tr>
      <w:tr>
        <w:tc>
          <w:tcPr/>
          <w:p>
            <w:pPr>
              <w:pStyle w:val="Compact"/>
            </w:pPr>
            <w:r>
              <w:t xml:space="preserve">Gold Jaccard</w:t>
            </w:r>
          </w:p>
        </w:tc>
        <w:tc>
          <w:tcPr/>
          <w:p>
            <w:pPr>
              <w:pStyle w:val="Compact"/>
            </w:pPr>
            <w:r>
              <w:t xml:space="preserve">Token-set similarity between generated and reference assertions</w:t>
            </w:r>
          </w:p>
        </w:tc>
      </w:tr>
      <w:tr>
        <w:tc>
          <w:tcPr/>
          <w:p>
            <w:pPr>
              <w:pStyle w:val="Compact"/>
            </w:pPr>
            <w:r>
              <w:t xml:space="preserve">QLoRA</w:t>
            </w:r>
          </w:p>
        </w:tc>
        <w:tc>
          <w:tcPr/>
          <w:p>
            <w:pPr>
              <w:pStyle w:val="Compact"/>
            </w:pPr>
            <w:r>
              <w:t xml:space="preserve">Quantized low-rank adaptation for efficient fine-tuning</w:t>
            </w:r>
          </w:p>
        </w:tc>
      </w:tr>
      <w:tr>
        <w:tc>
          <w:tcPr/>
          <w:p>
            <w:pPr>
              <w:pStyle w:val="Compact"/>
            </w:pPr>
            <w:r>
              <w:t xml:space="preserve">SVA</w:t>
            </w:r>
          </w:p>
        </w:tc>
        <w:tc>
          <w:tcPr/>
          <w:p>
            <w:pPr>
              <w:pStyle w:val="Compact"/>
            </w:pPr>
            <w:r>
              <w:t xml:space="preserve">IEEE 1800 SystemVerilog assertions</w:t>
            </w:r>
          </w:p>
        </w:tc>
      </w:tr>
      <w:tr>
        <w:tc>
          <w:tcPr/>
          <w:p>
            <w:pPr>
              <w:pStyle w:val="Compact"/>
            </w:pPr>
            <w:r>
              <w:t xml:space="preserve">VERT</w:t>
            </w:r>
          </w:p>
        </w:tc>
        <w:tc>
          <w:tcPr/>
          <w:p>
            <w:pPr>
              <w:pStyle w:val="Compact"/>
            </w:pPr>
            <w:r>
              <w:t xml:space="preserve">Dataset of RTL–assertion pairs used for training and evaluation</w:t>
            </w:r>
          </w:p>
        </w:tc>
      </w:tr>
    </w:tbl>
    <w:bookmarkEnd w:id="83"/>
    <w:bookmarkStart w:id="84" w:name="X42b0a6cca3170a00ec6abfcc52055e705e1d3ec"/>
    <w:p>
      <w:pPr>
        <w:pStyle w:val="Heading1"/>
      </w:pPr>
      <w:r>
        <w:t xml:space="preserve">References (IEEE style — complete in your reference manager)</w:t>
      </w:r>
    </w:p>
    <w:p>
      <w:pPr>
        <w:pStyle w:val="FirstParagraph"/>
      </w:pPr>
      <w:r>
        <w:t xml:space="preserve">[1] IEEE Standard for SystemVerilog—Unified Hardware Design, Specification, and Verification Language, IEEE Std 1800-2023.</w:t>
      </w:r>
    </w:p>
    <w:p>
      <w:pPr>
        <w:pStyle w:val="BodyText"/>
      </w:pPr>
      <w:r>
        <w:t xml:space="preserve">[2] SymbiYosys (SBY) documentation. Available: https://symbiyosys.readthedocs.io</w:t>
      </w:r>
    </w:p>
    <w:p>
      <w:pPr>
        <w:pStyle w:val="BodyText"/>
      </w:pPr>
      <w:r>
        <w:t xml:space="preserve">[3] YosysHQ, Yosys Open Synthesis Suite. Available: https://yosyshq.net/yosys/</w:t>
      </w:r>
    </w:p>
    <w:p>
      <w:pPr>
        <w:pStyle w:val="BodyText"/>
      </w:pPr>
      <w:r>
        <w:t xml:space="preserve">[4] T. Dettmers et al., “QLoRA: Efficient Finetuning of Quantized LLMs,” arXiv:2305.14314, 2023.</w:t>
      </w:r>
    </w:p>
    <w:p>
      <w:pPr>
        <w:pStyle w:val="BodyText"/>
      </w:pPr>
      <w:r>
        <w:t xml:space="preserve">[5] E. Halpern et al., “AssertionBench: A Benchmark to Evaluate Large Language Models for Assertion Generation in Verilog,” arXiv:2406.18627, 2024.</w:t>
      </w:r>
    </w:p>
    <w:p>
      <w:pPr>
        <w:pStyle w:val="BodyText"/>
      </w:pPr>
      <w:r>
        <w:t xml:space="preserve">[6] Unsloth documentation. Available: https://github.com/unslothai/unsloth</w:t>
      </w:r>
    </w:p>
    <w:p>
      <w:pPr>
        <w:pStyle w:val="BodyText"/>
      </w:pPr>
      <w:r>
        <w:t xml:space="preserve">[7] Cite the VERT dataset source and license you used, following the upstream project.</w:t>
      </w:r>
    </w:p>
    <w:bookmarkEnd w:id="84"/>
    <w:bookmarkStart w:id="85" w:name="appendix-a-reproducibility-and-artifacts"/>
    <w:p>
      <w:pPr>
        <w:pStyle w:val="Heading1"/>
      </w:pPr>
      <w:r>
        <w:t xml:space="preserve">Appendix A — Reproducibility and artifacts</w:t>
      </w:r>
    </w:p>
    <w:p>
      <w:pPr>
        <w:pStyle w:val="FirstParagraph"/>
      </w:pPr>
      <w:r>
        <w:t xml:space="preserve">All quantitative claims in Chapter V are tied to a frozen evaluation directory under the project’s formal verification runs. The machine-readable summary lists configuration flags, adapter checkpoint path, per-sample statuses, and Jaccard scores. For examination, evaluators should consult that manifest alongside the bound thesis.</w:t>
      </w:r>
      <w:r>
        <w:t xml:space="preserve"> </w:t>
      </w:r>
      <w:r>
        <w:rPr>
          <w:b/>
          <w:bCs/>
        </w:rPr>
        <w:t xml:space="preserve">No program listings are included in this document</w:t>
      </w:r>
      <w:r>
        <w:t xml:space="preserve">; source is retained only in the repository.</w:t>
      </w:r>
    </w:p>
    <w:bookmarkEnd w:id="85"/>
    <w:bookmarkStart w:id="86" w:name="X3e331ae528190f070d9538589adf30deead9e91"/>
    <w:p>
      <w:pPr>
        <w:pStyle w:val="Heading1"/>
      </w:pPr>
      <w:r>
        <w:t xml:space="preserve">Appendix B — Ethics, risk, and responsible use</w:t>
      </w:r>
    </w:p>
    <w:p>
      <w:pPr>
        <w:pStyle w:val="FirstParagraph"/>
      </w:pPr>
      <w:r>
        <w:t xml:space="preserve">Generated assertions must be reviewed before use on safety-critical or high-value designs. Teams should document formal</w:t>
      </w:r>
      <w:r>
        <w:t xml:space="preserve"> </w:t>
      </w:r>
      <w:r>
        <w:rPr>
          <w:b/>
          <w:bCs/>
        </w:rPr>
        <w:t xml:space="preserve">assumptions</w:t>
      </w:r>
      <w:r>
        <w:t xml:space="preserve"> </w:t>
      </w:r>
      <w:r>
        <w:t xml:space="preserve">explicitly. Training and deployment must respect licenses for base models, datasets, and third-party IP.</w:t>
      </w:r>
    </w:p>
    <w:bookmarkEnd w:id="86"/>
    <w:bookmarkStart w:id="87" w:name="X7b7279d0f4b7aa316e64c9faec2c39e3f7ef774"/>
    <w:p>
      <w:pPr>
        <w:pStyle w:val="Heading1"/>
      </w:pPr>
      <w:r>
        <w:t xml:space="preserve">Appendix C — Outlier summary (formal failure or gold Jaccard &lt; 0.95)</w:t>
      </w:r>
    </w:p>
    <w:p>
      <w:pPr>
        <w:pStyle w:val="FirstParagraph"/>
      </w:pPr>
      <w:r>
        <w:t xml:space="preserve">Table A.1 consolidates cases that warrant discussion in defense or viva. The majority of samples lie outside this table because they both</w:t>
      </w:r>
      <w:r>
        <w:t xml:space="preserve"> </w:t>
      </w:r>
      <w:r>
        <w:rPr>
          <w:b/>
          <w:bCs/>
        </w:rPr>
        <w:t xml:space="preserve">passed</w:t>
      </w:r>
      <w:r>
        <w:t xml:space="preserve"> </w:t>
      </w:r>
      <w:r>
        <w:t xml:space="preserve">formal checking under the reported bounds and exhibited</w:t>
      </w:r>
      <w:r>
        <w:t xml:space="preserve"> </w:t>
      </w:r>
      <w:r>
        <w:rPr>
          <w:b/>
          <w:bCs/>
        </w:rPr>
        <w:t xml:space="preserve">Jaccard ≥ 0.95</w:t>
      </w:r>
      <w:r>
        <w:t xml:space="preserve">.</w:t>
      </w:r>
    </w:p>
    <w:tbl>
      <w:tblPr>
        <w:tblStyle w:val="Table"/>
        <w:tblW w:type="pct" w:w="5000"/>
        <w:tblLayout w:type="fixed"/>
        <w:tblLook w:firstRow="1" w:lastRow="0" w:firstColumn="0" w:lastColumn="0" w:noHBand="0" w:noVBand="0" w:val="0020"/>
      </w:tblPr>
      <w:tblGrid>
        <w:gridCol w:w="2359"/>
        <w:gridCol w:w="2022"/>
        <w:gridCol w:w="2359"/>
        <w:gridCol w:w="1179"/>
      </w:tblGrid>
      <w:tr>
        <w:trPr>
          <w:tblHeader w:val="on"/>
        </w:trPr>
        <w:tc>
          <w:tcPr/>
          <w:p>
            <w:pPr>
              <w:pStyle w:val="Compact"/>
            </w:pPr>
            <w:r>
              <w:t xml:space="preserve">Sample index</w:t>
            </w:r>
          </w:p>
        </w:tc>
        <w:tc>
          <w:tcPr/>
          <w:p>
            <w:pPr>
              <w:pStyle w:val="Compact"/>
            </w:pPr>
            <w:r>
              <w:t xml:space="preserve">SymbiYosys</w:t>
            </w:r>
          </w:p>
        </w:tc>
        <w:tc>
          <w:tcPr/>
          <w:p>
            <w:pPr>
              <w:pStyle w:val="Compact"/>
            </w:pPr>
            <w:r>
              <w:t xml:space="preserve">Gold Jaccard</w:t>
            </w:r>
          </w:p>
        </w:tc>
        <w:tc>
          <w:tcPr/>
          <w:p>
            <w:pPr>
              <w:pStyle w:val="Compact"/>
            </w:pPr>
            <w:r>
              <w:t xml:space="preserve">Notes</w:t>
            </w:r>
          </w:p>
        </w:tc>
      </w:tr>
      <w:tr>
        <w:tc>
          <w:tcPr/>
          <w:p>
            <w:pPr>
              <w:pStyle w:val="Compact"/>
            </w:pPr>
            <w:r>
              <w:t xml:space="preserve">82</w:t>
            </w:r>
          </w:p>
        </w:tc>
        <w:tc>
          <w:tcPr/>
          <w:p>
            <w:pPr>
              <w:pStyle w:val="Compact"/>
            </w:pPr>
            <w:r>
              <w:t xml:space="preserve">fail</w:t>
            </w:r>
          </w:p>
        </w:tc>
        <w:tc>
          <w:tcPr/>
          <w:p>
            <w:pPr>
              <w:pStyle w:val="Compact"/>
            </w:pPr>
            <w:r>
              <w:t xml:space="preserve">1.0000</w:t>
            </w:r>
          </w:p>
        </w:tc>
        <w:tc>
          <w:tcPr/>
          <w:p>
            <w:pPr>
              <w:pStyle w:val="Compact"/>
            </w:pPr>
            <w:r>
              <w:t xml:space="preserve">Formal fail; case with don’t-care selector (see §5.5)</w:t>
            </w:r>
          </w:p>
        </w:tc>
      </w:tr>
      <w:tr>
        <w:tc>
          <w:tcPr/>
          <w:p>
            <w:pPr>
              <w:pStyle w:val="Compact"/>
            </w:pPr>
            <w:r>
              <w:t xml:space="preserve">52</w:t>
            </w:r>
          </w:p>
        </w:tc>
        <w:tc>
          <w:tcPr/>
          <w:p>
            <w:pPr>
              <w:pStyle w:val="Compact"/>
            </w:pPr>
            <w:r>
              <w:t xml:space="preserve">pass</w:t>
            </w:r>
          </w:p>
        </w:tc>
        <w:tc>
          <w:tcPr/>
          <w:p>
            <w:pPr>
              <w:pStyle w:val="Compact"/>
            </w:pPr>
            <w:r>
              <w:t xml:space="preserve">0.9487</w:t>
            </w:r>
          </w:p>
        </w:tc>
        <w:tc>
          <w:tcPr/>
          <w:p>
            <w:pPr>
              <w:pStyle w:val="Compact"/>
            </w:pPr>
            <w:r>
              <w:t xml:space="preserve">Below 0.95 Jaccard; review clause overlap</w:t>
            </w:r>
          </w:p>
        </w:tc>
      </w:tr>
      <w:tr>
        <w:tc>
          <w:tcPr/>
          <w:p>
            <w:pPr>
              <w:pStyle w:val="Compact"/>
            </w:pPr>
            <w:r>
              <w:t xml:space="preserve">9</w:t>
            </w:r>
          </w:p>
        </w:tc>
        <w:tc>
          <w:tcPr/>
          <w:p>
            <w:pPr>
              <w:pStyle w:val="Compact"/>
            </w:pPr>
            <w:r>
              <w:t xml:space="preserve">pass</w:t>
            </w:r>
          </w:p>
        </w:tc>
        <w:tc>
          <w:tcPr/>
          <w:p>
            <w:pPr>
              <w:pStyle w:val="Compact"/>
            </w:pPr>
            <w:r>
              <w:t xml:space="preserve">0.9375</w:t>
            </w:r>
          </w:p>
        </w:tc>
        <w:tc>
          <w:tcPr/>
          <w:p>
            <w:pPr>
              <w:pStyle w:val="Compact"/>
            </w:pPr>
            <w:r>
              <w:t xml:space="preserve">Below 0.95 Jaccard; review clause overlap</w:t>
            </w:r>
          </w:p>
        </w:tc>
      </w:tr>
      <w:tr>
        <w:tc>
          <w:tcPr/>
          <w:p>
            <w:pPr>
              <w:pStyle w:val="Compact"/>
            </w:pPr>
            <w:r>
              <w:t xml:space="preserve">41</w:t>
            </w:r>
          </w:p>
        </w:tc>
        <w:tc>
          <w:tcPr/>
          <w:p>
            <w:pPr>
              <w:pStyle w:val="Compact"/>
            </w:pPr>
            <w:r>
              <w:t xml:space="preserve">pass</w:t>
            </w:r>
          </w:p>
        </w:tc>
        <w:tc>
          <w:tcPr/>
          <w:p>
            <w:pPr>
              <w:pStyle w:val="Compact"/>
            </w:pPr>
            <w:r>
              <w:t xml:space="preserve">0.9355</w:t>
            </w:r>
          </w:p>
        </w:tc>
        <w:tc>
          <w:tcPr/>
          <w:p>
            <w:pPr>
              <w:pStyle w:val="Compact"/>
            </w:pPr>
            <w:r>
              <w:t xml:space="preserve">Below 0.95 Jaccard; review clause overlap</w:t>
            </w:r>
          </w:p>
        </w:tc>
      </w:tr>
      <w:tr>
        <w:tc>
          <w:tcPr/>
          <w:p>
            <w:pPr>
              <w:pStyle w:val="Compact"/>
            </w:pPr>
            <w:r>
              <w:t xml:space="preserve">46</w:t>
            </w:r>
          </w:p>
        </w:tc>
        <w:tc>
          <w:tcPr/>
          <w:p>
            <w:pPr>
              <w:pStyle w:val="Compact"/>
            </w:pPr>
            <w:r>
              <w:t xml:space="preserve">pass</w:t>
            </w:r>
          </w:p>
        </w:tc>
        <w:tc>
          <w:tcPr/>
          <w:p>
            <w:pPr>
              <w:pStyle w:val="Compact"/>
            </w:pPr>
            <w:r>
              <w:t xml:space="preserve">0.9355</w:t>
            </w:r>
          </w:p>
        </w:tc>
        <w:tc>
          <w:tcPr/>
          <w:p>
            <w:pPr>
              <w:pStyle w:val="Compact"/>
            </w:pPr>
            <w:r>
              <w:t xml:space="preserve">Below 0.95 Jaccard; review clause overlap</w:t>
            </w:r>
          </w:p>
        </w:tc>
      </w:tr>
      <w:tr>
        <w:tc>
          <w:tcPr/>
          <w:p>
            <w:pPr>
              <w:pStyle w:val="Compact"/>
            </w:pPr>
            <w:r>
              <w:t xml:space="preserve">86</w:t>
            </w:r>
          </w:p>
        </w:tc>
        <w:tc>
          <w:tcPr/>
          <w:p>
            <w:pPr>
              <w:pStyle w:val="Compact"/>
            </w:pPr>
            <w:r>
              <w:t xml:space="preserve">pass</w:t>
            </w:r>
          </w:p>
        </w:tc>
        <w:tc>
          <w:tcPr/>
          <w:p>
            <w:pPr>
              <w:pStyle w:val="Compact"/>
            </w:pPr>
            <w:r>
              <w:t xml:space="preserve">0.9333</w:t>
            </w:r>
          </w:p>
        </w:tc>
        <w:tc>
          <w:tcPr/>
          <w:p>
            <w:pPr>
              <w:pStyle w:val="Compact"/>
            </w:pPr>
            <w:r>
              <w:t xml:space="preserve">Below 0.95 Jaccard; review clause overlap</w:t>
            </w:r>
          </w:p>
        </w:tc>
      </w:tr>
      <w:tr>
        <w:tc>
          <w:tcPr/>
          <w:p>
            <w:pPr>
              <w:pStyle w:val="Compact"/>
            </w:pPr>
            <w:r>
              <w:t xml:space="preserve">24</w:t>
            </w:r>
          </w:p>
        </w:tc>
        <w:tc>
          <w:tcPr/>
          <w:p>
            <w:pPr>
              <w:pStyle w:val="Compact"/>
            </w:pPr>
            <w:r>
              <w:t xml:space="preserve">pass</w:t>
            </w:r>
          </w:p>
        </w:tc>
        <w:tc>
          <w:tcPr/>
          <w:p>
            <w:pPr>
              <w:pStyle w:val="Compact"/>
            </w:pPr>
            <w:r>
              <w:t xml:space="preserve">0.9310</w:t>
            </w:r>
          </w:p>
        </w:tc>
        <w:tc>
          <w:tcPr/>
          <w:p>
            <w:pPr>
              <w:pStyle w:val="Compact"/>
            </w:pPr>
            <w:r>
              <w:t xml:space="preserve">Below 0.95 Jaccard; review clause overlap</w:t>
            </w:r>
          </w:p>
        </w:tc>
      </w:tr>
      <w:tr>
        <w:tc>
          <w:tcPr/>
          <w:p>
            <w:pPr>
              <w:pStyle w:val="Compact"/>
            </w:pPr>
            <w:r>
              <w:t xml:space="preserve">67</w:t>
            </w:r>
          </w:p>
        </w:tc>
        <w:tc>
          <w:tcPr/>
          <w:p>
            <w:pPr>
              <w:pStyle w:val="Compact"/>
            </w:pPr>
            <w:r>
              <w:t xml:space="preserve">pass</w:t>
            </w:r>
          </w:p>
        </w:tc>
        <w:tc>
          <w:tcPr/>
          <w:p>
            <w:pPr>
              <w:pStyle w:val="Compact"/>
            </w:pPr>
            <w:r>
              <w:t xml:space="preserve">0.9310</w:t>
            </w:r>
          </w:p>
        </w:tc>
        <w:tc>
          <w:tcPr/>
          <w:p>
            <w:pPr>
              <w:pStyle w:val="Compact"/>
            </w:pPr>
            <w:r>
              <w:t xml:space="preserve">Below 0.95 Jaccard; review clause overlap</w:t>
            </w:r>
          </w:p>
        </w:tc>
      </w:tr>
      <w:tr>
        <w:tc>
          <w:tcPr/>
          <w:p>
            <w:pPr>
              <w:pStyle w:val="Compact"/>
            </w:pPr>
            <w:r>
              <w:t xml:space="preserve">96</w:t>
            </w:r>
          </w:p>
        </w:tc>
        <w:tc>
          <w:tcPr/>
          <w:p>
            <w:pPr>
              <w:pStyle w:val="Compact"/>
            </w:pPr>
            <w:r>
              <w:t xml:space="preserve">pass</w:t>
            </w:r>
          </w:p>
        </w:tc>
        <w:tc>
          <w:tcPr/>
          <w:p>
            <w:pPr>
              <w:pStyle w:val="Compact"/>
            </w:pPr>
            <w:r>
              <w:t xml:space="preserve">0.9310</w:t>
            </w:r>
          </w:p>
        </w:tc>
        <w:tc>
          <w:tcPr/>
          <w:p>
            <w:pPr>
              <w:pStyle w:val="Compact"/>
            </w:pPr>
            <w:r>
              <w:t xml:space="preserve">Below 0.95 Jaccard; review clause overlap</w:t>
            </w:r>
          </w:p>
        </w:tc>
      </w:tr>
      <w:tr>
        <w:tc>
          <w:tcPr/>
          <w:p>
            <w:pPr>
              <w:pStyle w:val="Compact"/>
            </w:pPr>
            <w:r>
              <w:t xml:space="preserve">23</w:t>
            </w:r>
          </w:p>
        </w:tc>
        <w:tc>
          <w:tcPr/>
          <w:p>
            <w:pPr>
              <w:pStyle w:val="Compact"/>
            </w:pPr>
            <w:r>
              <w:t xml:space="preserve">pass</w:t>
            </w:r>
          </w:p>
        </w:tc>
        <w:tc>
          <w:tcPr/>
          <w:p>
            <w:pPr>
              <w:pStyle w:val="Compact"/>
            </w:pPr>
            <w:r>
              <w:t xml:space="preserve">0.9286</w:t>
            </w:r>
          </w:p>
        </w:tc>
        <w:tc>
          <w:tcPr/>
          <w:p>
            <w:pPr>
              <w:pStyle w:val="Compact"/>
            </w:pPr>
            <w:r>
              <w:t xml:space="preserve">Below 0.95 Jaccard; review clause overlap</w:t>
            </w:r>
          </w:p>
        </w:tc>
      </w:tr>
      <w:tr>
        <w:tc>
          <w:tcPr/>
          <w:p>
            <w:pPr>
              <w:pStyle w:val="Compact"/>
            </w:pPr>
            <w:r>
              <w:t xml:space="preserve">40</w:t>
            </w:r>
          </w:p>
        </w:tc>
        <w:tc>
          <w:tcPr/>
          <w:p>
            <w:pPr>
              <w:pStyle w:val="Compact"/>
            </w:pPr>
            <w:r>
              <w:t xml:space="preserve">pass</w:t>
            </w:r>
          </w:p>
        </w:tc>
        <w:tc>
          <w:tcPr/>
          <w:p>
            <w:pPr>
              <w:pStyle w:val="Compact"/>
            </w:pPr>
            <w:r>
              <w:t xml:space="preserve">0.7576</w:t>
            </w:r>
          </w:p>
        </w:tc>
        <w:tc>
          <w:tcPr/>
          <w:p>
            <w:pPr>
              <w:pStyle w:val="Compact"/>
            </w:pPr>
            <w:r>
              <w:t xml:space="preserve">Below 0.95 Jaccard; review clause overlap</w:t>
            </w:r>
          </w:p>
        </w:tc>
      </w:tr>
    </w:tbl>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4" Target="media/rId44.png" /><Relationship Type="http://schemas.openxmlformats.org/officeDocument/2006/relationships/image" Id="rId57" Target="media/rId57.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8" Target="media/rId7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2026-04-19T23:28:47Z</dcterms:created>
  <dcterms:modified xsi:type="dcterms:W3CDTF">2026-04-19T23:28:47Z</dcterms:modified>
</cp:coreProperties>
</file>

<file path=docProps/custom.xml><?xml version="1.0" encoding="utf-8"?>
<Properties xmlns="http://schemas.openxmlformats.org/officeDocument/2006/custom-properties" xmlns:vt="http://schemas.openxmlformats.org/officeDocument/2006/docPropsVTypes"/>
</file>