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1DAB" w14:textId="77777777" w:rsidR="00637F72" w:rsidRPr="008920B8" w:rsidRDefault="00000000">
      <w:pPr>
        <w:pStyle w:val="Heading1"/>
        <w:spacing w:before="120" w:after="160"/>
        <w:rPr>
          <w:rFonts w:ascii="Times New Roman" w:hAnsi="Times New Roman" w:cs="Times New Roman"/>
        </w:rPr>
      </w:pPr>
      <w:r w:rsidRPr="008920B8">
        <w:rPr>
          <w:rFonts w:ascii="Times New Roman" w:hAnsi="Times New Roman" w:cs="Times New Roman"/>
          <w:b/>
          <w:bCs/>
          <w:color w:val="2E4057"/>
          <w:sz w:val="30"/>
          <w:szCs w:val="30"/>
        </w:rPr>
        <w:t>Related Work — Group 5 · UNSW-NB15 · Track 1 (GNN)</w:t>
      </w:r>
    </w:p>
    <w:p w14:paraId="072306DC" w14:textId="5824FDA2" w:rsidR="00637F72" w:rsidRPr="008920B8" w:rsidRDefault="008920B8">
      <w:pPr>
        <w:spacing w:after="160" w:line="276" w:lineRule="auto"/>
        <w:rPr>
          <w:rFonts w:ascii="Times New Roman" w:hAnsi="Times New Roman" w:cs="Times New Roman"/>
          <w:sz w:val="22"/>
          <w:szCs w:val="22"/>
        </w:rPr>
      </w:pPr>
      <w:r w:rsidRPr="008920B8">
        <w:rPr>
          <w:rFonts w:ascii="Times New Roman" w:hAnsi="Times New Roman" w:cs="Times New Roman"/>
          <w:sz w:val="22"/>
          <w:szCs w:val="22"/>
        </w:rPr>
        <w:t>Project description</w:t>
      </w:r>
      <w:r w:rsidR="00000000" w:rsidRPr="008920B8">
        <w:rPr>
          <w:rFonts w:ascii="Times New Roman" w:hAnsi="Times New Roman" w:cs="Times New Roman"/>
          <w:sz w:val="22"/>
          <w:szCs w:val="22"/>
        </w:rPr>
        <w:t xml:space="preserve"> requires at least five related-work papers dated 2022–2026, addressing dataset, application area, method/model, metrics, strengths, limitations, research gap, and relation to our work — with the type of GNN added for Track 1 submissions.</w:t>
      </w:r>
    </w:p>
    <w:p w14:paraId="65CAE250" w14:textId="77777777" w:rsidR="00637F72" w:rsidRPr="008920B8" w:rsidRDefault="00000000">
      <w:pPr>
        <w:spacing w:before="40" w:after="40"/>
        <w:rPr>
          <w:rFonts w:ascii="Times New Roman" w:hAnsi="Times New Roman" w:cs="Times New Roman"/>
          <w:sz w:val="20"/>
          <w:szCs w:val="20"/>
        </w:rPr>
      </w:pPr>
      <w:r w:rsidRPr="008920B8">
        <w:rPr>
          <w:rFonts w:ascii="Times New Roman" w:hAnsi="Times New Roman" w:cs="Times New Roman"/>
          <w:b/>
          <w:bCs/>
          <w:color w:val="2E4057"/>
          <w:sz w:val="20"/>
          <w:szCs w:val="20"/>
        </w:rPr>
        <w:t>Note on the original draft</w:t>
      </w:r>
    </w:p>
    <w:p w14:paraId="33590056" w14:textId="77777777" w:rsidR="00637F72" w:rsidRPr="008920B8" w:rsidRDefault="00000000">
      <w:pPr>
        <w:pBdr>
          <w:left w:val="single" w:sz="12" w:space="8" w:color="BFBFBF"/>
        </w:pBdr>
        <w:spacing w:after="240" w:line="264" w:lineRule="auto"/>
        <w:ind w:left="200"/>
        <w:rPr>
          <w:rFonts w:ascii="Times New Roman" w:hAnsi="Times New Roman" w:cs="Times New Roman"/>
          <w:sz w:val="20"/>
          <w:szCs w:val="20"/>
        </w:rPr>
      </w:pPr>
      <w:r w:rsidRPr="008920B8">
        <w:rPr>
          <w:rFonts w:ascii="Times New Roman" w:hAnsi="Times New Roman" w:cs="Times New Roman"/>
          <w:i/>
          <w:iCs/>
          <w:color w:val="555555"/>
          <w:sz w:val="20"/>
          <w:szCs w:val="20"/>
        </w:rPr>
        <w:t>The draft (</w:t>
      </w:r>
      <w:proofErr w:type="spellStart"/>
      <w:r w:rsidRPr="008920B8">
        <w:rPr>
          <w:rFonts w:ascii="Times New Roman" w:hAnsi="Times New Roman" w:cs="Times New Roman"/>
          <w:i/>
          <w:iCs/>
          <w:color w:val="555555"/>
          <w:sz w:val="20"/>
          <w:szCs w:val="20"/>
        </w:rPr>
        <w:t>related_work</w:t>
      </w:r>
      <w:proofErr w:type="spellEnd"/>
      <w:r w:rsidRPr="008920B8">
        <w:rPr>
          <w:rFonts w:ascii="Times New Roman" w:hAnsi="Times New Roman" w:cs="Times New Roman"/>
          <w:i/>
          <w:iCs/>
          <w:color w:val="555555"/>
          <w:sz w:val="20"/>
          <w:szCs w:val="20"/>
        </w:rPr>
        <w:t>/Group05_UNSW-NB15_related_work_draft.docx) dated Paper 1 (E-</w:t>
      </w:r>
      <w:proofErr w:type="spellStart"/>
      <w:r w:rsidRPr="008920B8">
        <w:rPr>
          <w:rFonts w:ascii="Times New Roman" w:hAnsi="Times New Roman" w:cs="Times New Roman"/>
          <w:i/>
          <w:iCs/>
          <w:color w:val="555555"/>
          <w:sz w:val="20"/>
          <w:szCs w:val="20"/>
        </w:rPr>
        <w:t>GraphSAGE</w:t>
      </w:r>
      <w:proofErr w:type="spellEnd"/>
      <w:r w:rsidRPr="008920B8">
        <w:rPr>
          <w:rFonts w:ascii="Times New Roman" w:hAnsi="Times New Roman" w:cs="Times New Roman"/>
          <w:i/>
          <w:iCs/>
          <w:color w:val="555555"/>
          <w:sz w:val="20"/>
          <w:szCs w:val="20"/>
        </w:rPr>
        <w:t>) as 2021 in-text, outside the 2022–2026 window. Checked against its actual venue (IEEE/IFIP NOMS 2022), the published version is 2022, so it is compliant and has been kept. The draft was also missing the Authors, Application Area, Strengths, Relation to Our Work, and GNN Type columns required by the brief; all five have been added below, with authors verified against publisher/</w:t>
      </w:r>
      <w:proofErr w:type="spellStart"/>
      <w:r w:rsidRPr="008920B8">
        <w:rPr>
          <w:rFonts w:ascii="Times New Roman" w:hAnsi="Times New Roman" w:cs="Times New Roman"/>
          <w:i/>
          <w:iCs/>
          <w:color w:val="555555"/>
          <w:sz w:val="20"/>
          <w:szCs w:val="20"/>
        </w:rPr>
        <w:t>Crossref</w:t>
      </w:r>
      <w:proofErr w:type="spellEnd"/>
      <w:r w:rsidRPr="008920B8">
        <w:rPr>
          <w:rFonts w:ascii="Times New Roman" w:hAnsi="Times New Roman" w:cs="Times New Roman"/>
          <w:i/>
          <w:iCs/>
          <w:color w:val="555555"/>
          <w:sz w:val="20"/>
          <w:szCs w:val="20"/>
        </w:rPr>
        <w:t xml:space="preserve"> records rather than carried over from the draft, which had none.</w:t>
      </w:r>
    </w:p>
    <w:p w14:paraId="786EC4F2" w14:textId="77777777" w:rsidR="00637F72" w:rsidRPr="008920B8" w:rsidRDefault="00000000">
      <w:pPr>
        <w:pStyle w:val="Heading2"/>
        <w:pBdr>
          <w:bottom w:val="single" w:sz="6" w:space="4" w:color="BFBFBF"/>
        </w:pBdr>
        <w:spacing w:before="300" w:after="140"/>
        <w:rPr>
          <w:rFonts w:ascii="Times New Roman" w:hAnsi="Times New Roman" w:cs="Times New Roman"/>
        </w:rPr>
      </w:pPr>
      <w:r w:rsidRPr="008920B8">
        <w:rPr>
          <w:rFonts w:ascii="Times New Roman" w:hAnsi="Times New Roman" w:cs="Times New Roman"/>
          <w:b/>
          <w:bCs/>
          <w:color w:val="2E4057"/>
          <w:sz w:val="22"/>
          <w:szCs w:val="22"/>
        </w:rPr>
        <w:t xml:space="preserve">Related </w:t>
      </w:r>
      <w:proofErr w:type="gramStart"/>
      <w:r w:rsidRPr="008920B8">
        <w:rPr>
          <w:rFonts w:ascii="Times New Roman" w:hAnsi="Times New Roman" w:cs="Times New Roman"/>
          <w:b/>
          <w:bCs/>
          <w:color w:val="2E4057"/>
          <w:sz w:val="22"/>
          <w:szCs w:val="22"/>
        </w:rPr>
        <w:t>Work Table</w:t>
      </w:r>
      <w:proofErr w:type="gramEnd"/>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
        <w:gridCol w:w="1729"/>
        <w:gridCol w:w="1305"/>
        <w:gridCol w:w="1294"/>
        <w:gridCol w:w="1293"/>
        <w:gridCol w:w="1567"/>
        <w:gridCol w:w="1329"/>
        <w:gridCol w:w="1019"/>
        <w:gridCol w:w="1377"/>
        <w:gridCol w:w="1674"/>
        <w:gridCol w:w="1436"/>
        <w:gridCol w:w="1413"/>
      </w:tblGrid>
      <w:tr w:rsidR="00637F72" w:rsidRPr="008920B8" w14:paraId="3BCD8721" w14:textId="77777777">
        <w:tblPrEx>
          <w:tblCellMar>
            <w:top w:w="0" w:type="dxa"/>
            <w:bottom w:w="0" w:type="dxa"/>
          </w:tblCellMar>
        </w:tblPrEx>
        <w:trPr>
          <w:tblHeader/>
        </w:trPr>
        <w:tc>
          <w:tcPr>
            <w:tcW w:w="3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4C8672B9"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w:t>
            </w:r>
          </w:p>
        </w:tc>
        <w:tc>
          <w:tcPr>
            <w:tcW w:w="19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5CEBF1F5"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Title (Year)</w:t>
            </w:r>
          </w:p>
        </w:tc>
        <w:tc>
          <w:tcPr>
            <w:tcW w:w="15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62AE1A2B"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Authors</w:t>
            </w:r>
          </w:p>
        </w:tc>
        <w:tc>
          <w:tcPr>
            <w:tcW w:w="10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4C2EDF7A"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Dataset</w:t>
            </w:r>
          </w:p>
        </w:tc>
        <w:tc>
          <w:tcPr>
            <w:tcW w:w="13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3D402ED3"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Application Area</w:t>
            </w:r>
          </w:p>
        </w:tc>
        <w:tc>
          <w:tcPr>
            <w:tcW w:w="16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625136E2"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Method / Model</w:t>
            </w:r>
          </w:p>
        </w:tc>
        <w:tc>
          <w:tcPr>
            <w:tcW w:w="9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60B35AF6"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GNN Type</w:t>
            </w:r>
          </w:p>
        </w:tc>
        <w:tc>
          <w:tcPr>
            <w:tcW w:w="11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5BB5678E"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Metrics Reported</w:t>
            </w:r>
          </w:p>
        </w:tc>
        <w:tc>
          <w:tcPr>
            <w:tcW w:w="15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5952AAC5"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Strengths</w:t>
            </w:r>
          </w:p>
        </w:tc>
        <w:tc>
          <w:tcPr>
            <w:tcW w:w="15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536E2EE4"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Limitations</w:t>
            </w:r>
          </w:p>
        </w:tc>
        <w:tc>
          <w:tcPr>
            <w:tcW w:w="1200"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4509CD2D"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Research Gap</w:t>
            </w:r>
          </w:p>
        </w:tc>
        <w:tc>
          <w:tcPr>
            <w:tcW w:w="1598" w:type="dxa"/>
            <w:tcBorders>
              <w:top w:val="single" w:sz="4" w:space="0" w:color="BFBFBF"/>
              <w:left w:val="single" w:sz="4" w:space="0" w:color="BFBFBF"/>
              <w:bottom w:val="single" w:sz="4" w:space="0" w:color="BFBFBF"/>
              <w:right w:val="single" w:sz="4" w:space="0" w:color="BFBFBF"/>
            </w:tcBorders>
            <w:shd w:val="clear" w:color="auto" w:fill="E7E9EC"/>
            <w:tcMar>
              <w:top w:w="60" w:type="dxa"/>
              <w:left w:w="80" w:type="dxa"/>
              <w:bottom w:w="60" w:type="dxa"/>
              <w:right w:w="80" w:type="dxa"/>
            </w:tcMar>
            <w:vAlign w:val="center"/>
          </w:tcPr>
          <w:p w14:paraId="241103DA"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b/>
                <w:bCs/>
                <w:sz w:val="22"/>
                <w:szCs w:val="22"/>
              </w:rPr>
              <w:t>Relation to Our Work</w:t>
            </w:r>
          </w:p>
        </w:tc>
      </w:tr>
      <w:tr w:rsidR="00637F72" w:rsidRPr="008920B8" w14:paraId="242F8E50" w14:textId="77777777">
        <w:tblPrEx>
          <w:tblCellMar>
            <w:top w:w="0" w:type="dxa"/>
            <w:bottom w:w="0" w:type="dxa"/>
          </w:tblCellMar>
        </w:tblPrEx>
        <w:tc>
          <w:tcPr>
            <w:tcW w:w="3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6C5DB06"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1</w:t>
            </w:r>
          </w:p>
        </w:tc>
        <w:tc>
          <w:tcPr>
            <w:tcW w:w="19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7F704D71" w14:textId="77777777" w:rsidR="00637F72" w:rsidRPr="008920B8" w:rsidRDefault="00000000">
            <w:pPr>
              <w:rPr>
                <w:rFonts w:ascii="Times New Roman" w:hAnsi="Times New Roman" w:cs="Times New Roman"/>
                <w:sz w:val="22"/>
                <w:szCs w:val="22"/>
              </w:rPr>
            </w:pPr>
            <w:hyperlink r:id="rId7" w:history="1">
              <w:r w:rsidRPr="008920B8">
                <w:rPr>
                  <w:rFonts w:ascii="Times New Roman" w:hAnsi="Times New Roman" w:cs="Times New Roman"/>
                  <w:color w:val="1155CC"/>
                  <w:sz w:val="22"/>
                  <w:szCs w:val="22"/>
                  <w:u w:val="single"/>
                </w:rPr>
                <w:t>E-</w:t>
              </w:r>
              <w:proofErr w:type="spellStart"/>
              <w:r w:rsidRPr="008920B8">
                <w:rPr>
                  <w:rFonts w:ascii="Times New Roman" w:hAnsi="Times New Roman" w:cs="Times New Roman"/>
                  <w:color w:val="1155CC"/>
                  <w:sz w:val="22"/>
                  <w:szCs w:val="22"/>
                  <w:u w:val="single"/>
                </w:rPr>
                <w:t>GraphSAGE</w:t>
              </w:r>
              <w:proofErr w:type="spellEnd"/>
              <w:r w:rsidRPr="008920B8">
                <w:rPr>
                  <w:rFonts w:ascii="Times New Roman" w:hAnsi="Times New Roman" w:cs="Times New Roman"/>
                  <w:color w:val="1155CC"/>
                  <w:sz w:val="22"/>
                  <w:szCs w:val="22"/>
                  <w:u w:val="single"/>
                </w:rPr>
                <w:t>: A Graph Neural Network based Intrusion Detection System for IoT</w:t>
              </w:r>
            </w:hyperlink>
          </w:p>
          <w:p w14:paraId="1257E735" w14:textId="77777777" w:rsidR="00637F72" w:rsidRPr="008920B8" w:rsidRDefault="00000000">
            <w:pPr>
              <w:spacing w:before="30"/>
              <w:rPr>
                <w:rFonts w:ascii="Times New Roman" w:hAnsi="Times New Roman" w:cs="Times New Roman"/>
                <w:sz w:val="22"/>
                <w:szCs w:val="22"/>
              </w:rPr>
            </w:pPr>
            <w:r w:rsidRPr="008920B8">
              <w:rPr>
                <w:rFonts w:ascii="Times New Roman" w:hAnsi="Times New Roman" w:cs="Times New Roman"/>
                <w:i/>
                <w:iCs/>
                <w:color w:val="555555"/>
                <w:sz w:val="22"/>
                <w:szCs w:val="22"/>
              </w:rPr>
              <w:t>2022 · IEEE/IFIP NOMS</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14D992B" w14:textId="77777777" w:rsidR="00637F72" w:rsidRPr="008920B8" w:rsidRDefault="00000000">
            <w:pPr>
              <w:rPr>
                <w:rFonts w:ascii="Times New Roman" w:hAnsi="Times New Roman" w:cs="Times New Roman"/>
                <w:sz w:val="22"/>
                <w:szCs w:val="22"/>
              </w:rPr>
            </w:pPr>
            <w:proofErr w:type="gramStart"/>
            <w:r w:rsidRPr="008920B8">
              <w:rPr>
                <w:rFonts w:ascii="Times New Roman" w:hAnsi="Times New Roman" w:cs="Times New Roman"/>
                <w:sz w:val="22"/>
                <w:szCs w:val="22"/>
              </w:rPr>
              <w:t>W.</w:t>
            </w:r>
            <w:proofErr w:type="gramEnd"/>
            <w:r w:rsidRPr="008920B8">
              <w:rPr>
                <w:rFonts w:ascii="Times New Roman" w:hAnsi="Times New Roman" w:cs="Times New Roman"/>
                <w:sz w:val="22"/>
                <w:szCs w:val="22"/>
              </w:rPr>
              <w:t xml:space="preserve"> W. Lo, S. </w:t>
            </w:r>
            <w:proofErr w:type="spellStart"/>
            <w:r w:rsidRPr="008920B8">
              <w:rPr>
                <w:rFonts w:ascii="Times New Roman" w:hAnsi="Times New Roman" w:cs="Times New Roman"/>
                <w:sz w:val="22"/>
                <w:szCs w:val="22"/>
              </w:rPr>
              <w:t>Layeghy</w:t>
            </w:r>
            <w:proofErr w:type="spellEnd"/>
            <w:r w:rsidRPr="008920B8">
              <w:rPr>
                <w:rFonts w:ascii="Times New Roman" w:hAnsi="Times New Roman" w:cs="Times New Roman"/>
                <w:sz w:val="22"/>
                <w:szCs w:val="22"/>
              </w:rPr>
              <w:t>, M. Sarhan, M. Gallagher, M. Portmann</w:t>
            </w:r>
          </w:p>
        </w:tc>
        <w:tc>
          <w:tcPr>
            <w:tcW w:w="10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28F9FA50"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UNSW-NB15, NF-</w:t>
            </w:r>
            <w:proofErr w:type="spellStart"/>
            <w:r w:rsidRPr="008920B8">
              <w:rPr>
                <w:rFonts w:ascii="Times New Roman" w:hAnsi="Times New Roman" w:cs="Times New Roman"/>
                <w:sz w:val="22"/>
                <w:szCs w:val="22"/>
              </w:rPr>
              <w:t>BoT</w:t>
            </w:r>
            <w:proofErr w:type="spellEnd"/>
            <w:r w:rsidRPr="008920B8">
              <w:rPr>
                <w:rFonts w:ascii="Times New Roman" w:hAnsi="Times New Roman" w:cs="Times New Roman"/>
                <w:sz w:val="22"/>
                <w:szCs w:val="22"/>
              </w:rPr>
              <w:t xml:space="preserve">-IoT, </w:t>
            </w:r>
            <w:proofErr w:type="spellStart"/>
            <w:r w:rsidRPr="008920B8">
              <w:rPr>
                <w:rFonts w:ascii="Times New Roman" w:hAnsi="Times New Roman" w:cs="Times New Roman"/>
                <w:sz w:val="22"/>
                <w:szCs w:val="22"/>
              </w:rPr>
              <w:t>ToN</w:t>
            </w:r>
            <w:proofErr w:type="spellEnd"/>
            <w:r w:rsidRPr="008920B8">
              <w:rPr>
                <w:rFonts w:ascii="Times New Roman" w:hAnsi="Times New Roman" w:cs="Times New Roman"/>
                <w:sz w:val="22"/>
                <w:szCs w:val="22"/>
              </w:rPr>
              <w:t>-IoT</w:t>
            </w:r>
          </w:p>
        </w:tc>
        <w:tc>
          <w:tcPr>
            <w:tcW w:w="13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190493ED"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IoT network intrusion detection</w:t>
            </w:r>
          </w:p>
        </w:tc>
        <w:tc>
          <w:tcPr>
            <w:tcW w:w="16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FAB9BCD"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Converts flows to a graph, learns edge/node embeddings with </w:t>
            </w:r>
            <w:proofErr w:type="spellStart"/>
            <w:r w:rsidRPr="008920B8">
              <w:rPr>
                <w:rFonts w:ascii="Times New Roman" w:hAnsi="Times New Roman" w:cs="Times New Roman"/>
                <w:sz w:val="22"/>
                <w:szCs w:val="22"/>
              </w:rPr>
              <w:t>GraphSAGE</w:t>
            </w:r>
            <w:proofErr w:type="spellEnd"/>
          </w:p>
        </w:tc>
        <w:tc>
          <w:tcPr>
            <w:tcW w:w="9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584E3DC" w14:textId="77777777" w:rsidR="00637F72" w:rsidRPr="008920B8" w:rsidRDefault="00000000">
            <w:pPr>
              <w:rPr>
                <w:rFonts w:ascii="Times New Roman" w:hAnsi="Times New Roman" w:cs="Times New Roman"/>
                <w:sz w:val="22"/>
                <w:szCs w:val="22"/>
              </w:rPr>
            </w:pPr>
            <w:proofErr w:type="spellStart"/>
            <w:r w:rsidRPr="008920B8">
              <w:rPr>
                <w:rFonts w:ascii="Times New Roman" w:hAnsi="Times New Roman" w:cs="Times New Roman"/>
                <w:sz w:val="22"/>
                <w:szCs w:val="22"/>
              </w:rPr>
              <w:t>GraphSAGE</w:t>
            </w:r>
            <w:proofErr w:type="spellEnd"/>
          </w:p>
        </w:tc>
        <w:tc>
          <w:tcPr>
            <w:tcW w:w="11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66264756"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~97–99% accuracy (accuracy only, no macro-F1)</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658B94F8"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First </w:t>
            </w:r>
            <w:proofErr w:type="gramStart"/>
            <w:r w:rsidRPr="008920B8">
              <w:rPr>
                <w:rFonts w:ascii="Times New Roman" w:hAnsi="Times New Roman" w:cs="Times New Roman"/>
                <w:sz w:val="22"/>
                <w:szCs w:val="22"/>
              </w:rPr>
              <w:t>widely-cited</w:t>
            </w:r>
            <w:proofErr w:type="gramEnd"/>
            <w:r w:rsidRPr="008920B8">
              <w:rPr>
                <w:rFonts w:ascii="Times New Roman" w:hAnsi="Times New Roman" w:cs="Times New Roman"/>
                <w:sz w:val="22"/>
                <w:szCs w:val="22"/>
              </w:rPr>
              <w:t xml:space="preserve"> flow-graph GNN for IDS; simple, inductive, works on unseen nodes</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36DEC90F"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Manual graph construction, limited explainability, accuracy-only reporting on imbalanced data</w:t>
            </w:r>
          </w:p>
        </w:tc>
        <w:tc>
          <w:tcPr>
            <w:tcW w:w="12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1BD40B8F"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Adaptive graph construction; better interpretability</w:t>
            </w:r>
          </w:p>
        </w:tc>
        <w:tc>
          <w:tcPr>
            <w:tcW w:w="1598"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30CC2EE3"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Baseline graph-construction reference; we build on flow-graph </w:t>
            </w:r>
            <w:proofErr w:type="gramStart"/>
            <w:r w:rsidRPr="008920B8">
              <w:rPr>
                <w:rFonts w:ascii="Times New Roman" w:hAnsi="Times New Roman" w:cs="Times New Roman"/>
                <w:sz w:val="22"/>
                <w:szCs w:val="22"/>
              </w:rPr>
              <w:t>idea</w:t>
            </w:r>
            <w:proofErr w:type="gramEnd"/>
            <w:r w:rsidRPr="008920B8">
              <w:rPr>
                <w:rFonts w:ascii="Times New Roman" w:hAnsi="Times New Roman" w:cs="Times New Roman"/>
                <w:sz w:val="22"/>
                <w:szCs w:val="22"/>
              </w:rPr>
              <w:t xml:space="preserve"> but add split-after-graph, macro-F1, and XAI it lacks</w:t>
            </w:r>
          </w:p>
        </w:tc>
      </w:tr>
      <w:tr w:rsidR="00637F72" w:rsidRPr="008920B8" w14:paraId="0DC04335" w14:textId="77777777">
        <w:tblPrEx>
          <w:tblCellMar>
            <w:top w:w="0" w:type="dxa"/>
            <w:bottom w:w="0" w:type="dxa"/>
          </w:tblCellMar>
        </w:tblPrEx>
        <w:tc>
          <w:tcPr>
            <w:tcW w:w="3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4F73505A"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15DE7CDE" w14:textId="77777777" w:rsidR="00637F72" w:rsidRPr="008920B8" w:rsidRDefault="00000000">
            <w:pPr>
              <w:rPr>
                <w:rFonts w:ascii="Times New Roman" w:hAnsi="Times New Roman" w:cs="Times New Roman"/>
                <w:sz w:val="22"/>
                <w:szCs w:val="22"/>
              </w:rPr>
            </w:pPr>
            <w:hyperlink r:id="rId8" w:history="1">
              <w:r w:rsidRPr="008920B8">
                <w:rPr>
                  <w:rFonts w:ascii="Times New Roman" w:hAnsi="Times New Roman" w:cs="Times New Roman"/>
                  <w:color w:val="1155CC"/>
                  <w:sz w:val="22"/>
                  <w:szCs w:val="22"/>
                  <w:u w:val="single"/>
                </w:rPr>
                <w:t xml:space="preserve">A Study on a Network Intrusion Detection System Based on the Fusion of </w:t>
              </w:r>
              <w:proofErr w:type="spellStart"/>
              <w:r w:rsidRPr="008920B8">
                <w:rPr>
                  <w:rFonts w:ascii="Times New Roman" w:hAnsi="Times New Roman" w:cs="Times New Roman"/>
                  <w:color w:val="1155CC"/>
                  <w:sz w:val="22"/>
                  <w:szCs w:val="22"/>
                  <w:u w:val="single"/>
                </w:rPr>
                <w:t>SAGEConv</w:t>
              </w:r>
              <w:proofErr w:type="spellEnd"/>
              <w:r w:rsidRPr="008920B8">
                <w:rPr>
                  <w:rFonts w:ascii="Times New Roman" w:hAnsi="Times New Roman" w:cs="Times New Roman"/>
                  <w:color w:val="1155CC"/>
                  <w:sz w:val="22"/>
                  <w:szCs w:val="22"/>
                  <w:u w:val="single"/>
                </w:rPr>
                <w:t>-GNN and a Transformer Encoder</w:t>
              </w:r>
            </w:hyperlink>
          </w:p>
          <w:p w14:paraId="136900E8" w14:textId="77777777" w:rsidR="00637F72" w:rsidRPr="008920B8" w:rsidRDefault="00000000">
            <w:pPr>
              <w:spacing w:before="30"/>
              <w:rPr>
                <w:rFonts w:ascii="Times New Roman" w:hAnsi="Times New Roman" w:cs="Times New Roman"/>
                <w:sz w:val="22"/>
                <w:szCs w:val="22"/>
              </w:rPr>
            </w:pPr>
            <w:r w:rsidRPr="008920B8">
              <w:rPr>
                <w:rFonts w:ascii="Times New Roman" w:hAnsi="Times New Roman" w:cs="Times New Roman"/>
                <w:i/>
                <w:iCs/>
                <w:color w:val="555555"/>
                <w:sz w:val="22"/>
                <w:szCs w:val="22"/>
              </w:rPr>
              <w:lastRenderedPageBreak/>
              <w:t>2026 · Electronics 15(8):1737</w:t>
            </w:r>
          </w:p>
        </w:tc>
        <w:tc>
          <w:tcPr>
            <w:tcW w:w="15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E5476DC"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H. D. Binh, Y. Choi, J. Jeong, Y.-J. Lee, D. Shin</w:t>
            </w:r>
          </w:p>
        </w:tc>
        <w:tc>
          <w:tcPr>
            <w:tcW w:w="10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4960A0B3"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UNSW-NB15, CICIDS2017</w:t>
            </w:r>
          </w:p>
        </w:tc>
        <w:tc>
          <w:tcPr>
            <w:tcW w:w="13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1B01D782"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Real-time network intrusion detection</w:t>
            </w:r>
          </w:p>
        </w:tc>
        <w:tc>
          <w:tcPr>
            <w:tcW w:w="16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0B55FF5" w14:textId="77777777" w:rsidR="00637F72" w:rsidRPr="008920B8" w:rsidRDefault="00000000">
            <w:pPr>
              <w:rPr>
                <w:rFonts w:ascii="Times New Roman" w:hAnsi="Times New Roman" w:cs="Times New Roman"/>
                <w:sz w:val="22"/>
                <w:szCs w:val="22"/>
              </w:rPr>
            </w:pPr>
            <w:proofErr w:type="spellStart"/>
            <w:r w:rsidRPr="008920B8">
              <w:rPr>
                <w:rFonts w:ascii="Times New Roman" w:hAnsi="Times New Roman" w:cs="Times New Roman"/>
                <w:sz w:val="22"/>
                <w:szCs w:val="22"/>
              </w:rPr>
              <w:t>SAGEConv</w:t>
            </w:r>
            <w:proofErr w:type="spellEnd"/>
            <w:r w:rsidRPr="008920B8">
              <w:rPr>
                <w:rFonts w:ascii="Times New Roman" w:hAnsi="Times New Roman" w:cs="Times New Roman"/>
                <w:sz w:val="22"/>
                <w:szCs w:val="22"/>
              </w:rPr>
              <w:t xml:space="preserve"> branch (local structure) + Transformer encoder (global context) fused via gated fusion</w:t>
            </w:r>
          </w:p>
        </w:tc>
        <w:tc>
          <w:tcPr>
            <w:tcW w:w="9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92F09A7" w14:textId="77777777" w:rsidR="00637F72" w:rsidRPr="008920B8" w:rsidRDefault="00000000">
            <w:pPr>
              <w:rPr>
                <w:rFonts w:ascii="Times New Roman" w:hAnsi="Times New Roman" w:cs="Times New Roman"/>
                <w:sz w:val="22"/>
                <w:szCs w:val="22"/>
              </w:rPr>
            </w:pPr>
            <w:proofErr w:type="spellStart"/>
            <w:r w:rsidRPr="008920B8">
              <w:rPr>
                <w:rFonts w:ascii="Times New Roman" w:hAnsi="Times New Roman" w:cs="Times New Roman"/>
                <w:sz w:val="22"/>
                <w:szCs w:val="22"/>
              </w:rPr>
              <w:t>GraphSAGE</w:t>
            </w:r>
            <w:proofErr w:type="spellEnd"/>
            <w:r w:rsidRPr="008920B8">
              <w:rPr>
                <w:rFonts w:ascii="Times New Roman" w:hAnsi="Times New Roman" w:cs="Times New Roman"/>
                <w:sz w:val="22"/>
                <w:szCs w:val="22"/>
              </w:rPr>
              <w:t xml:space="preserve"> (</w:t>
            </w:r>
            <w:proofErr w:type="spellStart"/>
            <w:r w:rsidRPr="008920B8">
              <w:rPr>
                <w:rFonts w:ascii="Times New Roman" w:hAnsi="Times New Roman" w:cs="Times New Roman"/>
                <w:sz w:val="22"/>
                <w:szCs w:val="22"/>
              </w:rPr>
              <w:t>SAGEConv</w:t>
            </w:r>
            <w:proofErr w:type="spellEnd"/>
            <w:r w:rsidRPr="008920B8">
              <w:rPr>
                <w:rFonts w:ascii="Times New Roman" w:hAnsi="Times New Roman" w:cs="Times New Roman"/>
                <w:sz w:val="22"/>
                <w:szCs w:val="22"/>
              </w:rPr>
              <w:t>) + Transformer hybrid</w:t>
            </w:r>
          </w:p>
        </w:tc>
        <w:tc>
          <w:tcPr>
            <w:tcW w:w="11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5C9228BA"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&gt;99% accuracy (reported)</w:t>
            </w:r>
          </w:p>
        </w:tc>
        <w:tc>
          <w:tcPr>
            <w:tcW w:w="15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6E315856"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Captures both local graph structure and long-range dependencies; gated fusion adapts weighting</w:t>
            </w:r>
          </w:p>
        </w:tc>
        <w:tc>
          <w:tcPr>
            <w:tcW w:w="15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7616C33D"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High compute/memory cost; limited real-time latency evaluation</w:t>
            </w:r>
          </w:p>
        </w:tc>
        <w:tc>
          <w:tcPr>
            <w:tcW w:w="12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624CFFDB"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Lightweight hybrid GNN for real-time IDS</w:t>
            </w:r>
          </w:p>
        </w:tc>
        <w:tc>
          <w:tcPr>
            <w:tcW w:w="1598"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F0068C6"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Shows a fusion architecture is viable — motivates keeping our own GNN simple enough to stay real-time-feasible</w:t>
            </w:r>
          </w:p>
        </w:tc>
      </w:tr>
      <w:tr w:rsidR="00637F72" w:rsidRPr="008920B8" w14:paraId="0E982B87" w14:textId="77777777">
        <w:tblPrEx>
          <w:tblCellMar>
            <w:top w:w="0" w:type="dxa"/>
            <w:bottom w:w="0" w:type="dxa"/>
          </w:tblCellMar>
        </w:tblPrEx>
        <w:tc>
          <w:tcPr>
            <w:tcW w:w="3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23DF027A"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3</w:t>
            </w:r>
          </w:p>
        </w:tc>
        <w:tc>
          <w:tcPr>
            <w:tcW w:w="19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3D6EBAF7" w14:textId="77777777" w:rsidR="00637F72" w:rsidRPr="008920B8" w:rsidRDefault="00000000">
            <w:pPr>
              <w:rPr>
                <w:rFonts w:ascii="Times New Roman" w:hAnsi="Times New Roman" w:cs="Times New Roman"/>
                <w:sz w:val="22"/>
                <w:szCs w:val="22"/>
              </w:rPr>
            </w:pPr>
            <w:hyperlink r:id="rId9" w:history="1">
              <w:r w:rsidRPr="008920B8">
                <w:rPr>
                  <w:rFonts w:ascii="Times New Roman" w:hAnsi="Times New Roman" w:cs="Times New Roman"/>
                  <w:color w:val="1155CC"/>
                  <w:sz w:val="22"/>
                  <w:szCs w:val="22"/>
                  <w:u w:val="single"/>
                </w:rPr>
                <w:t>Enhancing Network Intrusion Detection Using Graph Convolutional Networks Fused with Traditional Systems</w:t>
              </w:r>
            </w:hyperlink>
          </w:p>
          <w:p w14:paraId="5C077BDB" w14:textId="77777777" w:rsidR="00637F72" w:rsidRPr="008920B8" w:rsidRDefault="00000000">
            <w:pPr>
              <w:spacing w:before="30"/>
              <w:rPr>
                <w:rFonts w:ascii="Times New Roman" w:hAnsi="Times New Roman" w:cs="Times New Roman"/>
                <w:sz w:val="22"/>
                <w:szCs w:val="22"/>
              </w:rPr>
            </w:pPr>
            <w:r w:rsidRPr="008920B8">
              <w:rPr>
                <w:rFonts w:ascii="Times New Roman" w:hAnsi="Times New Roman" w:cs="Times New Roman"/>
                <w:i/>
                <w:iCs/>
                <w:color w:val="555555"/>
                <w:sz w:val="22"/>
                <w:szCs w:val="22"/>
              </w:rPr>
              <w:t>2025 · Int. J. Data Sci. Anal.</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26277081"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P. Ansah, C. John, S. K. </w:t>
            </w:r>
            <w:proofErr w:type="spellStart"/>
            <w:r w:rsidRPr="008920B8">
              <w:rPr>
                <w:rFonts w:ascii="Times New Roman" w:hAnsi="Times New Roman" w:cs="Times New Roman"/>
                <w:sz w:val="22"/>
                <w:szCs w:val="22"/>
              </w:rPr>
              <w:t>Tetarave</w:t>
            </w:r>
            <w:proofErr w:type="spellEnd"/>
            <w:r w:rsidRPr="008920B8">
              <w:rPr>
                <w:rFonts w:ascii="Times New Roman" w:hAnsi="Times New Roman" w:cs="Times New Roman"/>
                <w:sz w:val="22"/>
                <w:szCs w:val="22"/>
              </w:rPr>
              <w:t>, E. Kalaimannan</w:t>
            </w:r>
          </w:p>
        </w:tc>
        <w:tc>
          <w:tcPr>
            <w:tcW w:w="10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213C693"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UNSW-NB15</w:t>
            </w:r>
          </w:p>
        </w:tc>
        <w:tc>
          <w:tcPr>
            <w:tcW w:w="13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BB5DAB4"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Hybrid unsupervised + supervised intrusion detection</w:t>
            </w:r>
          </w:p>
        </w:tc>
        <w:tc>
          <w:tcPr>
            <w:tcW w:w="16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6A941B68"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GCN-Autoencoder (unsupervised) + GCN-</w:t>
            </w:r>
            <w:proofErr w:type="spellStart"/>
            <w:r w:rsidRPr="008920B8">
              <w:rPr>
                <w:rFonts w:ascii="Times New Roman" w:hAnsi="Times New Roman" w:cs="Times New Roman"/>
                <w:sz w:val="22"/>
                <w:szCs w:val="22"/>
              </w:rPr>
              <w:t>kNN</w:t>
            </w:r>
            <w:proofErr w:type="spellEnd"/>
            <w:r w:rsidRPr="008920B8">
              <w:rPr>
                <w:rFonts w:ascii="Times New Roman" w:hAnsi="Times New Roman" w:cs="Times New Roman"/>
                <w:sz w:val="22"/>
                <w:szCs w:val="22"/>
              </w:rPr>
              <w:t xml:space="preserve"> (supervised) two-model pipeline</w:t>
            </w:r>
          </w:p>
        </w:tc>
        <w:tc>
          <w:tcPr>
            <w:tcW w:w="9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4EEC53D3"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GCN</w:t>
            </w:r>
          </w:p>
        </w:tc>
        <w:tc>
          <w:tcPr>
            <w:tcW w:w="11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B58A6D5"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~98–99% accuracy</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730529C5"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Combines unsupervised anomaly detection with supervised classification; no manual feature engineering beyond graph build</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2820561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Multi-stage/complex pipeline; scalability not fully tested</w:t>
            </w:r>
          </w:p>
        </w:tc>
        <w:tc>
          <w:tcPr>
            <w:tcW w:w="12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7B937D01"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End-to-end GNN without manual feature engineering or hybrid pipelines</w:t>
            </w:r>
          </w:p>
        </w:tc>
        <w:tc>
          <w:tcPr>
            <w:tcW w:w="1598"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642F8898"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Direct precedent for GCN on UNSW-NB15 — our proposal targets their gap (a single end-to-end model)</w:t>
            </w:r>
          </w:p>
        </w:tc>
      </w:tr>
      <w:tr w:rsidR="00637F72" w:rsidRPr="008920B8" w14:paraId="26D4A99F" w14:textId="77777777">
        <w:tblPrEx>
          <w:tblCellMar>
            <w:top w:w="0" w:type="dxa"/>
            <w:bottom w:w="0" w:type="dxa"/>
          </w:tblCellMar>
        </w:tblPrEx>
        <w:tc>
          <w:tcPr>
            <w:tcW w:w="3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7ECA9AA1"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D9B025B" w14:textId="77777777" w:rsidR="00637F72" w:rsidRPr="008920B8" w:rsidRDefault="00000000">
            <w:pPr>
              <w:rPr>
                <w:rFonts w:ascii="Times New Roman" w:hAnsi="Times New Roman" w:cs="Times New Roman"/>
                <w:sz w:val="22"/>
                <w:szCs w:val="22"/>
              </w:rPr>
            </w:pPr>
            <w:hyperlink r:id="rId10" w:history="1">
              <w:r w:rsidRPr="008920B8">
                <w:rPr>
                  <w:rFonts w:ascii="Times New Roman" w:hAnsi="Times New Roman" w:cs="Times New Roman"/>
                  <w:color w:val="1155CC"/>
                  <w:sz w:val="22"/>
                  <w:szCs w:val="22"/>
                  <w:u w:val="single"/>
                </w:rPr>
                <w:t>Network Topology Security Analysis and Attack Detection Based on Graph Neural Networks</w:t>
              </w:r>
            </w:hyperlink>
          </w:p>
          <w:p w14:paraId="7EB63E3D" w14:textId="77777777" w:rsidR="00637F72" w:rsidRPr="008920B8" w:rsidRDefault="00000000">
            <w:pPr>
              <w:spacing w:before="30"/>
              <w:rPr>
                <w:rFonts w:ascii="Times New Roman" w:hAnsi="Times New Roman" w:cs="Times New Roman"/>
                <w:sz w:val="22"/>
                <w:szCs w:val="22"/>
              </w:rPr>
            </w:pPr>
            <w:r w:rsidRPr="008920B8">
              <w:rPr>
                <w:rFonts w:ascii="Times New Roman" w:hAnsi="Times New Roman" w:cs="Times New Roman"/>
                <w:i/>
                <w:iCs/>
                <w:color w:val="555555"/>
                <w:sz w:val="22"/>
                <w:szCs w:val="22"/>
              </w:rPr>
              <w:t>2026 · Discover Internet of Things</w:t>
            </w:r>
          </w:p>
        </w:tc>
        <w:tc>
          <w:tcPr>
            <w:tcW w:w="15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07E9A8E"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Z. Yang, M. Yang, Q. Yang</w:t>
            </w:r>
          </w:p>
        </w:tc>
        <w:tc>
          <w:tcPr>
            <w:tcW w:w="10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03FBFEC0"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UNSW-NB15, NSL-KDD</w:t>
            </w:r>
          </w:p>
        </w:tc>
        <w:tc>
          <w:tcPr>
            <w:tcW w:w="13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7568B1F6"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Network-topology-aware attack detection</w:t>
            </w:r>
          </w:p>
        </w:tc>
        <w:tc>
          <w:tcPr>
            <w:tcW w:w="16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4C801CA2"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Builds communication-topology graphs, applies GCN + GAT with attention over links</w:t>
            </w:r>
          </w:p>
        </w:tc>
        <w:tc>
          <w:tcPr>
            <w:tcW w:w="9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69D74CD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GCN + GAT</w:t>
            </w:r>
          </w:p>
        </w:tc>
        <w:tc>
          <w:tcPr>
            <w:tcW w:w="11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03ABB3B8"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~98–99% accuracy</w:t>
            </w:r>
          </w:p>
        </w:tc>
        <w:tc>
          <w:tcPr>
            <w:tcW w:w="15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6D1A44A0"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Topology-aware graph gives structural signal beyond row-wise features; attention flags important links</w:t>
            </w:r>
          </w:p>
        </w:tc>
        <w:tc>
          <w:tcPr>
            <w:tcW w:w="15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23C7A37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Performance depends heavily on graph-construction quality; limited cross-dataset validation</w:t>
            </w:r>
          </w:p>
        </w:tc>
        <w:tc>
          <w:tcPr>
            <w:tcW w:w="1200"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3CD6D11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Adaptive graph generation; broader benchmark validation</w:t>
            </w:r>
          </w:p>
        </w:tc>
        <w:tc>
          <w:tcPr>
            <w:tcW w:w="1598" w:type="dxa"/>
            <w:tcBorders>
              <w:top w:val="single" w:sz="4" w:space="0" w:color="BFBFBF"/>
              <w:left w:val="single" w:sz="4" w:space="0" w:color="BFBFBF"/>
              <w:bottom w:val="single" w:sz="4" w:space="0" w:color="BFBFBF"/>
              <w:right w:val="single" w:sz="4" w:space="0" w:color="BFBFBF"/>
            </w:tcBorders>
            <w:shd w:val="clear" w:color="auto" w:fill="F7F8F9"/>
            <w:tcMar>
              <w:top w:w="70" w:type="dxa"/>
              <w:left w:w="80" w:type="dxa"/>
              <w:bottom w:w="70" w:type="dxa"/>
              <w:right w:w="80" w:type="dxa"/>
            </w:tcMar>
          </w:tcPr>
          <w:p w14:paraId="1820366D"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Strongest precedent for our graph-construction choice (host/topology </w:t>
            </w:r>
            <w:proofErr w:type="gramStart"/>
            <w:r w:rsidRPr="008920B8">
              <w:rPr>
                <w:rFonts w:ascii="Times New Roman" w:hAnsi="Times New Roman" w:cs="Times New Roman"/>
                <w:sz w:val="22"/>
                <w:szCs w:val="22"/>
              </w:rPr>
              <w:t>edges) —</w:t>
            </w:r>
            <w:proofErr w:type="gramEnd"/>
            <w:r w:rsidRPr="008920B8">
              <w:rPr>
                <w:rFonts w:ascii="Times New Roman" w:hAnsi="Times New Roman" w:cs="Times New Roman"/>
                <w:sz w:val="22"/>
                <w:szCs w:val="22"/>
              </w:rPr>
              <w:t xml:space="preserve"> we add ablation to prove the graph helps, which this paper doesn't</w:t>
            </w:r>
          </w:p>
        </w:tc>
      </w:tr>
      <w:tr w:rsidR="00637F72" w:rsidRPr="008920B8" w14:paraId="66DB431A" w14:textId="77777777">
        <w:tblPrEx>
          <w:tblCellMar>
            <w:top w:w="0" w:type="dxa"/>
            <w:bottom w:w="0" w:type="dxa"/>
          </w:tblCellMar>
        </w:tblPrEx>
        <w:tc>
          <w:tcPr>
            <w:tcW w:w="3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477C112D"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5</w:t>
            </w:r>
          </w:p>
        </w:tc>
        <w:tc>
          <w:tcPr>
            <w:tcW w:w="19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7DABD212" w14:textId="77777777" w:rsidR="00637F72" w:rsidRPr="008920B8" w:rsidRDefault="00000000">
            <w:pPr>
              <w:rPr>
                <w:rFonts w:ascii="Times New Roman" w:hAnsi="Times New Roman" w:cs="Times New Roman"/>
                <w:sz w:val="22"/>
                <w:szCs w:val="22"/>
              </w:rPr>
            </w:pPr>
            <w:hyperlink r:id="rId11" w:history="1">
              <w:r w:rsidRPr="008920B8">
                <w:rPr>
                  <w:rFonts w:ascii="Times New Roman" w:hAnsi="Times New Roman" w:cs="Times New Roman"/>
                  <w:color w:val="1155CC"/>
                  <w:sz w:val="22"/>
                  <w:szCs w:val="22"/>
                  <w:u w:val="single"/>
                </w:rPr>
                <w:t xml:space="preserve">CAGN-GAT Fusion: A Hybrid Contrastive Attentive Graph Neural Network for Network </w:t>
              </w:r>
              <w:r w:rsidRPr="008920B8">
                <w:rPr>
                  <w:rFonts w:ascii="Times New Roman" w:hAnsi="Times New Roman" w:cs="Times New Roman"/>
                  <w:color w:val="1155CC"/>
                  <w:sz w:val="22"/>
                  <w:szCs w:val="22"/>
                  <w:u w:val="single"/>
                </w:rPr>
                <w:lastRenderedPageBreak/>
                <w:t>Intrusion Detection</w:t>
              </w:r>
            </w:hyperlink>
          </w:p>
          <w:p w14:paraId="43A6FDDE" w14:textId="77777777" w:rsidR="00637F72" w:rsidRPr="008920B8" w:rsidRDefault="00000000">
            <w:pPr>
              <w:spacing w:before="30"/>
              <w:rPr>
                <w:rFonts w:ascii="Times New Roman" w:hAnsi="Times New Roman" w:cs="Times New Roman"/>
                <w:sz w:val="22"/>
                <w:szCs w:val="22"/>
              </w:rPr>
            </w:pPr>
            <w:r w:rsidRPr="008920B8">
              <w:rPr>
                <w:rFonts w:ascii="Times New Roman" w:hAnsi="Times New Roman" w:cs="Times New Roman"/>
                <w:i/>
                <w:iCs/>
                <w:color w:val="555555"/>
                <w:sz w:val="22"/>
                <w:szCs w:val="22"/>
              </w:rPr>
              <w:t>2025 · IEA/AIE · arXiv:2503.00961</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7865F4E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 xml:space="preserve">M. A. Jahin, S. </w:t>
            </w:r>
            <w:proofErr w:type="spellStart"/>
            <w:r w:rsidRPr="008920B8">
              <w:rPr>
                <w:rFonts w:ascii="Times New Roman" w:hAnsi="Times New Roman" w:cs="Times New Roman"/>
                <w:sz w:val="22"/>
                <w:szCs w:val="22"/>
              </w:rPr>
              <w:t>Soudeep</w:t>
            </w:r>
            <w:proofErr w:type="spellEnd"/>
            <w:r w:rsidRPr="008920B8">
              <w:rPr>
                <w:rFonts w:ascii="Times New Roman" w:hAnsi="Times New Roman" w:cs="Times New Roman"/>
                <w:sz w:val="22"/>
                <w:szCs w:val="22"/>
              </w:rPr>
              <w:t xml:space="preserve">, F. Al Farid, M. F. Mridha, R. Kabir, M. R. </w:t>
            </w:r>
            <w:r w:rsidRPr="008920B8">
              <w:rPr>
                <w:rFonts w:ascii="Times New Roman" w:hAnsi="Times New Roman" w:cs="Times New Roman"/>
                <w:sz w:val="22"/>
                <w:szCs w:val="22"/>
              </w:rPr>
              <w:lastRenderedPageBreak/>
              <w:t>Islam, H. A. Karim</w:t>
            </w:r>
          </w:p>
        </w:tc>
        <w:tc>
          <w:tcPr>
            <w:tcW w:w="10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7A71382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 xml:space="preserve">KDD-CUP-1999, NSL-KDD, UNSW-NB15, </w:t>
            </w:r>
            <w:r w:rsidRPr="008920B8">
              <w:rPr>
                <w:rFonts w:ascii="Times New Roman" w:hAnsi="Times New Roman" w:cs="Times New Roman"/>
                <w:sz w:val="22"/>
                <w:szCs w:val="22"/>
              </w:rPr>
              <w:lastRenderedPageBreak/>
              <w:t>CICIDS2017</w:t>
            </w:r>
          </w:p>
        </w:tc>
        <w:tc>
          <w:tcPr>
            <w:tcW w:w="13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64842248"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Minority-class-focused intrusion detection</w:t>
            </w:r>
          </w:p>
        </w:tc>
        <w:tc>
          <w:tcPr>
            <w:tcW w:w="16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3C241693"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Graph Attention Network + contrastive learning for discriminative </w:t>
            </w:r>
            <w:r w:rsidRPr="008920B8">
              <w:rPr>
                <w:rFonts w:ascii="Times New Roman" w:hAnsi="Times New Roman" w:cs="Times New Roman"/>
                <w:sz w:val="22"/>
                <w:szCs w:val="22"/>
              </w:rPr>
              <w:lastRenderedPageBreak/>
              <w:t>node embeddings</w:t>
            </w:r>
          </w:p>
        </w:tc>
        <w:tc>
          <w:tcPr>
            <w:tcW w:w="9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4F82C6E4"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GAT + contrastive learning</w:t>
            </w:r>
          </w:p>
        </w:tc>
        <w:tc>
          <w:tcPr>
            <w:tcW w:w="11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6714E939"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~99% accuracy, improved F1 on minority classes</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28442C17"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Explicitly targets rare-attack-class performance — the exact concern </w:t>
            </w:r>
            <w:r w:rsidRPr="008920B8">
              <w:rPr>
                <w:rFonts w:ascii="Times New Roman" w:hAnsi="Times New Roman" w:cs="Times New Roman"/>
                <w:sz w:val="22"/>
                <w:szCs w:val="22"/>
              </w:rPr>
              <w:lastRenderedPageBreak/>
              <w:t>given UNSW-NB15's 400:1+ imbalance</w:t>
            </w:r>
          </w:p>
        </w:tc>
        <w:tc>
          <w:tcPr>
            <w:tcW w:w="15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5A5C35E9"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 xml:space="preserve">Higher training complexity; depends on contrastive-pair generation; </w:t>
            </w:r>
            <w:r w:rsidRPr="008920B8">
              <w:rPr>
                <w:rFonts w:ascii="Times New Roman" w:hAnsi="Times New Roman" w:cs="Times New Roman"/>
                <w:sz w:val="22"/>
                <w:szCs w:val="22"/>
              </w:rPr>
              <w:lastRenderedPageBreak/>
              <w:t>limited real-time evaluation</w:t>
            </w:r>
          </w:p>
        </w:tc>
        <w:tc>
          <w:tcPr>
            <w:tcW w:w="1200"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1E8D1765"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lastRenderedPageBreak/>
              <w:t>Simpler, efficient GNN that keeps minority-class strength</w:t>
            </w:r>
          </w:p>
        </w:tc>
        <w:tc>
          <w:tcPr>
            <w:tcW w:w="1598" w:type="dxa"/>
            <w:tcBorders>
              <w:top w:val="single" w:sz="4" w:space="0" w:color="BFBFBF"/>
              <w:left w:val="single" w:sz="4" w:space="0" w:color="BFBFBF"/>
              <w:bottom w:val="single" w:sz="4" w:space="0" w:color="BFBFBF"/>
              <w:right w:val="single" w:sz="4" w:space="0" w:color="BFBFBF"/>
            </w:tcBorders>
            <w:tcMar>
              <w:top w:w="70" w:type="dxa"/>
              <w:left w:w="80" w:type="dxa"/>
              <w:bottom w:w="70" w:type="dxa"/>
              <w:right w:w="80" w:type="dxa"/>
            </w:tcMar>
          </w:tcPr>
          <w:p w14:paraId="25C738D0" w14:textId="77777777" w:rsidR="00637F72" w:rsidRPr="008920B8" w:rsidRDefault="00000000">
            <w:pPr>
              <w:rPr>
                <w:rFonts w:ascii="Times New Roman" w:hAnsi="Times New Roman" w:cs="Times New Roman"/>
                <w:sz w:val="22"/>
                <w:szCs w:val="22"/>
              </w:rPr>
            </w:pPr>
            <w:r w:rsidRPr="008920B8">
              <w:rPr>
                <w:rFonts w:ascii="Times New Roman" w:hAnsi="Times New Roman" w:cs="Times New Roman"/>
                <w:sz w:val="22"/>
                <w:szCs w:val="22"/>
              </w:rPr>
              <w:t xml:space="preserve">Closest related work to our research gap — we adopt their </w:t>
            </w:r>
            <w:r w:rsidRPr="008920B8">
              <w:rPr>
                <w:rFonts w:ascii="Times New Roman" w:hAnsi="Times New Roman" w:cs="Times New Roman"/>
                <w:sz w:val="22"/>
                <w:szCs w:val="22"/>
              </w:rPr>
              <w:lastRenderedPageBreak/>
              <w:t>minority-class framing but add SHAP/LIME explainability, which they lack</w:t>
            </w:r>
          </w:p>
        </w:tc>
      </w:tr>
    </w:tbl>
    <w:p w14:paraId="04AA177D" w14:textId="77777777" w:rsidR="00637F72" w:rsidRPr="008920B8" w:rsidRDefault="00000000">
      <w:pPr>
        <w:pStyle w:val="Heading2"/>
        <w:pBdr>
          <w:bottom w:val="single" w:sz="6" w:space="4" w:color="BFBFBF"/>
        </w:pBdr>
        <w:spacing w:before="300" w:after="140"/>
        <w:rPr>
          <w:rFonts w:ascii="Times New Roman" w:hAnsi="Times New Roman" w:cs="Times New Roman"/>
        </w:rPr>
      </w:pPr>
      <w:r w:rsidRPr="008920B8">
        <w:rPr>
          <w:rFonts w:ascii="Times New Roman" w:hAnsi="Times New Roman" w:cs="Times New Roman"/>
          <w:b/>
          <w:bCs/>
          <w:color w:val="2E4057"/>
          <w:sz w:val="22"/>
          <w:szCs w:val="22"/>
        </w:rPr>
        <w:lastRenderedPageBreak/>
        <w:t>Common Gaps Across All Five Papers</w:t>
      </w:r>
    </w:p>
    <w:p w14:paraId="0C53BE20" w14:textId="77777777" w:rsidR="00637F72" w:rsidRPr="008920B8" w:rsidRDefault="00000000">
      <w:pPr>
        <w:spacing w:after="100" w:line="276" w:lineRule="auto"/>
        <w:rPr>
          <w:rFonts w:ascii="Times New Roman" w:hAnsi="Times New Roman" w:cs="Times New Roman"/>
          <w:sz w:val="22"/>
          <w:szCs w:val="22"/>
        </w:rPr>
      </w:pPr>
      <w:r w:rsidRPr="008920B8">
        <w:rPr>
          <w:rFonts w:ascii="Times New Roman" w:hAnsi="Times New Roman" w:cs="Times New Roman"/>
          <w:i/>
          <w:iCs/>
          <w:sz w:val="22"/>
          <w:szCs w:val="22"/>
        </w:rPr>
        <w:t>These gaps feed directly into our research-gap statement below.</w:t>
      </w:r>
    </w:p>
    <w:p w14:paraId="03B18F72" w14:textId="77777777" w:rsidR="00637F72" w:rsidRPr="008920B8" w:rsidRDefault="00000000">
      <w:pPr>
        <w:pStyle w:val="ListParagraph"/>
        <w:numPr>
          <w:ilvl w:val="0"/>
          <w:numId w:val="2"/>
        </w:numPr>
        <w:spacing w:after="120" w:line="264" w:lineRule="auto"/>
        <w:rPr>
          <w:rFonts w:ascii="Times New Roman" w:hAnsi="Times New Roman" w:cs="Times New Roman"/>
          <w:sz w:val="22"/>
          <w:szCs w:val="22"/>
        </w:rPr>
      </w:pPr>
      <w:r w:rsidRPr="008920B8">
        <w:rPr>
          <w:rFonts w:ascii="Times New Roman" w:hAnsi="Times New Roman" w:cs="Times New Roman"/>
          <w:sz w:val="22"/>
          <w:szCs w:val="22"/>
        </w:rPr>
        <w:t>Graph construction is manual and rarely ablated — none of the five prove the graph itself (versus a row-wise baseline) is what drives the gain.</w:t>
      </w:r>
    </w:p>
    <w:p w14:paraId="4DD8B645" w14:textId="77777777" w:rsidR="00637F72" w:rsidRPr="008920B8" w:rsidRDefault="00000000">
      <w:pPr>
        <w:pStyle w:val="ListParagraph"/>
        <w:numPr>
          <w:ilvl w:val="0"/>
          <w:numId w:val="2"/>
        </w:numPr>
        <w:spacing w:after="120" w:line="264" w:lineRule="auto"/>
        <w:rPr>
          <w:rFonts w:ascii="Times New Roman" w:hAnsi="Times New Roman" w:cs="Times New Roman"/>
          <w:sz w:val="22"/>
          <w:szCs w:val="22"/>
        </w:rPr>
      </w:pPr>
      <w:r w:rsidRPr="008920B8">
        <w:rPr>
          <w:rFonts w:ascii="Times New Roman" w:hAnsi="Times New Roman" w:cs="Times New Roman"/>
          <w:sz w:val="22"/>
          <w:szCs w:val="22"/>
        </w:rPr>
        <w:t>Accuracy-only reporting on an imbalanced dataset (400:1+ class ratio in UNSW-</w:t>
      </w:r>
      <w:proofErr w:type="gramStart"/>
      <w:r w:rsidRPr="008920B8">
        <w:rPr>
          <w:rFonts w:ascii="Times New Roman" w:hAnsi="Times New Roman" w:cs="Times New Roman"/>
          <w:sz w:val="22"/>
          <w:szCs w:val="22"/>
        </w:rPr>
        <w:t>NB15) —</w:t>
      </w:r>
      <w:proofErr w:type="gramEnd"/>
      <w:r w:rsidRPr="008920B8">
        <w:rPr>
          <w:rFonts w:ascii="Times New Roman" w:hAnsi="Times New Roman" w:cs="Times New Roman"/>
          <w:sz w:val="22"/>
          <w:szCs w:val="22"/>
        </w:rPr>
        <w:t xml:space="preserve"> macro-F1 and per-class recall are absent or secondary.</w:t>
      </w:r>
    </w:p>
    <w:p w14:paraId="0DD55534" w14:textId="77777777" w:rsidR="00637F72" w:rsidRPr="008920B8" w:rsidRDefault="00000000">
      <w:pPr>
        <w:pStyle w:val="ListParagraph"/>
        <w:numPr>
          <w:ilvl w:val="0"/>
          <w:numId w:val="2"/>
        </w:numPr>
        <w:spacing w:after="120" w:line="264" w:lineRule="auto"/>
        <w:rPr>
          <w:rFonts w:ascii="Times New Roman" w:hAnsi="Times New Roman" w:cs="Times New Roman"/>
          <w:sz w:val="22"/>
          <w:szCs w:val="22"/>
        </w:rPr>
      </w:pPr>
      <w:r w:rsidRPr="008920B8">
        <w:rPr>
          <w:rFonts w:ascii="Times New Roman" w:hAnsi="Times New Roman" w:cs="Times New Roman"/>
          <w:sz w:val="22"/>
          <w:szCs w:val="22"/>
        </w:rPr>
        <w:t>Explainability is largely absent — only relevant as attention weights (Papers 2, 4, 5); no SHAP/LIME/</w:t>
      </w:r>
      <w:proofErr w:type="spellStart"/>
      <w:r w:rsidRPr="008920B8">
        <w:rPr>
          <w:rFonts w:ascii="Times New Roman" w:hAnsi="Times New Roman" w:cs="Times New Roman"/>
          <w:sz w:val="22"/>
          <w:szCs w:val="22"/>
        </w:rPr>
        <w:t>GNNExplainer</w:t>
      </w:r>
      <w:proofErr w:type="spellEnd"/>
      <w:r w:rsidRPr="008920B8">
        <w:rPr>
          <w:rFonts w:ascii="Times New Roman" w:hAnsi="Times New Roman" w:cs="Times New Roman"/>
          <w:sz w:val="22"/>
          <w:szCs w:val="22"/>
        </w:rPr>
        <w:t>-level evidence of why a flow was flagged.</w:t>
      </w:r>
    </w:p>
    <w:p w14:paraId="4C326117" w14:textId="77777777" w:rsidR="00637F72" w:rsidRPr="008920B8" w:rsidRDefault="00000000">
      <w:pPr>
        <w:pStyle w:val="ListParagraph"/>
        <w:numPr>
          <w:ilvl w:val="0"/>
          <w:numId w:val="2"/>
        </w:numPr>
        <w:spacing w:after="120" w:line="264" w:lineRule="auto"/>
        <w:rPr>
          <w:rFonts w:ascii="Times New Roman" w:hAnsi="Times New Roman" w:cs="Times New Roman"/>
          <w:sz w:val="22"/>
          <w:szCs w:val="22"/>
        </w:rPr>
      </w:pPr>
      <w:r w:rsidRPr="008920B8">
        <w:rPr>
          <w:rFonts w:ascii="Times New Roman" w:hAnsi="Times New Roman" w:cs="Times New Roman"/>
          <w:sz w:val="22"/>
          <w:szCs w:val="22"/>
        </w:rPr>
        <w:t xml:space="preserve">Minority-class (rare attack) detection </w:t>
      </w:r>
      <w:proofErr w:type="gramStart"/>
      <w:r w:rsidRPr="008920B8">
        <w:rPr>
          <w:rFonts w:ascii="Times New Roman" w:hAnsi="Times New Roman" w:cs="Times New Roman"/>
          <w:sz w:val="22"/>
          <w:szCs w:val="22"/>
        </w:rPr>
        <w:t>stays</w:t>
      </w:r>
      <w:proofErr w:type="gramEnd"/>
      <w:r w:rsidRPr="008920B8">
        <w:rPr>
          <w:rFonts w:ascii="Times New Roman" w:hAnsi="Times New Roman" w:cs="Times New Roman"/>
          <w:sz w:val="22"/>
          <w:szCs w:val="22"/>
        </w:rPr>
        <w:t xml:space="preserve"> the hardest problem; Paper 5 is the only one that targets it directly.</w:t>
      </w:r>
    </w:p>
    <w:p w14:paraId="43C387D9" w14:textId="77777777" w:rsidR="00637F72" w:rsidRPr="008920B8" w:rsidRDefault="00000000">
      <w:pPr>
        <w:pStyle w:val="Heading2"/>
        <w:pBdr>
          <w:bottom w:val="single" w:sz="6" w:space="4" w:color="BFBFBF"/>
        </w:pBdr>
        <w:spacing w:before="300" w:after="140"/>
        <w:rPr>
          <w:rFonts w:ascii="Times New Roman" w:hAnsi="Times New Roman" w:cs="Times New Roman"/>
        </w:rPr>
      </w:pPr>
      <w:r w:rsidRPr="008920B8">
        <w:rPr>
          <w:rFonts w:ascii="Times New Roman" w:hAnsi="Times New Roman" w:cs="Times New Roman"/>
          <w:b/>
          <w:bCs/>
          <w:color w:val="2E4057"/>
          <w:sz w:val="22"/>
          <w:szCs w:val="22"/>
        </w:rPr>
        <w:t>Research Gap Statement</w:t>
      </w:r>
    </w:p>
    <w:p w14:paraId="3F3F572A" w14:textId="77777777" w:rsidR="00637F72" w:rsidRPr="008920B8" w:rsidRDefault="00000000">
      <w:pPr>
        <w:pBdr>
          <w:left w:val="single" w:sz="16" w:space="8" w:color="2E4057"/>
        </w:pBdr>
        <w:spacing w:before="60" w:after="80" w:line="276" w:lineRule="auto"/>
        <w:ind w:left="200"/>
        <w:rPr>
          <w:rFonts w:ascii="Times New Roman" w:hAnsi="Times New Roman" w:cs="Times New Roman"/>
          <w:sz w:val="22"/>
          <w:szCs w:val="22"/>
        </w:rPr>
      </w:pPr>
      <w:r w:rsidRPr="008920B8">
        <w:rPr>
          <w:rFonts w:ascii="Times New Roman" w:hAnsi="Times New Roman" w:cs="Times New Roman"/>
          <w:b/>
          <w:bCs/>
          <w:sz w:val="22"/>
          <w:szCs w:val="22"/>
        </w:rPr>
        <w:t xml:space="preserve">Our research gap: </w:t>
      </w:r>
      <w:r w:rsidRPr="008920B8">
        <w:rPr>
          <w:rFonts w:ascii="Times New Roman" w:hAnsi="Times New Roman" w:cs="Times New Roman"/>
          <w:sz w:val="22"/>
          <w:szCs w:val="22"/>
        </w:rPr>
        <w:t>a UNSW-NB15 flow graph built strictly after a host/time split (leakage-free, unlike the implicit assumption in Papers 1–4), evaluated by macro-F1 with 5-fold cross-validation and a McNemar significance test against our own best baseline, with an ablation proving the graph adds value over row-wise features, and SHAP and LIME explanations for one correct and one wrong prediction.</w:t>
      </w:r>
    </w:p>
    <w:sectPr w:rsidR="00637F72" w:rsidRPr="008920B8">
      <w:footerReference w:type="default" r:id="rId12"/>
      <w:pgSz w:w="16833" w:h="11908" w:orient="landscape"/>
      <w:pgMar w:top="620" w:right="560" w:bottom="620" w:left="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D69B9" w14:textId="77777777" w:rsidR="00BB0912" w:rsidRDefault="00BB0912">
      <w:r>
        <w:separator/>
      </w:r>
    </w:p>
  </w:endnote>
  <w:endnote w:type="continuationSeparator" w:id="0">
    <w:p w14:paraId="09F37D38" w14:textId="77777777" w:rsidR="00BB0912" w:rsidRDefault="00BB0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5FB6" w14:textId="59F99279" w:rsidR="00637F72" w:rsidRDefault="00637F72" w:rsidP="008920B8">
    <w:pPr>
      <w:pBdr>
        <w:top w:val="single" w:sz="4" w:space="4" w:color="BFBFBF"/>
      </w:pBdr>
      <w:tabs>
        <w:tab w:val="left" w:pos="68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A017" w14:textId="77777777" w:rsidR="00BB0912" w:rsidRDefault="00BB0912">
      <w:r>
        <w:separator/>
      </w:r>
    </w:p>
  </w:footnote>
  <w:footnote w:type="continuationSeparator" w:id="0">
    <w:p w14:paraId="787AB546" w14:textId="77777777" w:rsidR="00BB0912" w:rsidRDefault="00BB0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760D"/>
    <w:multiLevelType w:val="hybridMultilevel"/>
    <w:tmpl w:val="44C83222"/>
    <w:lvl w:ilvl="0" w:tplc="88A475AA">
      <w:start w:val="1"/>
      <w:numFmt w:val="decimal"/>
      <w:lvlText w:val="%1."/>
      <w:lvlJc w:val="left"/>
      <w:pPr>
        <w:ind w:left="420" w:hanging="260"/>
      </w:pPr>
    </w:lvl>
    <w:lvl w:ilvl="1" w:tplc="8C9E2DC6">
      <w:numFmt w:val="decimal"/>
      <w:lvlText w:val=""/>
      <w:lvlJc w:val="left"/>
    </w:lvl>
    <w:lvl w:ilvl="2" w:tplc="5CF46696">
      <w:numFmt w:val="decimal"/>
      <w:lvlText w:val=""/>
      <w:lvlJc w:val="left"/>
    </w:lvl>
    <w:lvl w:ilvl="3" w:tplc="0F24158A">
      <w:numFmt w:val="decimal"/>
      <w:lvlText w:val=""/>
      <w:lvlJc w:val="left"/>
    </w:lvl>
    <w:lvl w:ilvl="4" w:tplc="D696ECCC">
      <w:numFmt w:val="decimal"/>
      <w:lvlText w:val=""/>
      <w:lvlJc w:val="left"/>
    </w:lvl>
    <w:lvl w:ilvl="5" w:tplc="EC82BD00">
      <w:numFmt w:val="decimal"/>
      <w:lvlText w:val=""/>
      <w:lvlJc w:val="left"/>
    </w:lvl>
    <w:lvl w:ilvl="6" w:tplc="1B32D4A8">
      <w:numFmt w:val="decimal"/>
      <w:lvlText w:val=""/>
      <w:lvlJc w:val="left"/>
    </w:lvl>
    <w:lvl w:ilvl="7" w:tplc="D4846A3A">
      <w:numFmt w:val="decimal"/>
      <w:lvlText w:val=""/>
      <w:lvlJc w:val="left"/>
    </w:lvl>
    <w:lvl w:ilvl="8" w:tplc="D16CB002">
      <w:numFmt w:val="decimal"/>
      <w:lvlText w:val=""/>
      <w:lvlJc w:val="left"/>
    </w:lvl>
  </w:abstractNum>
  <w:abstractNum w:abstractNumId="1" w15:restartNumberingAfterBreak="0">
    <w:nsid w:val="66175AD8"/>
    <w:multiLevelType w:val="hybridMultilevel"/>
    <w:tmpl w:val="58A8B248"/>
    <w:lvl w:ilvl="0" w:tplc="E0EC7C6A">
      <w:start w:val="1"/>
      <w:numFmt w:val="bullet"/>
      <w:lvlText w:val="●"/>
      <w:lvlJc w:val="left"/>
      <w:pPr>
        <w:ind w:left="720" w:hanging="360"/>
      </w:pPr>
    </w:lvl>
    <w:lvl w:ilvl="1" w:tplc="5E3CADAA">
      <w:start w:val="1"/>
      <w:numFmt w:val="bullet"/>
      <w:lvlText w:val="○"/>
      <w:lvlJc w:val="left"/>
      <w:pPr>
        <w:ind w:left="1440" w:hanging="360"/>
      </w:pPr>
    </w:lvl>
    <w:lvl w:ilvl="2" w:tplc="EB967A9E">
      <w:start w:val="1"/>
      <w:numFmt w:val="bullet"/>
      <w:lvlText w:val="■"/>
      <w:lvlJc w:val="left"/>
      <w:pPr>
        <w:ind w:left="2160" w:hanging="360"/>
      </w:pPr>
    </w:lvl>
    <w:lvl w:ilvl="3" w:tplc="863C42B2">
      <w:start w:val="1"/>
      <w:numFmt w:val="bullet"/>
      <w:lvlText w:val="●"/>
      <w:lvlJc w:val="left"/>
      <w:pPr>
        <w:ind w:left="2880" w:hanging="360"/>
      </w:pPr>
    </w:lvl>
    <w:lvl w:ilvl="4" w:tplc="2976EAFE">
      <w:start w:val="1"/>
      <w:numFmt w:val="bullet"/>
      <w:lvlText w:val="○"/>
      <w:lvlJc w:val="left"/>
      <w:pPr>
        <w:ind w:left="3600" w:hanging="360"/>
      </w:pPr>
    </w:lvl>
    <w:lvl w:ilvl="5" w:tplc="BD46D56C">
      <w:start w:val="1"/>
      <w:numFmt w:val="bullet"/>
      <w:lvlText w:val="■"/>
      <w:lvlJc w:val="left"/>
      <w:pPr>
        <w:ind w:left="4320" w:hanging="360"/>
      </w:pPr>
    </w:lvl>
    <w:lvl w:ilvl="6" w:tplc="2C0AC6B4">
      <w:start w:val="1"/>
      <w:numFmt w:val="bullet"/>
      <w:lvlText w:val="●"/>
      <w:lvlJc w:val="left"/>
      <w:pPr>
        <w:ind w:left="5040" w:hanging="360"/>
      </w:pPr>
    </w:lvl>
    <w:lvl w:ilvl="7" w:tplc="A470CCC2">
      <w:start w:val="1"/>
      <w:numFmt w:val="bullet"/>
      <w:lvlText w:val="●"/>
      <w:lvlJc w:val="left"/>
      <w:pPr>
        <w:ind w:left="5760" w:hanging="360"/>
      </w:pPr>
    </w:lvl>
    <w:lvl w:ilvl="8" w:tplc="DCC2A97E">
      <w:start w:val="1"/>
      <w:numFmt w:val="bullet"/>
      <w:lvlText w:val="●"/>
      <w:lvlJc w:val="left"/>
      <w:pPr>
        <w:ind w:left="6480" w:hanging="360"/>
      </w:pPr>
    </w:lvl>
  </w:abstractNum>
  <w:num w:numId="1" w16cid:durableId="1279874924">
    <w:abstractNumId w:val="1"/>
    <w:lvlOverride w:ilvl="0">
      <w:startOverride w:val="1"/>
    </w:lvlOverride>
  </w:num>
  <w:num w:numId="2" w16cid:durableId="1623733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F72"/>
    <w:rsid w:val="005946C5"/>
    <w:rsid w:val="00637F72"/>
    <w:rsid w:val="008920B8"/>
    <w:rsid w:val="00BB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908C2"/>
  <w15:docId w15:val="{3DDD0035-5B00-4755-8263-311B76EB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20B8"/>
    <w:pPr>
      <w:tabs>
        <w:tab w:val="center" w:pos="4680"/>
        <w:tab w:val="right" w:pos="9360"/>
      </w:tabs>
    </w:pPr>
  </w:style>
  <w:style w:type="character" w:customStyle="1" w:styleId="HeaderChar">
    <w:name w:val="Header Char"/>
    <w:basedOn w:val="DefaultParagraphFont"/>
    <w:link w:val="Header"/>
    <w:uiPriority w:val="99"/>
    <w:rsid w:val="008920B8"/>
  </w:style>
  <w:style w:type="paragraph" w:styleId="Footer">
    <w:name w:val="footer"/>
    <w:basedOn w:val="Normal"/>
    <w:link w:val="FooterChar"/>
    <w:uiPriority w:val="99"/>
    <w:unhideWhenUsed/>
    <w:rsid w:val="008920B8"/>
    <w:pPr>
      <w:tabs>
        <w:tab w:val="center" w:pos="4680"/>
        <w:tab w:val="right" w:pos="9360"/>
      </w:tabs>
    </w:pPr>
  </w:style>
  <w:style w:type="character" w:customStyle="1" w:styleId="FooterChar">
    <w:name w:val="Footer Char"/>
    <w:basedOn w:val="DefaultParagraphFont"/>
    <w:link w:val="Footer"/>
    <w:uiPriority w:val="99"/>
    <w:rsid w:val="00892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dpi.com/2079-9292/15/8/173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103.1632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503.00961" TargetMode="External"/><Relationship Id="rId5" Type="http://schemas.openxmlformats.org/officeDocument/2006/relationships/footnotes" Target="footnotes.xml"/><Relationship Id="rId10" Type="http://schemas.openxmlformats.org/officeDocument/2006/relationships/hyperlink" Target="https://doi.org/10.1007/s43926-025-00277-4" TargetMode="External"/><Relationship Id="rId4" Type="http://schemas.openxmlformats.org/officeDocument/2006/relationships/webSettings" Target="webSettings.xml"/><Relationship Id="rId9" Type="http://schemas.openxmlformats.org/officeDocument/2006/relationships/hyperlink" Target="https://doi.org/10.1007/s41060-025-0092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Sheikh Hossain Bin Bakhtiar</cp:lastModifiedBy>
  <cp:revision>2</cp:revision>
  <dcterms:created xsi:type="dcterms:W3CDTF">2026-07-20T17:29:00Z</dcterms:created>
  <dcterms:modified xsi:type="dcterms:W3CDTF">2026-07-20T17:34:00Z</dcterms:modified>
</cp:coreProperties>
</file>