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Comparison with GTCN-G on UNSW-NB15</w:t>
      </w:r>
    </w:p>
    <w:p>
      <w:pPr>
        <w:jc w:val="center"/>
      </w:pPr>
      <w:r>
        <w:rPr>
          <w:sz w:val="24"/>
        </w:rPr>
        <w:t>Replicating the stated setup of one paper and comparing our results with it</w:t>
        <w:br/>
        <w:t>CSE475 group project</w:t>
      </w:r>
    </w:p>
    <w:p>
      <w:pPr>
        <w:pStyle w:val="Heading1"/>
      </w:pPr>
      <w:r>
        <w:t>1. Purpose and short answer</w:t>
      </w:r>
    </w:p>
    <w:p>
      <w:r>
        <w:rPr>
          <w:i w:val="0"/>
        </w:rPr>
        <w:t>We were asked to analyse one paper, GTCN-G (Xu, Wen, Zhao, Hu, Li and Liu, arXiv 2510.07285, a preprint submitted to IEEE TrustCom 2025; https://arxiv.org/abs/2510.07285), to replicate its split and strategy as closely as possible, and to see whether our results improve on it. This document compares our results with that paper only. Other related papers are in UNSW-NB15-Literature-Comparison.docx.</w:t>
      </w:r>
    </w:p>
    <w:p>
      <w:r>
        <w:rPr>
          <w:b/>
        </w:rPr>
        <w:t>Short answer:</w:t>
      </w:r>
      <w:r>
        <w:rPr>
          <w:i w:val="0"/>
        </w:rPr>
      </w:r>
    </w:p>
    <w:p>
      <w:pPr>
        <w:pStyle w:val="ListBullet"/>
        <w:spacing w:after="40"/>
      </w:pPr>
      <w:r>
        <w:t>On a 5:2:3 split built like the paper's, every model we trained scores a weighted F1 of 0.980 to 0.984. The paper reports 0.9512 for GTCN-G.</w:t>
      </w:r>
    </w:p>
    <w:p>
      <w:pPr>
        <w:pStyle w:val="ListBullet"/>
        <w:spacing w:after="40"/>
      </w:pPr>
      <w:r>
        <w:t>We cannot call this an improvement. We could not reproduce the paper's own baselines (our E-GraphSAGE-M style network scores 0.981, the paper reports 0.8934 for E-GraphSAGE-M), and a tree model with no graph scores the same as the graph models. The paper leaves out its preprocessing, the way the split was made, the loss and the optimizer, so the gap is probably a difference in setup and data (its UNSW-NB15 set has 700,001 flows, ours 2,042,340).</w:t>
      </w:r>
    </w:p>
    <w:p>
      <w:pPr>
        <w:pStyle w:val="ListBullet"/>
        <w:spacing w:after="40"/>
      </w:pPr>
      <w:r>
        <w:t>The paper reports F1 only (weighted F1 for the 10-class task). On macro F1, which counts every class equally, our best model reaches 0.667 and the network that mimics the paper's baseline reaches 0.581. Analysis and Backdoor stay low in every model.</w:t>
      </w:r>
    </w:p>
    <w:p>
      <w:pPr>
        <w:pStyle w:val="ListBullet"/>
        <w:spacing w:after="40"/>
      </w:pPr>
      <w:r>
        <w:t>In our experiments the graph gave no gain on this split.</w:t>
      </w:r>
    </w:p>
    <w:p>
      <w:pPr>
        <w:pStyle w:val="Heading1"/>
      </w:pPr>
      <w:r>
        <w:t>2. What the paper states</w:t>
      </w:r>
    </w:p>
    <w:p>
      <w:r>
        <w:rPr>
          <w:i w:val="0"/>
        </w:rPr>
        <w:t>The details below are from the PDF of arXiv version 3 (14 April 2026), read in full; the numbers in Table 1 of this document match its Table IV. The paper has no per-class scores (only confusion-matrix figures) and we found no code link.</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DCE6F1"/>
          </w:tcPr>
          <w:p>
            <w:pPr>
              <w:spacing w:after="20"/>
            </w:pPr>
            <w:r/>
            <w:r>
              <w:rPr>
                <w:b/>
                <w:sz w:val="20"/>
              </w:rPr>
              <w:t>Item</w:t>
            </w:r>
          </w:p>
        </w:tc>
        <w:tc>
          <w:tcPr>
            <w:tcW w:type="dxa" w:w="7488"/>
            <w:shd w:val="clear" w:color="auto" w:fill="DCE6F1"/>
          </w:tcPr>
          <w:p>
            <w:pPr>
              <w:spacing w:after="20"/>
            </w:pPr>
            <w:r/>
            <w:r>
              <w:rPr>
                <w:b/>
                <w:sz w:val="20"/>
              </w:rPr>
              <w:t>What the paper says</w:t>
            </w:r>
          </w:p>
        </w:tc>
      </w:tr>
      <w:tr>
        <w:tc>
          <w:tcPr>
            <w:tcW w:type="dxa" w:w="1872"/>
          </w:tcPr>
          <w:p>
            <w:pPr>
              <w:spacing w:after="20"/>
            </w:pPr>
            <w:r/>
            <w:r>
              <w:rPr>
                <w:sz w:val="20"/>
              </w:rPr>
              <w:t>Datasets</w:t>
            </w:r>
          </w:p>
        </w:tc>
        <w:tc>
          <w:tcPr>
            <w:tcW w:type="dxa" w:w="7488"/>
          </w:tcPr>
          <w:p>
            <w:pPr>
              <w:spacing w:after="20"/>
            </w:pPr>
            <w:r/>
            <w:r>
              <w:rPr>
                <w:sz w:val="20"/>
              </w:rPr>
              <w:t>UNSW-NB15 and ToN-IoT. For UNSW-NB15 'the full set of provided instances is used'; its Table I lists 700,001 examples, 43 features and 96.83% Normal. File names are not given.</w:t>
            </w:r>
          </w:p>
        </w:tc>
      </w:tr>
      <w:tr>
        <w:tc>
          <w:tcPr>
            <w:tcW w:type="dxa" w:w="1872"/>
          </w:tcPr>
          <w:p>
            <w:pPr>
              <w:spacing w:after="20"/>
            </w:pPr>
            <w:r/>
            <w:r>
              <w:rPr>
                <w:sz w:val="20"/>
              </w:rPr>
              <w:t>Class mix</w:t>
            </w:r>
          </w:p>
        </w:tc>
        <w:tc>
          <w:tcPr>
            <w:tcW w:type="dxa" w:w="7488"/>
          </w:tcPr>
          <w:p>
            <w:pPr>
              <w:spacing w:after="20"/>
            </w:pPr>
            <w:r/>
            <w:r>
              <w:rPr>
                <w:sz w:val="20"/>
              </w:rPr>
              <w:t>Table II, UNSW-NB15: Normal 96.83%, Generic 1.07, Exploits 0.773, Fuzzers 0.722, Reconnaissance 0.251, DoS 0.167, Backdoor 0.076, Analysis 0.075, Shellcode 0.032, Worms 0.003. By our calculation from these rounded percentages Worms is about 20 flows in all and about 6 in a 30% test set.</w:t>
            </w:r>
          </w:p>
        </w:tc>
      </w:tr>
      <w:tr>
        <w:tc>
          <w:tcPr>
            <w:tcW w:type="dxa" w:w="1872"/>
          </w:tcPr>
          <w:p>
            <w:pPr>
              <w:spacing w:after="20"/>
            </w:pPr>
            <w:r/>
            <w:r>
              <w:rPr>
                <w:sz w:val="20"/>
              </w:rPr>
              <w:t>Task</w:t>
            </w:r>
          </w:p>
        </w:tc>
        <w:tc>
          <w:tcPr>
            <w:tcW w:type="dxa" w:w="7488"/>
          </w:tcPr>
          <w:p>
            <w:pPr>
              <w:spacing w:after="20"/>
            </w:pPr>
            <w:r/>
            <w:r>
              <w:rPr>
                <w:sz w:val="20"/>
              </w:rPr>
              <w:t>10 classes (Normal and nine attack types) and a binary attack-or-not task.</w:t>
            </w:r>
          </w:p>
        </w:tc>
      </w:tr>
      <w:tr>
        <w:tc>
          <w:tcPr>
            <w:tcW w:type="dxa" w:w="1872"/>
          </w:tcPr>
          <w:p>
            <w:pPr>
              <w:spacing w:after="20"/>
            </w:pPr>
            <w:r/>
            <w:r>
              <w:rPr>
                <w:sz w:val="20"/>
              </w:rPr>
              <w:t>Split</w:t>
            </w:r>
          </w:p>
        </w:tc>
        <w:tc>
          <w:tcPr>
            <w:tcW w:type="dxa" w:w="7488"/>
          </w:tcPr>
          <w:p>
            <w:pPr>
              <w:spacing w:after="20"/>
            </w:pPr>
            <w:r/>
            <w:r>
              <w:rPr>
                <w:sz w:val="20"/>
              </w:rPr>
              <w:t>Train / validation / test = 5:2:3. Whether it is random, stratified or temporal is not stated.</w:t>
            </w:r>
          </w:p>
        </w:tc>
      </w:tr>
      <w:tr>
        <w:tc>
          <w:tcPr>
            <w:tcW w:type="dxa" w:w="1872"/>
          </w:tcPr>
          <w:p>
            <w:pPr>
              <w:spacing w:after="20"/>
            </w:pPr>
            <w:r/>
            <w:r>
              <w:rPr>
                <w:sz w:val="20"/>
              </w:rPr>
              <w:t>Preprocessing</w:t>
            </w:r>
          </w:p>
        </w:tc>
        <w:tc>
          <w:tcPr>
            <w:tcW w:type="dxa" w:w="7488"/>
          </w:tcPr>
          <w:p>
            <w:pPr>
              <w:spacing w:after="20"/>
            </w:pPr>
            <w:r/>
            <w:r>
              <w:rPr>
                <w:sz w:val="20"/>
              </w:rPr>
              <w:t>Not stated (duplicates, dropped columns, scaling, encoding).</w:t>
            </w:r>
          </w:p>
        </w:tc>
      </w:tr>
      <w:tr>
        <w:tc>
          <w:tcPr>
            <w:tcW w:type="dxa" w:w="1872"/>
          </w:tcPr>
          <w:p>
            <w:pPr>
              <w:spacing w:after="20"/>
            </w:pPr>
            <w:r/>
            <w:r>
              <w:rPr>
                <w:sz w:val="20"/>
              </w:rPr>
              <w:t>Graph</w:t>
            </w:r>
          </w:p>
        </w:tc>
        <w:tc>
          <w:tcPr>
            <w:tcW w:type="dxa" w:w="7488"/>
          </w:tcPr>
          <w:p>
            <w:pPr>
              <w:spacing w:after="20"/>
            </w:pPr>
            <w:r/>
            <w:r>
              <w:rPr>
                <w:sz w:val="20"/>
              </w:rPr>
              <w:t>Nodes are endpoints (IP address and port); a flow between two endpoints is an edge. The bipartite graph is turned into a line graph so that flows become nodes; virtual nodes are added when the two sides differ in size.</w:t>
            </w:r>
          </w:p>
        </w:tc>
      </w:tr>
      <w:tr>
        <w:tc>
          <w:tcPr>
            <w:tcW w:type="dxa" w:w="1872"/>
          </w:tcPr>
          <w:p>
            <w:pPr>
              <w:spacing w:after="20"/>
            </w:pPr>
            <w:r/>
            <w:r>
              <w:rPr>
                <w:sz w:val="20"/>
              </w:rPr>
              <w:t>GTCN-G</w:t>
            </w:r>
          </w:p>
        </w:tc>
        <w:tc>
          <w:tcPr>
            <w:tcW w:type="dxa" w:w="7488"/>
          </w:tcPr>
          <w:p>
            <w:pPr>
              <w:spacing w:after="20"/>
            </w:pPr>
            <w:r/>
            <w:r>
              <w:rPr>
                <w:sz w:val="20"/>
              </w:rPr>
              <w:t>A residual graph-temporal fusion network: gated temporal convolution with graph convolution and a 6-head attention (attention dropout 0.5). The number of layers was tuned on validation but its value is not given, and how the temporal input sequences are built from the flows is not described.</w:t>
            </w:r>
          </w:p>
        </w:tc>
      </w:tr>
      <w:tr>
        <w:tc>
          <w:tcPr>
            <w:tcW w:type="dxa" w:w="1872"/>
          </w:tcPr>
          <w:p>
            <w:pPr>
              <w:spacing w:after="20"/>
            </w:pPr>
            <w:r/>
            <w:r>
              <w:rPr>
                <w:sz w:val="20"/>
              </w:rPr>
              <w:t>Training</w:t>
            </w:r>
          </w:p>
        </w:tc>
        <w:tc>
          <w:tcPr>
            <w:tcW w:type="dxa" w:w="7488"/>
          </w:tcPr>
          <w:p>
            <w:pPr>
              <w:spacing w:after="20"/>
            </w:pPr>
            <w:r/>
            <w:r>
              <w:rPr>
                <w:sz w:val="20"/>
              </w:rPr>
              <w:t>10 epochs, mini-batches of 500, learning rate 0.007 for UNSW-NB15 (0.01 for ToN-IoT), given in the settings shared by all models ('learning rates were optimized on the validation set'). Optimizer, loss and class weighting are not stated.</w:t>
            </w:r>
          </w:p>
        </w:tc>
      </w:tr>
      <w:tr>
        <w:tc>
          <w:tcPr>
            <w:tcW w:type="dxa" w:w="1872"/>
          </w:tcPr>
          <w:p>
            <w:pPr>
              <w:spacing w:after="20"/>
            </w:pPr>
            <w:r/>
            <w:r>
              <w:rPr>
                <w:sz w:val="20"/>
              </w:rPr>
              <w:t>Baselines</w:t>
            </w:r>
          </w:p>
        </w:tc>
        <w:tc>
          <w:tcPr>
            <w:tcW w:type="dxa" w:w="7488"/>
          </w:tcPr>
          <w:p>
            <w:pPr>
              <w:spacing w:after="20"/>
            </w:pPr>
            <w:r/>
            <w:r>
              <w:rPr>
                <w:sz w:val="20"/>
              </w:rPr>
              <w:t>E-GraphSAGE (original), E-GraphSAGE-M (mini-batch version: two layers, mean aggregator, ReLU, 2-hop sampling with 8 neighbours per hop) and GAT, run on the same split. GAT is described as a standard GAT used to ablate the residual connections. Their hyperparameters are not fully given, and it is not clear whether the paper's E-GraphSAGE-M includes the paper's own modification (adding the flow's original features to the final edge embedding, its Eq. 4). No tree models and no network without the graph are among them.</w:t>
            </w:r>
          </w:p>
        </w:tc>
      </w:tr>
      <w:tr>
        <w:tc>
          <w:tcPr>
            <w:tcW w:type="dxa" w:w="1872"/>
          </w:tcPr>
          <w:p>
            <w:pPr>
              <w:spacing w:after="20"/>
            </w:pPr>
            <w:r/>
            <w:r>
              <w:rPr>
                <w:sz w:val="20"/>
              </w:rPr>
              <w:t>Metric</w:t>
            </w:r>
          </w:p>
        </w:tc>
        <w:tc>
          <w:tcPr>
            <w:tcW w:type="dxa" w:w="7488"/>
          </w:tcPr>
          <w:p>
            <w:pPr>
              <w:spacing w:after="20"/>
            </w:pPr>
            <w:r/>
            <w:r>
              <w:rPr>
                <w:sz w:val="20"/>
              </w:rPr>
              <w:t>F1. For the 10-class task it states weighted F1. For the binary task it says only 'F1-score' and defines TP as attacks correctly classified, which suggests F1 of the attack class; the averaging is not stated.</w:t>
            </w:r>
          </w:p>
        </w:tc>
      </w:tr>
      <w:tr>
        <w:tc>
          <w:tcPr>
            <w:tcW w:type="dxa" w:w="1872"/>
          </w:tcPr>
          <w:p>
            <w:pPr>
              <w:spacing w:after="20"/>
            </w:pPr>
            <w:r/>
            <w:r>
              <w:rPr>
                <w:sz w:val="20"/>
              </w:rPr>
              <w:t>Code</w:t>
            </w:r>
          </w:p>
        </w:tc>
        <w:tc>
          <w:tcPr>
            <w:tcW w:type="dxa" w:w="7488"/>
          </w:tcPr>
          <w:p>
            <w:pPr>
              <w:spacing w:after="20"/>
            </w:pPr>
            <w:r/>
            <w:r>
              <w:rPr>
                <w:sz w:val="20"/>
              </w:rPr>
              <w:t>No link found.</w:t>
            </w:r>
          </w:p>
        </w:tc>
      </w:tr>
    </w:tbl>
    <w:p>
      <w:pPr>
        <w:spacing w:after="40"/>
      </w:pPr>
    </w:p>
    <w:p>
      <w:r>
        <w:rPr>
          <w:i/>
        </w:rPr>
        <w:t>Table 1. Weighted F1 on UNSW-NB15 as reported in the paper (Table IV there).</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DCE6F1"/>
          </w:tcPr>
          <w:p>
            <w:pPr>
              <w:spacing w:after="20"/>
            </w:pPr>
            <w:r/>
            <w:r>
              <w:rPr>
                <w:b/>
                <w:sz w:val="20"/>
              </w:rPr>
              <w:t>Model</w:t>
            </w:r>
          </w:p>
        </w:tc>
        <w:tc>
          <w:tcPr>
            <w:tcW w:type="dxa" w:w="2016"/>
            <w:shd w:val="clear" w:color="auto" w:fill="DCE6F1"/>
          </w:tcPr>
          <w:p>
            <w:pPr>
              <w:spacing w:after="20"/>
            </w:pPr>
            <w:r/>
            <w:r>
              <w:rPr>
                <w:b/>
                <w:sz w:val="20"/>
              </w:rPr>
              <w:t>Binary</w:t>
            </w:r>
          </w:p>
        </w:tc>
        <w:tc>
          <w:tcPr>
            <w:tcW w:type="dxa" w:w="2016"/>
            <w:shd w:val="clear" w:color="auto" w:fill="DCE6F1"/>
          </w:tcPr>
          <w:p>
            <w:pPr>
              <w:spacing w:after="20"/>
            </w:pPr>
            <w:r/>
            <w:r>
              <w:rPr>
                <w:b/>
                <w:sz w:val="20"/>
              </w:rPr>
              <w:t>10 classes</w:t>
            </w:r>
          </w:p>
        </w:tc>
      </w:tr>
      <w:tr>
        <w:tc>
          <w:tcPr>
            <w:tcW w:type="dxa" w:w="3456"/>
          </w:tcPr>
          <w:p>
            <w:pPr>
              <w:spacing w:after="20"/>
            </w:pPr>
            <w:r/>
            <w:r>
              <w:rPr>
                <w:sz w:val="20"/>
              </w:rPr>
              <w:t>E-GraphSAGE</w:t>
            </w:r>
          </w:p>
        </w:tc>
        <w:tc>
          <w:tcPr>
            <w:tcW w:type="dxa" w:w="2016"/>
          </w:tcPr>
          <w:p>
            <w:pPr>
              <w:spacing w:after="20"/>
            </w:pPr>
            <w:r/>
            <w:r>
              <w:rPr>
                <w:sz w:val="20"/>
              </w:rPr>
              <w:t>0.9023</w:t>
            </w:r>
          </w:p>
        </w:tc>
        <w:tc>
          <w:tcPr>
            <w:tcW w:type="dxa" w:w="2016"/>
          </w:tcPr>
          <w:p>
            <w:pPr>
              <w:spacing w:after="20"/>
            </w:pPr>
            <w:r/>
            <w:r>
              <w:rPr>
                <w:sz w:val="20"/>
              </w:rPr>
              <w:t>0.8756</w:t>
            </w:r>
          </w:p>
        </w:tc>
      </w:tr>
      <w:tr>
        <w:tc>
          <w:tcPr>
            <w:tcW w:type="dxa" w:w="3456"/>
          </w:tcPr>
          <w:p>
            <w:pPr>
              <w:spacing w:after="20"/>
            </w:pPr>
            <w:r/>
            <w:r>
              <w:rPr>
                <w:sz w:val="20"/>
              </w:rPr>
              <w:t>E-GraphSAGE-M</w:t>
            </w:r>
          </w:p>
        </w:tc>
        <w:tc>
          <w:tcPr>
            <w:tcW w:type="dxa" w:w="2016"/>
          </w:tcPr>
          <w:p>
            <w:pPr>
              <w:spacing w:after="20"/>
            </w:pPr>
            <w:r/>
            <w:r>
              <w:rPr>
                <w:sz w:val="20"/>
              </w:rPr>
              <w:t>0.9234</w:t>
            </w:r>
          </w:p>
        </w:tc>
        <w:tc>
          <w:tcPr>
            <w:tcW w:type="dxa" w:w="2016"/>
          </w:tcPr>
          <w:p>
            <w:pPr>
              <w:spacing w:after="20"/>
            </w:pPr>
            <w:r/>
            <w:r>
              <w:rPr>
                <w:sz w:val="20"/>
              </w:rPr>
              <w:t>0.8934</w:t>
            </w:r>
          </w:p>
        </w:tc>
      </w:tr>
      <w:tr>
        <w:tc>
          <w:tcPr>
            <w:tcW w:type="dxa" w:w="3456"/>
          </w:tcPr>
          <w:p>
            <w:pPr>
              <w:spacing w:after="20"/>
            </w:pPr>
            <w:r/>
            <w:r>
              <w:rPr>
                <w:sz w:val="20"/>
              </w:rPr>
              <w:t>GAT</w:t>
            </w:r>
          </w:p>
        </w:tc>
        <w:tc>
          <w:tcPr>
            <w:tcW w:type="dxa" w:w="2016"/>
          </w:tcPr>
          <w:p>
            <w:pPr>
              <w:spacing w:after="20"/>
            </w:pPr>
            <w:r/>
            <w:r>
              <w:rPr>
                <w:sz w:val="20"/>
              </w:rPr>
              <w:t>0.9456</w:t>
            </w:r>
          </w:p>
        </w:tc>
        <w:tc>
          <w:tcPr>
            <w:tcW w:type="dxa" w:w="2016"/>
          </w:tcPr>
          <w:p>
            <w:pPr>
              <w:spacing w:after="20"/>
            </w:pPr>
            <w:r/>
            <w:r>
              <w:rPr>
                <w:sz w:val="20"/>
              </w:rPr>
              <w:t>0.9178</w:t>
            </w:r>
          </w:p>
        </w:tc>
      </w:tr>
      <w:tr>
        <w:tc>
          <w:tcPr>
            <w:tcW w:type="dxa" w:w="3456"/>
          </w:tcPr>
          <w:p>
            <w:pPr>
              <w:spacing w:after="20"/>
            </w:pPr>
            <w:r/>
            <w:r>
              <w:rPr>
                <w:b/>
                <w:sz w:val="20"/>
              </w:rPr>
              <w:t>GTCN-G</w:t>
            </w:r>
          </w:p>
        </w:tc>
        <w:tc>
          <w:tcPr>
            <w:tcW w:type="dxa" w:w="2016"/>
          </w:tcPr>
          <w:p>
            <w:pPr>
              <w:spacing w:after="20"/>
            </w:pPr>
            <w:r/>
            <w:r>
              <w:rPr>
                <w:b/>
                <w:sz w:val="20"/>
              </w:rPr>
              <w:t>0.9689</w:t>
            </w:r>
          </w:p>
        </w:tc>
        <w:tc>
          <w:tcPr>
            <w:tcW w:type="dxa" w:w="2016"/>
          </w:tcPr>
          <w:p>
            <w:pPr>
              <w:spacing w:after="20"/>
            </w:pPr>
            <w:r/>
            <w:r>
              <w:rPr>
                <w:b/>
                <w:sz w:val="20"/>
              </w:rPr>
              <w:t>0.9512</w:t>
            </w:r>
          </w:p>
        </w:tc>
      </w:tr>
    </w:tbl>
    <w:p>
      <w:pPr>
        <w:spacing w:after="40"/>
      </w:pPr>
    </w:p>
    <w:p>
      <w:pPr>
        <w:pStyle w:val="Heading1"/>
      </w:pPr>
      <w:r>
        <w:t>3. How closely we matched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CE6F1"/>
          </w:tcPr>
          <w:p>
            <w:pPr>
              <w:spacing w:after="20"/>
            </w:pPr>
            <w:r/>
            <w:r>
              <w:rPr>
                <w:b/>
                <w:sz w:val="20"/>
              </w:rPr>
              <w:t>Item</w:t>
            </w:r>
          </w:p>
        </w:tc>
        <w:tc>
          <w:tcPr>
            <w:tcW w:type="dxa" w:w="2592"/>
            <w:shd w:val="clear" w:color="auto" w:fill="DCE6F1"/>
          </w:tcPr>
          <w:p>
            <w:pPr>
              <w:spacing w:after="20"/>
            </w:pPr>
            <w:r/>
            <w:r>
              <w:rPr>
                <w:b/>
                <w:sz w:val="20"/>
              </w:rPr>
              <w:t>Paper</w:t>
            </w:r>
          </w:p>
        </w:tc>
        <w:tc>
          <w:tcPr>
            <w:tcW w:type="dxa" w:w="3744"/>
            <w:shd w:val="clear" w:color="auto" w:fill="DCE6F1"/>
          </w:tcPr>
          <w:p>
            <w:pPr>
              <w:spacing w:after="20"/>
            </w:pPr>
            <w:r/>
            <w:r>
              <w:rPr>
                <w:b/>
                <w:sz w:val="20"/>
              </w:rPr>
              <w:t>Ours</w:t>
            </w:r>
          </w:p>
        </w:tc>
        <w:tc>
          <w:tcPr>
            <w:tcW w:type="dxa" w:w="1440"/>
            <w:shd w:val="clear" w:color="auto" w:fill="DCE6F1"/>
          </w:tcPr>
          <w:p>
            <w:pPr>
              <w:spacing w:after="20"/>
            </w:pPr>
            <w:r/>
            <w:r>
              <w:rPr>
                <w:b/>
                <w:sz w:val="20"/>
              </w:rPr>
              <w:t>Match</w:t>
            </w:r>
          </w:p>
        </w:tc>
      </w:tr>
      <w:tr>
        <w:tc>
          <w:tcPr>
            <w:tcW w:type="dxa" w:w="1728"/>
          </w:tcPr>
          <w:p>
            <w:pPr>
              <w:spacing w:after="20"/>
            </w:pPr>
            <w:r/>
            <w:r>
              <w:rPr>
                <w:sz w:val="20"/>
              </w:rPr>
              <w:t>Dataset</w:t>
            </w:r>
          </w:p>
        </w:tc>
        <w:tc>
          <w:tcPr>
            <w:tcW w:type="dxa" w:w="2592"/>
          </w:tcPr>
          <w:p>
            <w:pPr>
              <w:spacing w:after="20"/>
            </w:pPr>
            <w:r/>
            <w:r>
              <w:rPr>
                <w:sz w:val="20"/>
              </w:rPr>
              <w:t>UNSW-NB15, 700,001 examples, 43 features, 96.83% Normal (Table I)</w:t>
            </w:r>
          </w:p>
        </w:tc>
        <w:tc>
          <w:tcPr>
            <w:tcW w:type="dxa" w:w="3744"/>
          </w:tcPr>
          <w:p>
            <w:pPr>
              <w:spacing w:after="20"/>
            </w:pPr>
            <w:r/>
            <w:r>
              <w:rPr>
                <w:sz w:val="20"/>
              </w:rPr>
              <w:t>UNSW-NB15 with duplicates removed (2,042,340 of 2,540,047 flows), 45 selected features, Normal 95.4% of the test set</w:t>
            </w:r>
          </w:p>
        </w:tc>
        <w:tc>
          <w:tcPr>
            <w:tcW w:type="dxa" w:w="1440"/>
          </w:tcPr>
          <w:p>
            <w:pPr>
              <w:spacing w:after="20"/>
            </w:pPr>
            <w:r/>
            <w:r>
              <w:rPr>
                <w:sz w:val="20"/>
              </w:rPr>
              <w:t>Different size and class mix</w:t>
            </w:r>
          </w:p>
        </w:tc>
      </w:tr>
      <w:tr>
        <w:tc>
          <w:tcPr>
            <w:tcW w:type="dxa" w:w="1728"/>
          </w:tcPr>
          <w:p>
            <w:pPr>
              <w:spacing w:after="20"/>
            </w:pPr>
            <w:r/>
            <w:r>
              <w:rPr>
                <w:sz w:val="20"/>
              </w:rPr>
              <w:t>Classes</w:t>
            </w:r>
          </w:p>
        </w:tc>
        <w:tc>
          <w:tcPr>
            <w:tcW w:type="dxa" w:w="2592"/>
          </w:tcPr>
          <w:p>
            <w:pPr>
              <w:spacing w:after="20"/>
            </w:pPr>
            <w:r/>
            <w:r>
              <w:rPr>
                <w:sz w:val="20"/>
              </w:rPr>
              <w:t>10</w:t>
            </w:r>
          </w:p>
        </w:tc>
        <w:tc>
          <w:tcPr>
            <w:tcW w:type="dxa" w:w="3744"/>
          </w:tcPr>
          <w:p>
            <w:pPr>
              <w:spacing w:after="20"/>
            </w:pPr>
            <w:r/>
            <w:r>
              <w:rPr>
                <w:sz w:val="20"/>
              </w:rPr>
              <w:t>10</w:t>
            </w:r>
          </w:p>
        </w:tc>
        <w:tc>
          <w:tcPr>
            <w:tcW w:type="dxa" w:w="1440"/>
          </w:tcPr>
          <w:p>
            <w:pPr>
              <w:spacing w:after="20"/>
            </w:pPr>
            <w:r/>
            <w:r>
              <w:rPr>
                <w:sz w:val="20"/>
              </w:rPr>
              <w:t>Same</w:t>
            </w:r>
          </w:p>
        </w:tc>
      </w:tr>
      <w:tr>
        <w:tc>
          <w:tcPr>
            <w:tcW w:type="dxa" w:w="1728"/>
          </w:tcPr>
          <w:p>
            <w:pPr>
              <w:spacing w:after="20"/>
            </w:pPr>
            <w:r/>
            <w:r>
              <w:rPr>
                <w:sz w:val="20"/>
              </w:rPr>
              <w:t>Split</w:t>
            </w:r>
          </w:p>
        </w:tc>
        <w:tc>
          <w:tcPr>
            <w:tcW w:type="dxa" w:w="2592"/>
          </w:tcPr>
          <w:p>
            <w:pPr>
              <w:spacing w:after="20"/>
            </w:pPr>
            <w:r/>
            <w:r>
              <w:rPr>
                <w:sz w:val="20"/>
              </w:rPr>
              <w:t>5:2:3</w:t>
            </w:r>
          </w:p>
        </w:tc>
        <w:tc>
          <w:tcPr>
            <w:tcW w:type="dxa" w:w="3744"/>
          </w:tcPr>
          <w:p>
            <w:pPr>
              <w:spacing w:after="20"/>
            </w:pPr>
            <w:r/>
            <w:r>
              <w:rPr>
                <w:sz w:val="20"/>
              </w:rPr>
              <w:t>50% / 20% / 30%, stratified random (1,021,170 / 408,468 / 612,702 flows)</w:t>
            </w:r>
          </w:p>
        </w:tc>
        <w:tc>
          <w:tcPr>
            <w:tcW w:type="dxa" w:w="1440"/>
          </w:tcPr>
          <w:p>
            <w:pPr>
              <w:spacing w:after="20"/>
            </w:pPr>
            <w:r/>
            <w:r>
              <w:rPr>
                <w:sz w:val="20"/>
              </w:rPr>
              <w:t>Ratio same; paper's method unknown</w:t>
            </w:r>
          </w:p>
        </w:tc>
      </w:tr>
      <w:tr>
        <w:tc>
          <w:tcPr>
            <w:tcW w:type="dxa" w:w="1728"/>
          </w:tcPr>
          <w:p>
            <w:pPr>
              <w:spacing w:after="20"/>
            </w:pPr>
            <w:r/>
            <w:r>
              <w:rPr>
                <w:sz w:val="20"/>
              </w:rPr>
              <w:t>Graph</w:t>
            </w:r>
          </w:p>
        </w:tc>
        <w:tc>
          <w:tcPr>
            <w:tcW w:type="dxa" w:w="2592"/>
          </w:tcPr>
          <w:p>
            <w:pPr>
              <w:spacing w:after="20"/>
            </w:pPr>
            <w:r/>
            <w:r>
              <w:rPr>
                <w:sz w:val="20"/>
              </w:rPr>
              <w:t>(IP, port) nodes, flows as edges</w:t>
            </w:r>
          </w:p>
        </w:tc>
        <w:tc>
          <w:tcPr>
            <w:tcW w:type="dxa" w:w="3744"/>
          </w:tcPr>
          <w:p>
            <w:pPr>
              <w:spacing w:after="20"/>
            </w:pPr>
            <w:r/>
            <w:r>
              <w:rPr>
                <w:sz w:val="20"/>
              </w:rPr>
              <w:t>(IP, port) nodes, flows as edges; a separate graph for each split</w:t>
            </w:r>
          </w:p>
        </w:tc>
        <w:tc>
          <w:tcPr>
            <w:tcW w:type="dxa" w:w="1440"/>
          </w:tcPr>
          <w:p>
            <w:pPr>
              <w:spacing w:after="20"/>
            </w:pPr>
            <w:r/>
            <w:r>
              <w:rPr>
                <w:sz w:val="20"/>
              </w:rPr>
              <w:t>Same for the baseline family</w:t>
            </w:r>
          </w:p>
        </w:tc>
      </w:tr>
      <w:tr>
        <w:tc>
          <w:tcPr>
            <w:tcW w:type="dxa" w:w="1728"/>
          </w:tcPr>
          <w:p>
            <w:pPr>
              <w:spacing w:after="20"/>
            </w:pPr>
            <w:r/>
            <w:r>
              <w:rPr>
                <w:sz w:val="20"/>
              </w:rPr>
              <w:t>Baseline network</w:t>
            </w:r>
          </w:p>
        </w:tc>
        <w:tc>
          <w:tcPr>
            <w:tcW w:type="dxa" w:w="2592"/>
          </w:tcPr>
          <w:p>
            <w:pPr>
              <w:spacing w:after="20"/>
            </w:pPr>
            <w:r/>
            <w:r>
              <w:rPr>
                <w:sz w:val="20"/>
              </w:rPr>
              <w:t>E-GraphSAGE-M: 2 layers, mean aggregator, ReLU, 8 neighbours per hop</w:t>
            </w:r>
          </w:p>
        </w:tc>
        <w:tc>
          <w:tcPr>
            <w:tcW w:type="dxa" w:w="3744"/>
          </w:tcPr>
          <w:p>
            <w:pPr>
              <w:spacing w:after="20"/>
            </w:pPr>
            <w:r/>
            <w:r>
              <w:rPr>
                <w:sz w:val="20"/>
              </w:rPr>
              <w:t>The same design, 128 hidden units, dropout 0.2</w:t>
            </w:r>
          </w:p>
        </w:tc>
        <w:tc>
          <w:tcPr>
            <w:tcW w:type="dxa" w:w="1440"/>
          </w:tcPr>
          <w:p>
            <w:pPr>
              <w:spacing w:after="20"/>
            </w:pPr>
            <w:r/>
            <w:r>
              <w:rPr>
                <w:sz w:val="20"/>
              </w:rPr>
              <w:t>Same as stated</w:t>
            </w:r>
          </w:p>
        </w:tc>
      </w:tr>
      <w:tr>
        <w:tc>
          <w:tcPr>
            <w:tcW w:type="dxa" w:w="1728"/>
          </w:tcPr>
          <w:p>
            <w:pPr>
              <w:spacing w:after="20"/>
            </w:pPr>
            <w:r/>
            <w:r>
              <w:rPr>
                <w:sz w:val="20"/>
              </w:rPr>
              <w:t>Epochs and batch</w:t>
            </w:r>
          </w:p>
        </w:tc>
        <w:tc>
          <w:tcPr>
            <w:tcW w:type="dxa" w:w="2592"/>
          </w:tcPr>
          <w:p>
            <w:pPr>
              <w:spacing w:after="20"/>
            </w:pPr>
            <w:r/>
            <w:r>
              <w:rPr>
                <w:sz w:val="20"/>
              </w:rPr>
              <w:t>10 epochs, batches of 500</w:t>
            </w:r>
          </w:p>
        </w:tc>
        <w:tc>
          <w:tcPr>
            <w:tcW w:type="dxa" w:w="3744"/>
          </w:tcPr>
          <w:p>
            <w:pPr>
              <w:spacing w:after="20"/>
            </w:pPr>
            <w:r/>
            <w:r>
              <w:rPr>
                <w:sz w:val="20"/>
              </w:rPr>
              <w:t>Batches of 500; reported after epoch 10 and at the best validation epoch (trained up to 100 epochs)</w:t>
            </w:r>
          </w:p>
        </w:tc>
        <w:tc>
          <w:tcPr>
            <w:tcW w:type="dxa" w:w="1440"/>
          </w:tcPr>
          <w:p>
            <w:pPr>
              <w:spacing w:after="20"/>
            </w:pPr>
            <w:r/>
            <w:r>
              <w:rPr>
                <w:sz w:val="20"/>
              </w:rPr>
              <w:t>Same at epoch 10, plus longer training</w:t>
            </w:r>
          </w:p>
        </w:tc>
      </w:tr>
      <w:tr>
        <w:tc>
          <w:tcPr>
            <w:tcW w:type="dxa" w:w="1728"/>
          </w:tcPr>
          <w:p>
            <w:pPr>
              <w:spacing w:after="20"/>
            </w:pPr>
            <w:r/>
            <w:r>
              <w:rPr>
                <w:sz w:val="20"/>
              </w:rPr>
              <w:t>Learning rate</w:t>
            </w:r>
          </w:p>
        </w:tc>
        <w:tc>
          <w:tcPr>
            <w:tcW w:type="dxa" w:w="2592"/>
          </w:tcPr>
          <w:p>
            <w:pPr>
              <w:spacing w:after="20"/>
            </w:pPr>
            <w:r/>
            <w:r>
              <w:rPr>
                <w:sz w:val="20"/>
              </w:rPr>
              <w:t>0.007, given in the shared settings (probably all models)</w:t>
            </w:r>
          </w:p>
        </w:tc>
        <w:tc>
          <w:tcPr>
            <w:tcW w:type="dxa" w:w="3744"/>
          </w:tcPr>
          <w:p>
            <w:pPr>
              <w:spacing w:after="20"/>
            </w:pPr>
            <w:r/>
            <w:r>
              <w:rPr>
                <w:sz w:val="20"/>
              </w:rPr>
              <w:t>0.001 (0.007 collapsed to predicting Normal for every flow in all 3 seeds)</w:t>
            </w:r>
          </w:p>
        </w:tc>
        <w:tc>
          <w:tcPr>
            <w:tcW w:type="dxa" w:w="1440"/>
          </w:tcPr>
          <w:p>
            <w:pPr>
              <w:spacing w:after="20"/>
            </w:pPr>
            <w:r/>
            <w:r>
              <w:rPr>
                <w:sz w:val="20"/>
              </w:rPr>
              <w:t>Different</w:t>
            </w:r>
          </w:p>
        </w:tc>
      </w:tr>
      <w:tr>
        <w:tc>
          <w:tcPr>
            <w:tcW w:type="dxa" w:w="1728"/>
          </w:tcPr>
          <w:p>
            <w:pPr>
              <w:spacing w:after="20"/>
            </w:pPr>
            <w:r/>
            <w:r>
              <w:rPr>
                <w:sz w:val="20"/>
              </w:rPr>
              <w:t>Loss and optimizer</w:t>
            </w:r>
          </w:p>
        </w:tc>
        <w:tc>
          <w:tcPr>
            <w:tcW w:type="dxa" w:w="2592"/>
          </w:tcPr>
          <w:p>
            <w:pPr>
              <w:spacing w:after="20"/>
            </w:pPr>
            <w:r/>
            <w:r>
              <w:rPr>
                <w:sz w:val="20"/>
              </w:rPr>
              <w:t>Not stated</w:t>
            </w:r>
          </w:p>
        </w:tc>
        <w:tc>
          <w:tcPr>
            <w:tcW w:type="dxa" w:w="3744"/>
          </w:tcPr>
          <w:p>
            <w:pPr>
              <w:spacing w:after="20"/>
            </w:pPr>
            <w:r/>
            <w:r>
              <w:rPr>
                <w:sz w:val="20"/>
              </w:rPr>
              <w:t>Cross-entropy, Adam</w:t>
            </w:r>
          </w:p>
        </w:tc>
        <w:tc>
          <w:tcPr>
            <w:tcW w:type="dxa" w:w="1440"/>
          </w:tcPr>
          <w:p>
            <w:pPr>
              <w:spacing w:after="20"/>
            </w:pPr>
            <w:r/>
            <w:r>
              <w:rPr>
                <w:sz w:val="20"/>
              </w:rPr>
              <w:t>Unknown</w:t>
            </w:r>
          </w:p>
        </w:tc>
      </w:tr>
      <w:tr>
        <w:tc>
          <w:tcPr>
            <w:tcW w:type="dxa" w:w="1728"/>
          </w:tcPr>
          <w:p>
            <w:pPr>
              <w:spacing w:after="20"/>
            </w:pPr>
            <w:r/>
            <w:r>
              <w:rPr>
                <w:sz w:val="20"/>
              </w:rPr>
              <w:t>Flow features in the final edge embedding</w:t>
            </w:r>
          </w:p>
        </w:tc>
        <w:tc>
          <w:tcPr>
            <w:tcW w:type="dxa" w:w="2592"/>
          </w:tcPr>
          <w:p>
            <w:pPr>
              <w:spacing w:after="20"/>
            </w:pPr>
            <w:r/>
            <w:r>
              <w:rPr>
                <w:sz w:val="20"/>
              </w:rPr>
              <w:t>Eq. 4 adds them in the paper's framework; unclear for its baselines</w:t>
            </w:r>
          </w:p>
        </w:tc>
        <w:tc>
          <w:tcPr>
            <w:tcW w:type="dxa" w:w="3744"/>
          </w:tcPr>
          <w:p>
            <w:pPr>
              <w:spacing w:after="20"/>
            </w:pPr>
            <w:r/>
            <w:r>
              <w:rPr>
                <w:sz w:val="20"/>
              </w:rPr>
              <w:t>Not in the E-GraphSAGE-M style network; yes in the improved GNN</w:t>
            </w:r>
          </w:p>
        </w:tc>
        <w:tc>
          <w:tcPr>
            <w:tcW w:type="dxa" w:w="1440"/>
          </w:tcPr>
          <w:p>
            <w:pPr>
              <w:spacing w:after="20"/>
            </w:pPr>
            <w:r/>
            <w:r>
              <w:rPr>
                <w:sz w:val="20"/>
              </w:rPr>
              <w:t>Unclear</w:t>
            </w:r>
          </w:p>
        </w:tc>
      </w:tr>
      <w:tr>
        <w:tc>
          <w:tcPr>
            <w:tcW w:type="dxa" w:w="1728"/>
          </w:tcPr>
          <w:p>
            <w:pPr>
              <w:spacing w:after="20"/>
            </w:pPr>
            <w:r/>
            <w:r>
              <w:rPr>
                <w:sz w:val="20"/>
              </w:rPr>
              <w:t>Metric</w:t>
            </w:r>
          </w:p>
        </w:tc>
        <w:tc>
          <w:tcPr>
            <w:tcW w:type="dxa" w:w="2592"/>
          </w:tcPr>
          <w:p>
            <w:pPr>
              <w:spacing w:after="20"/>
            </w:pPr>
            <w:r/>
            <w:r>
              <w:rPr>
                <w:sz w:val="20"/>
              </w:rPr>
              <w:t>Weighted F1</w:t>
            </w:r>
          </w:p>
        </w:tc>
        <w:tc>
          <w:tcPr>
            <w:tcW w:type="dxa" w:w="3744"/>
          </w:tcPr>
          <w:p>
            <w:pPr>
              <w:spacing w:after="20"/>
            </w:pPr>
            <w:r/>
            <w:r>
              <w:rPr>
                <w:sz w:val="20"/>
              </w:rPr>
              <w:t>Weighted F1 and macro F1</w:t>
            </w:r>
          </w:p>
        </w:tc>
        <w:tc>
          <w:tcPr>
            <w:tcW w:type="dxa" w:w="1440"/>
          </w:tcPr>
          <w:p>
            <w:pPr>
              <w:spacing w:after="20"/>
            </w:pPr>
            <w:r/>
            <w:r>
              <w:rPr>
                <w:sz w:val="20"/>
              </w:rPr>
              <w:t>Same, plus macro F1</w:t>
            </w:r>
          </w:p>
        </w:tc>
      </w:tr>
      <w:tr>
        <w:tc>
          <w:tcPr>
            <w:tcW w:type="dxa" w:w="1728"/>
          </w:tcPr>
          <w:p>
            <w:pPr>
              <w:spacing w:after="20"/>
            </w:pPr>
            <w:r/>
            <w:r>
              <w:rPr>
                <w:sz w:val="20"/>
              </w:rPr>
              <w:t>GTCN-G model</w:t>
            </w:r>
          </w:p>
        </w:tc>
        <w:tc>
          <w:tcPr>
            <w:tcW w:type="dxa" w:w="2592"/>
          </w:tcPr>
          <w:p>
            <w:pPr>
              <w:spacing w:after="20"/>
            </w:pPr>
            <w:r/>
            <w:r>
              <w:rPr>
                <w:sz w:val="20"/>
              </w:rPr>
              <w:t>Described</w:t>
            </w:r>
          </w:p>
        </w:tc>
        <w:tc>
          <w:tcPr>
            <w:tcW w:type="dxa" w:w="3744"/>
          </w:tcPr>
          <w:p>
            <w:pPr>
              <w:spacing w:after="20"/>
            </w:pPr>
            <w:r/>
            <w:r>
              <w:rPr>
                <w:sz w:val="20"/>
              </w:rPr>
              <w:t>Not reimplemented (no code, too many unstated details)</w:t>
            </w:r>
          </w:p>
        </w:tc>
        <w:tc>
          <w:tcPr>
            <w:tcW w:type="dxa" w:w="1440"/>
          </w:tcPr>
          <w:p>
            <w:pPr>
              <w:spacing w:after="20"/>
            </w:pPr>
            <w:r/>
            <w:r>
              <w:rPr>
                <w:sz w:val="20"/>
              </w:rPr>
              <w:t>Not done</w:t>
            </w:r>
          </w:p>
        </w:tc>
      </w:tr>
    </w:tbl>
    <w:p>
      <w:pPr>
        <w:spacing w:after="40"/>
      </w:pPr>
    </w:p>
    <w:p>
      <w:r>
        <w:rPr>
          <w:i w:val="0"/>
        </w:rPr>
        <w:t>Choices made on the validation set only: the number of LightGBM leaves, the class scales, and the epoch at which each network stops. The test set was used once per model. Feature selection and scaling had been fitted on our earlier 80% training part, so some of the new test flows took part in that fitting; we expect the effect to be small but did not measure it.</w:t>
      </w:r>
    </w:p>
    <w:p>
      <w:pPr>
        <w:pStyle w:val="Heading1"/>
      </w:pPr>
      <w:r>
        <w:t>4. Results next to the paper</w:t>
      </w:r>
    </w:p>
    <w:p>
      <w:r>
        <w:rPr>
          <w:i w:val="0"/>
        </w:rPr>
        <w:t>Test scores, mean ± standard deviation over 3 training seeds. The 95% interval is a bootstrap over the test set, from the seed-42 predictions.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8"/>
            <w:shd w:val="clear" w:color="auto" w:fill="DCE6F1"/>
          </w:tcPr>
          <w:p>
            <w:pPr>
              <w:spacing w:after="20"/>
            </w:pPr>
            <w:r/>
            <w:r>
              <w:rPr>
                <w:b/>
                <w:sz w:val="20"/>
              </w:rPr>
              <w:t>Model</w:t>
            </w:r>
          </w:p>
        </w:tc>
        <w:tc>
          <w:tcPr>
            <w:tcW w:type="dxa" w:w="1728"/>
            <w:shd w:val="clear" w:color="auto" w:fill="DCE6F1"/>
          </w:tcPr>
          <w:p>
            <w:pPr>
              <w:spacing w:after="20"/>
            </w:pPr>
            <w:r/>
            <w:r>
              <w:rPr>
                <w:b/>
                <w:sz w:val="20"/>
              </w:rPr>
              <w:t>Weighted F1</w:t>
            </w:r>
          </w:p>
        </w:tc>
        <w:tc>
          <w:tcPr>
            <w:tcW w:type="dxa" w:w="1584"/>
            <w:shd w:val="clear" w:color="auto" w:fill="DCE6F1"/>
          </w:tcPr>
          <w:p>
            <w:pPr>
              <w:spacing w:after="20"/>
            </w:pPr>
            <w:r/>
            <w:r>
              <w:rPr>
                <w:b/>
                <w:sz w:val="20"/>
              </w:rPr>
              <w:t>Macro F1</w:t>
            </w:r>
          </w:p>
        </w:tc>
        <w:tc>
          <w:tcPr>
            <w:tcW w:type="dxa" w:w="1872"/>
            <w:shd w:val="clear" w:color="auto" w:fill="DCE6F1"/>
          </w:tcPr>
          <w:p>
            <w:pPr>
              <w:spacing w:after="20"/>
            </w:pPr>
            <w:r/>
            <w:r>
              <w:rPr>
                <w:b/>
                <w:sz w:val="20"/>
              </w:rPr>
              <w:t>95% interval, macro F1</w:t>
            </w:r>
          </w:p>
        </w:tc>
      </w:tr>
      <w:tr>
        <w:tc>
          <w:tcPr>
            <w:tcW w:type="dxa" w:w="4608"/>
          </w:tcPr>
          <w:p>
            <w:pPr>
              <w:spacing w:after="20"/>
            </w:pPr>
            <w:r/>
            <w:r>
              <w:rPr>
                <w:sz w:val="20"/>
              </w:rPr>
              <w:t>GTCN-G (paper)</w:t>
            </w:r>
          </w:p>
        </w:tc>
        <w:tc>
          <w:tcPr>
            <w:tcW w:type="dxa" w:w="1728"/>
          </w:tcPr>
          <w:p>
            <w:pPr>
              <w:spacing w:after="20"/>
            </w:pPr>
            <w:r/>
            <w:r>
              <w:rPr>
                <w:sz w:val="20"/>
              </w:rPr>
              <w:t>0.9512</w:t>
            </w:r>
          </w:p>
        </w:tc>
        <w:tc>
          <w:tcPr>
            <w:tcW w:type="dxa" w:w="1584"/>
          </w:tcPr>
          <w:p>
            <w:pPr>
              <w:spacing w:after="20"/>
            </w:pPr>
            <w:r/>
            <w:r>
              <w:rPr>
                <w:sz w:val="20"/>
              </w:rPr>
              <w:t>not reported</w:t>
            </w:r>
          </w:p>
        </w:tc>
        <w:tc>
          <w:tcPr>
            <w:tcW w:type="dxa" w:w="1872"/>
          </w:tcPr>
          <w:p>
            <w:pPr>
              <w:spacing w:after="20"/>
            </w:pPr>
            <w:r/>
            <w:r>
              <w:rPr>
                <w:sz w:val="20"/>
              </w:rPr>
            </w:r>
          </w:p>
        </w:tc>
      </w:tr>
      <w:tr>
        <w:tc>
          <w:tcPr>
            <w:tcW w:type="dxa" w:w="4608"/>
          </w:tcPr>
          <w:p>
            <w:pPr>
              <w:spacing w:after="20"/>
            </w:pPr>
            <w:r/>
            <w:r>
              <w:rPr>
                <w:sz w:val="20"/>
              </w:rPr>
              <w:t>GAT (paper)</w:t>
            </w:r>
          </w:p>
        </w:tc>
        <w:tc>
          <w:tcPr>
            <w:tcW w:type="dxa" w:w="1728"/>
          </w:tcPr>
          <w:p>
            <w:pPr>
              <w:spacing w:after="20"/>
            </w:pPr>
            <w:r/>
            <w:r>
              <w:rPr>
                <w:sz w:val="20"/>
              </w:rPr>
              <w:t>0.9178</w:t>
            </w:r>
          </w:p>
        </w:tc>
        <w:tc>
          <w:tcPr>
            <w:tcW w:type="dxa" w:w="1584"/>
          </w:tcPr>
          <w:p>
            <w:pPr>
              <w:spacing w:after="20"/>
            </w:pPr>
            <w:r/>
            <w:r>
              <w:rPr>
                <w:sz w:val="20"/>
              </w:rPr>
              <w:t>not reported</w:t>
            </w:r>
          </w:p>
        </w:tc>
        <w:tc>
          <w:tcPr>
            <w:tcW w:type="dxa" w:w="1872"/>
          </w:tcPr>
          <w:p>
            <w:pPr>
              <w:spacing w:after="20"/>
            </w:pPr>
            <w:r/>
            <w:r>
              <w:rPr>
                <w:sz w:val="20"/>
              </w:rPr>
            </w:r>
          </w:p>
        </w:tc>
      </w:tr>
      <w:tr>
        <w:tc>
          <w:tcPr>
            <w:tcW w:type="dxa" w:w="4608"/>
          </w:tcPr>
          <w:p>
            <w:pPr>
              <w:spacing w:after="20"/>
            </w:pPr>
            <w:r/>
            <w:r>
              <w:rPr>
                <w:sz w:val="20"/>
              </w:rPr>
              <w:t>E-GraphSAGE-M (paper)</w:t>
            </w:r>
          </w:p>
        </w:tc>
        <w:tc>
          <w:tcPr>
            <w:tcW w:type="dxa" w:w="1728"/>
          </w:tcPr>
          <w:p>
            <w:pPr>
              <w:spacing w:after="20"/>
            </w:pPr>
            <w:r/>
            <w:r>
              <w:rPr>
                <w:sz w:val="20"/>
              </w:rPr>
              <w:t>0.8934</w:t>
            </w:r>
          </w:p>
        </w:tc>
        <w:tc>
          <w:tcPr>
            <w:tcW w:type="dxa" w:w="1584"/>
          </w:tcPr>
          <w:p>
            <w:pPr>
              <w:spacing w:after="20"/>
            </w:pPr>
            <w:r/>
            <w:r>
              <w:rPr>
                <w:sz w:val="20"/>
              </w:rPr>
              <w:t>not reported</w:t>
            </w:r>
          </w:p>
        </w:tc>
        <w:tc>
          <w:tcPr>
            <w:tcW w:type="dxa" w:w="1872"/>
          </w:tcPr>
          <w:p>
            <w:pPr>
              <w:spacing w:after="20"/>
            </w:pPr>
            <w:r/>
            <w:r>
              <w:rPr>
                <w:sz w:val="20"/>
              </w:rPr>
            </w:r>
          </w:p>
        </w:tc>
      </w:tr>
      <w:tr>
        <w:tc>
          <w:tcPr>
            <w:tcW w:type="dxa" w:w="4608"/>
          </w:tcPr>
          <w:p>
            <w:pPr>
              <w:spacing w:after="20"/>
            </w:pPr>
            <w:r/>
            <w:r>
              <w:rPr>
                <w:sz w:val="20"/>
              </w:rPr>
              <w:t>E-GraphSAGE (paper)</w:t>
            </w:r>
          </w:p>
        </w:tc>
        <w:tc>
          <w:tcPr>
            <w:tcW w:type="dxa" w:w="1728"/>
          </w:tcPr>
          <w:p>
            <w:pPr>
              <w:spacing w:after="20"/>
            </w:pPr>
            <w:r/>
            <w:r>
              <w:rPr>
                <w:sz w:val="20"/>
              </w:rPr>
              <w:t>0.8756</w:t>
            </w:r>
          </w:p>
        </w:tc>
        <w:tc>
          <w:tcPr>
            <w:tcW w:type="dxa" w:w="1584"/>
          </w:tcPr>
          <w:p>
            <w:pPr>
              <w:spacing w:after="20"/>
            </w:pPr>
            <w:r/>
            <w:r>
              <w:rPr>
                <w:sz w:val="20"/>
              </w:rPr>
              <w:t>not reported</w:t>
            </w:r>
          </w:p>
        </w:tc>
        <w:tc>
          <w:tcPr>
            <w:tcW w:type="dxa" w:w="1872"/>
          </w:tcPr>
          <w:p>
            <w:pPr>
              <w:spacing w:after="20"/>
            </w:pPr>
            <w:r/>
            <w:r>
              <w:rPr>
                <w:sz w:val="20"/>
              </w:rPr>
            </w:r>
          </w:p>
        </w:tc>
      </w:tr>
      <w:tr>
        <w:tc>
          <w:tcPr>
            <w:tcW w:type="dxa" w:w="4608"/>
          </w:tcPr>
          <w:p>
            <w:pPr>
              <w:spacing w:after="20"/>
            </w:pPr>
            <w:r/>
            <w:r>
              <w:rPr>
                <w:sz w:val="20"/>
              </w:rPr>
              <w:t>Ours: E-GraphSAGE-M style network, after epoch 10</w:t>
            </w:r>
          </w:p>
        </w:tc>
        <w:tc>
          <w:tcPr>
            <w:tcW w:type="dxa" w:w="1728"/>
          </w:tcPr>
          <w:p>
            <w:pPr>
              <w:spacing w:after="20"/>
            </w:pPr>
            <w:r/>
            <w:r>
              <w:rPr>
                <w:sz w:val="20"/>
              </w:rPr>
              <w:t>0.9808 ± 0.0009</w:t>
            </w:r>
          </w:p>
        </w:tc>
        <w:tc>
          <w:tcPr>
            <w:tcW w:type="dxa" w:w="1584"/>
          </w:tcPr>
          <w:p>
            <w:pPr>
              <w:spacing w:after="20"/>
            </w:pPr>
            <w:r/>
            <w:r>
              <w:rPr>
                <w:sz w:val="20"/>
              </w:rPr>
              <w:t>0.536 ± 0.001</w:t>
            </w:r>
          </w:p>
        </w:tc>
        <w:tc>
          <w:tcPr>
            <w:tcW w:type="dxa" w:w="1872"/>
          </w:tcPr>
          <w:p>
            <w:pPr>
              <w:spacing w:after="20"/>
            </w:pPr>
            <w:r/>
            <w:r>
              <w:rPr>
                <w:sz w:val="20"/>
              </w:rPr>
            </w:r>
          </w:p>
        </w:tc>
      </w:tr>
      <w:tr>
        <w:tc>
          <w:tcPr>
            <w:tcW w:type="dxa" w:w="4608"/>
          </w:tcPr>
          <w:p>
            <w:pPr>
              <w:spacing w:after="20"/>
            </w:pPr>
            <w:r/>
            <w:r>
              <w:rPr>
                <w:sz w:val="20"/>
              </w:rPr>
              <w:t>Ours: the same network, best validation epoch</w:t>
            </w:r>
          </w:p>
        </w:tc>
        <w:tc>
          <w:tcPr>
            <w:tcW w:type="dxa" w:w="1728"/>
          </w:tcPr>
          <w:p>
            <w:pPr>
              <w:spacing w:after="20"/>
            </w:pPr>
            <w:r/>
            <w:r>
              <w:rPr>
                <w:sz w:val="20"/>
              </w:rPr>
              <w:t>0.9836 ± 0.0002</w:t>
            </w:r>
          </w:p>
        </w:tc>
        <w:tc>
          <w:tcPr>
            <w:tcW w:type="dxa" w:w="1584"/>
          </w:tcPr>
          <w:p>
            <w:pPr>
              <w:spacing w:after="20"/>
            </w:pPr>
            <w:r/>
            <w:r>
              <w:rPr>
                <w:sz w:val="20"/>
              </w:rPr>
              <w:t>0.581 ± 0.002</w:t>
            </w:r>
          </w:p>
        </w:tc>
        <w:tc>
          <w:tcPr>
            <w:tcW w:type="dxa" w:w="1872"/>
          </w:tcPr>
          <w:p>
            <w:pPr>
              <w:spacing w:after="20"/>
            </w:pPr>
            <w:r/>
            <w:r>
              <w:rPr>
                <w:sz w:val="20"/>
              </w:rPr>
            </w:r>
          </w:p>
        </w:tc>
      </w:tr>
      <w:tr>
        <w:tc>
          <w:tcPr>
            <w:tcW w:type="dxa" w:w="4608"/>
          </w:tcPr>
          <w:p>
            <w:pPr>
              <w:spacing w:after="20"/>
            </w:pPr>
            <w:r/>
            <w:r>
              <w:rPr>
                <w:sz w:val="20"/>
              </w:rPr>
              <w:t>Ours: LightGBM, no class weights</w:t>
            </w:r>
          </w:p>
        </w:tc>
        <w:tc>
          <w:tcPr>
            <w:tcW w:type="dxa" w:w="1728"/>
          </w:tcPr>
          <w:p>
            <w:pPr>
              <w:spacing w:after="20"/>
            </w:pPr>
            <w:r/>
            <w:r>
              <w:rPr>
                <w:sz w:val="20"/>
              </w:rPr>
              <w:t>0.9802 ± 0.0002</w:t>
            </w:r>
          </w:p>
        </w:tc>
        <w:tc>
          <w:tcPr>
            <w:tcW w:type="dxa" w:w="1584"/>
          </w:tcPr>
          <w:p>
            <w:pPr>
              <w:spacing w:after="20"/>
            </w:pPr>
            <w:r/>
            <w:r>
              <w:rPr>
                <w:sz w:val="20"/>
              </w:rPr>
              <w:t>0.581 ± 0.003</w:t>
            </w:r>
          </w:p>
        </w:tc>
        <w:tc>
          <w:tcPr>
            <w:tcW w:type="dxa" w:w="1872"/>
          </w:tcPr>
          <w:p>
            <w:pPr>
              <w:spacing w:after="20"/>
            </w:pPr>
            <w:r/>
            <w:r>
              <w:rPr>
                <w:sz w:val="20"/>
              </w:rPr>
              <w:t>0.572 - 0.590</w:t>
            </w:r>
          </w:p>
        </w:tc>
      </w:tr>
      <w:tr>
        <w:tc>
          <w:tcPr>
            <w:tcW w:type="dxa" w:w="4608"/>
          </w:tcPr>
          <w:p>
            <w:pPr>
              <w:spacing w:after="20"/>
            </w:pPr>
            <w:r/>
            <w:r>
              <w:rPr>
                <w:sz w:val="20"/>
              </w:rPr>
              <w:t>Ours: LightGBM, class weights</w:t>
            </w:r>
          </w:p>
        </w:tc>
        <w:tc>
          <w:tcPr>
            <w:tcW w:type="dxa" w:w="1728"/>
          </w:tcPr>
          <w:p>
            <w:pPr>
              <w:spacing w:after="20"/>
            </w:pPr>
            <w:r/>
            <w:r>
              <w:rPr>
                <w:sz w:val="20"/>
              </w:rPr>
              <w:t>0.9815 ± 0.0003</w:t>
            </w:r>
          </w:p>
        </w:tc>
        <w:tc>
          <w:tcPr>
            <w:tcW w:type="dxa" w:w="1584"/>
          </w:tcPr>
          <w:p>
            <w:pPr>
              <w:spacing w:after="20"/>
            </w:pPr>
            <w:r/>
            <w:r>
              <w:rPr>
                <w:sz w:val="20"/>
              </w:rPr>
              <w:t>0.655 ± 0.001</w:t>
            </w:r>
          </w:p>
        </w:tc>
        <w:tc>
          <w:tcPr>
            <w:tcW w:type="dxa" w:w="1872"/>
          </w:tcPr>
          <w:p>
            <w:pPr>
              <w:spacing w:after="20"/>
            </w:pPr>
            <w:r/>
            <w:r>
              <w:rPr>
                <w:sz w:val="20"/>
              </w:rPr>
              <w:t>0.645 - 0.667</w:t>
            </w:r>
          </w:p>
        </w:tc>
      </w:tr>
      <w:tr>
        <w:tc>
          <w:tcPr>
            <w:tcW w:type="dxa" w:w="4608"/>
          </w:tcPr>
          <w:p>
            <w:pPr>
              <w:spacing w:after="20"/>
            </w:pPr>
            <w:r/>
            <w:r>
              <w:rPr>
                <w:sz w:val="20"/>
              </w:rPr>
              <w:t>Ours: LightGBM, two-stage, class weights</w:t>
            </w:r>
          </w:p>
        </w:tc>
        <w:tc>
          <w:tcPr>
            <w:tcW w:type="dxa" w:w="1728"/>
          </w:tcPr>
          <w:p>
            <w:pPr>
              <w:spacing w:after="20"/>
            </w:pPr>
            <w:r/>
            <w:r>
              <w:rPr>
                <w:sz w:val="20"/>
              </w:rPr>
              <w:t>0.9820 ± 0.0005</w:t>
            </w:r>
          </w:p>
        </w:tc>
        <w:tc>
          <w:tcPr>
            <w:tcW w:type="dxa" w:w="1584"/>
          </w:tcPr>
          <w:p>
            <w:pPr>
              <w:spacing w:after="20"/>
            </w:pPr>
            <w:r/>
            <w:r>
              <w:rPr>
                <w:sz w:val="20"/>
              </w:rPr>
              <w:t>0.655 ± 0.001</w:t>
            </w:r>
          </w:p>
        </w:tc>
        <w:tc>
          <w:tcPr>
            <w:tcW w:type="dxa" w:w="1872"/>
          </w:tcPr>
          <w:p>
            <w:pPr>
              <w:spacing w:after="20"/>
            </w:pPr>
            <w:r/>
            <w:r>
              <w:rPr>
                <w:sz w:val="20"/>
              </w:rPr>
              <w:t>0.643 - 0.665</w:t>
            </w:r>
          </w:p>
        </w:tc>
      </w:tr>
      <w:tr>
        <w:tc>
          <w:tcPr>
            <w:tcW w:type="dxa" w:w="4608"/>
          </w:tcPr>
          <w:p>
            <w:pPr>
              <w:spacing w:after="20"/>
            </w:pPr>
            <w:r/>
            <w:r>
              <w:rPr>
                <w:b/>
                <w:sz w:val="20"/>
              </w:rPr>
              <w:t>Ours: LightGBM, class weights + tuned class scales</w:t>
            </w:r>
          </w:p>
        </w:tc>
        <w:tc>
          <w:tcPr>
            <w:tcW w:type="dxa" w:w="1728"/>
          </w:tcPr>
          <w:p>
            <w:pPr>
              <w:spacing w:after="20"/>
            </w:pPr>
            <w:r/>
            <w:r>
              <w:rPr>
                <w:b/>
                <w:sz w:val="20"/>
              </w:rPr>
              <w:t>0.9831 ± 0.0005</w:t>
            </w:r>
          </w:p>
        </w:tc>
        <w:tc>
          <w:tcPr>
            <w:tcW w:type="dxa" w:w="1584"/>
          </w:tcPr>
          <w:p>
            <w:pPr>
              <w:spacing w:after="20"/>
            </w:pPr>
            <w:r/>
            <w:r>
              <w:rPr>
                <w:b/>
                <w:sz w:val="20"/>
              </w:rPr>
              <w:t>0.667 ± 0.002</w:t>
            </w:r>
          </w:p>
        </w:tc>
        <w:tc>
          <w:tcPr>
            <w:tcW w:type="dxa" w:w="1872"/>
          </w:tcPr>
          <w:p>
            <w:pPr>
              <w:spacing w:after="20"/>
            </w:pPr>
            <w:r/>
            <w:r>
              <w:rPr>
                <w:b/>
                <w:sz w:val="20"/>
              </w:rPr>
              <w:t>0.656 - 0.678</w:t>
            </w:r>
          </w:p>
        </w:tc>
      </w:tr>
      <w:tr>
        <w:tc>
          <w:tcPr>
            <w:tcW w:type="dxa" w:w="4608"/>
          </w:tcPr>
          <w:p>
            <w:pPr>
              <w:spacing w:after="20"/>
            </w:pPr>
            <w:r/>
            <w:r>
              <w:rPr>
                <w:sz w:val="20"/>
              </w:rPr>
              <w:t>Ours: improved GNN, real graph</w:t>
            </w:r>
          </w:p>
        </w:tc>
        <w:tc>
          <w:tcPr>
            <w:tcW w:type="dxa" w:w="1728"/>
          </w:tcPr>
          <w:p>
            <w:pPr>
              <w:spacing w:after="20"/>
            </w:pPr>
            <w:r/>
            <w:r>
              <w:rPr>
                <w:sz w:val="20"/>
              </w:rPr>
              <w:t>0.9804 ± 0.0000</w:t>
            </w:r>
          </w:p>
        </w:tc>
        <w:tc>
          <w:tcPr>
            <w:tcW w:type="dxa" w:w="1584"/>
          </w:tcPr>
          <w:p>
            <w:pPr>
              <w:spacing w:after="20"/>
            </w:pPr>
            <w:r/>
            <w:r>
              <w:rPr>
                <w:sz w:val="20"/>
              </w:rPr>
              <w:t>0.610 ± 0.003</w:t>
            </w:r>
          </w:p>
        </w:tc>
        <w:tc>
          <w:tcPr>
            <w:tcW w:type="dxa" w:w="1872"/>
          </w:tcPr>
          <w:p>
            <w:pPr>
              <w:spacing w:after="20"/>
            </w:pPr>
            <w:r/>
            <w:r>
              <w:rPr>
                <w:sz w:val="20"/>
              </w:rPr>
              <w:t>0.602 - 0.623</w:t>
            </w:r>
          </w:p>
        </w:tc>
      </w:tr>
      <w:tr>
        <w:tc>
          <w:tcPr>
            <w:tcW w:type="dxa" w:w="4608"/>
          </w:tcPr>
          <w:p>
            <w:pPr>
              <w:spacing w:after="20"/>
            </w:pPr>
            <w:r/>
            <w:r>
              <w:rPr>
                <w:sz w:val="20"/>
              </w:rPr>
              <w:t>Ours: improved GNN, no graph</w:t>
            </w:r>
          </w:p>
        </w:tc>
        <w:tc>
          <w:tcPr>
            <w:tcW w:type="dxa" w:w="1728"/>
          </w:tcPr>
          <w:p>
            <w:pPr>
              <w:spacing w:after="20"/>
            </w:pPr>
            <w:r/>
            <w:r>
              <w:rPr>
                <w:sz w:val="20"/>
              </w:rPr>
              <w:t>0.9809 ± 0.0001</w:t>
            </w:r>
          </w:p>
        </w:tc>
        <w:tc>
          <w:tcPr>
            <w:tcW w:type="dxa" w:w="1584"/>
          </w:tcPr>
          <w:p>
            <w:pPr>
              <w:spacing w:after="20"/>
            </w:pPr>
            <w:r/>
            <w:r>
              <w:rPr>
                <w:sz w:val="20"/>
              </w:rPr>
              <w:t>0.623 ± 0.003</w:t>
            </w:r>
          </w:p>
        </w:tc>
        <w:tc>
          <w:tcPr>
            <w:tcW w:type="dxa" w:w="1872"/>
          </w:tcPr>
          <w:p>
            <w:pPr>
              <w:spacing w:after="20"/>
            </w:pPr>
            <w:r/>
            <w:r>
              <w:rPr>
                <w:sz w:val="20"/>
              </w:rPr>
              <w:t>0.612 - 0.632</w:t>
            </w:r>
          </w:p>
        </w:tc>
      </w:tr>
    </w:tbl>
    <w:p>
      <w:pPr>
        <w:spacing w:after="40"/>
      </w:pPr>
    </w:p>
    <w:p>
      <w:pPr>
        <w:jc w:val="center"/>
      </w:pPr>
      <w:r>
        <w:drawing>
          <wp:inline xmlns:a="http://schemas.openxmlformats.org/drawingml/2006/main" xmlns:pic="http://schemas.openxmlformats.org/drawingml/2006/picture">
            <wp:extent cx="5852160" cy="1916461"/>
            <wp:docPr id="1" name="Picture 1"/>
            <wp:cNvGraphicFramePr>
              <a:graphicFrameLocks noChangeAspect="1"/>
            </wp:cNvGraphicFramePr>
            <a:graphic>
              <a:graphicData uri="http://schemas.openxmlformats.org/drawingml/2006/picture">
                <pic:pic>
                  <pic:nvPicPr>
                    <pic:cNvPr id="0" name="fig_03.png"/>
                    <pic:cNvPicPr/>
                  </pic:nvPicPr>
                  <pic:blipFill>
                    <a:blip r:embed="rId9"/>
                    <a:stretch>
                      <a:fillRect/>
                    </a:stretch>
                  </pic:blipFill>
                  <pic:spPr>
                    <a:xfrm>
                      <a:off x="0" y="0"/>
                      <a:ext cx="5852160" cy="1916461"/>
                    </a:xfrm>
                    <a:prstGeom prst="rect"/>
                  </pic:spPr>
                </pic:pic>
              </a:graphicData>
            </a:graphic>
          </wp:inline>
        </w:drawing>
      </w:r>
    </w:p>
    <w:p>
      <w:pPr>
        <w:jc w:val="center"/>
      </w:pPr>
      <w:r>
        <w:rPr>
          <w:i/>
          <w:sz w:val="19"/>
        </w:rPr>
        <w:t>Figure 1. Test weighted F1 (left) and macro F1 (right). Grey bars are numbers reported in the paper; orange is our E-GraphSAGE-M style network.</w:t>
      </w:r>
    </w:p>
    <w:p>
      <w:r>
        <w:rPr>
          <w:i w:val="0"/>
        </w:rPr>
        <w:t>'Improved GNN' is the same network with square-root class weights and with the flow's own features given to the classifier; 'no graph' isolates every flow. 'Tuned class scales' are per-class multipliers on the predicted probabilities, tuned on validation macro F1. Training curves of the E-GraphSAGE-M style network are in the report (section 7.2).</w:t>
      </w:r>
    </w:p>
    <w:p>
      <w:pPr>
        <w:pStyle w:val="Heading1"/>
      </w:pPr>
      <w:r>
        <w:t>5. What the comparison shows</w:t>
      </w:r>
    </w:p>
    <w:p>
      <w:pPr>
        <w:pStyle w:val="ListBullet"/>
        <w:spacing w:after="40"/>
      </w:pPr>
      <w:r>
        <w:rPr>
          <w:b/>
        </w:rPr>
        <w:t xml:space="preserve">Our weighted F1 is above the paper's. </w:t>
      </w:r>
      <w:r>
        <w:t>All our models score 0.980 to 0.984, above GTCN-G's 0.9512. This includes LightGBM without class weights and the network without the graph. The differences among our own models are at most 0.004.</w:t>
      </w:r>
    </w:p>
    <w:p>
      <w:pPr>
        <w:pStyle w:val="ListBullet"/>
        <w:spacing w:after="40"/>
      </w:pPr>
      <w:r>
        <w:rPr>
          <w:b/>
        </w:rPr>
        <w:t xml:space="preserve">Their baselines did not reproduce. </w:t>
      </w:r>
      <w:r>
        <w:t>Our E-GraphSAGE-M style network scores 0.981 where the paper reports 0.8934 for its version of the same model. Preprocessing, the split method, loss and learning rate may all differ, The paper's data also has about a third as many flows as ours, with a different class mix, which may contribute too. We do not read our higher numbers as a better model.</w:t>
      </w:r>
    </w:p>
    <w:p>
      <w:pPr>
        <w:pStyle w:val="ListBullet"/>
        <w:spacing w:after="40"/>
      </w:pPr>
      <w:r>
        <w:rPr>
          <w:b/>
        </w:rPr>
        <w:t xml:space="preserve">A graph-free tree model matches the graph models on their metric. </w:t>
      </w:r>
      <w:r>
        <w:t>LightGBM with class weights scores 0.9815 and the improved GNN with the graph scores 0.9804. The paper has no tree baseline and no no-graph network, so it does not show how much its graph adds. We did not reimplement GTCN-G, so we cannot say whether its line graph and temporal convolution would behave differently from our graph models.</w:t>
      </w:r>
    </w:p>
    <w:p>
      <w:pPr>
        <w:pStyle w:val="ListBullet"/>
        <w:spacing w:after="40"/>
      </w:pPr>
      <w:r>
        <w:rPr>
          <w:b/>
        </w:rPr>
        <w:t xml:space="preserve">The graph did not help in our runs. </w:t>
      </w:r>
      <w:r>
        <w:t>The improved GNN with the graph scored 0.010 macro F1 below the same network without it (95% interval -0.018 to -0.002), and 0.0006 lower weighted F1.</w:t>
      </w:r>
    </w:p>
    <w:p>
      <w:pPr>
        <w:pStyle w:val="ListBullet"/>
        <w:spacing w:after="40"/>
      </w:pPr>
      <w:r>
        <w:rPr>
          <w:b/>
        </w:rPr>
        <w:t xml:space="preserve">Weighted F1 cannot separate these models. </w:t>
      </w:r>
      <w:r>
        <w:t>Normal is 95.4% of our test set, so weighted F1 stays near 0.98 for models whose macro F1 ranges from 0.581 to 0.667. The paper reports only weighted F1.</w:t>
      </w:r>
    </w:p>
    <w:p>
      <w:pPr>
        <w:pStyle w:val="ListBullet"/>
        <w:spacing w:after="40"/>
      </w:pPr>
      <w:r>
        <w:rPr>
          <w:b/>
        </w:rPr>
        <w:t xml:space="preserve">Rare classes. </w:t>
      </w:r>
      <w:r>
        <w:t>The paper states that it detects Worms and Shellcode and shows confusion matrices, but gives no per-class scores. In our test set Worms has only 51 rows, so its F1 is noisy (in the paper's 700,001 flows a 30% test set would hold only about 6 Worms flows, so its Worms result rests on very few flows): 0.278 for our E-GraphSAGE-M style network, 0.665 for class-weighted LightGBM, 0.299 for the improved GNN with the graph. Shellcode (454 rows) is 0.866, 0.903 and 0.855 for the same three. Analysis stays below 0.25 and Backdoor below 0.29 in every model.</w:t>
      </w:r>
    </w:p>
    <w:p>
      <w:pPr>
        <w:pStyle w:val="ListBullet"/>
        <w:spacing w:after="40"/>
      </w:pPr>
      <w:r>
        <w:rPr>
          <w:b/>
        </w:rPr>
        <w:t xml:space="preserve">Design choices that moved macro F1. </w:t>
      </w:r>
      <w:r>
        <w:t>Class weights gave +0.075 over LightGBM without them (95% interval +0.066 to +0.084); validation-tuned class scales added +0.012 (+0.006 to +0.017). A two-stage design gave no gain on this split (-0.002, interval -0.009 to +0.006).</w:t>
      </w:r>
    </w:p>
    <w:p>
      <w:pPr>
        <w:pStyle w:val="Heading1"/>
      </w:pPr>
      <w:r>
        <w:t>6. Limits of this comparison</w:t>
      </w:r>
    </w:p>
    <w:p>
      <w:pPr>
        <w:pStyle w:val="ListBullet"/>
        <w:spacing w:after="40"/>
      </w:pPr>
      <w:r>
        <w:t>This is not an exact replication. The paper leaves out its preprocessing, the split method, the loss and the optimizer, and gives no code. We did not reimplement GTCN-G.</w:t>
      </w:r>
    </w:p>
    <w:p>
      <w:pPr>
        <w:pStyle w:val="ListBullet"/>
        <w:spacing w:after="40"/>
      </w:pPr>
      <w:r>
        <w:t>Our data has 2,042,340 flows, the paper's 700,001, so even with the same split ratio the test sets differ in size and class mix. We used deduplicated data and a stratified random split. A run that keeps duplicate rows, or a split of another kind, was not tried and could change the numbers.</w:t>
      </w:r>
    </w:p>
    <w:p>
      <w:pPr>
        <w:pStyle w:val="ListBullet"/>
        <w:spacing w:after="40"/>
      </w:pPr>
      <w:r>
        <w:t>Our learning rate for the baseline (0.001) differs from the paper's 0.007 because 0.007 collapsed in our runs. The paper gives 0.007 in its shared settings, so it probably used it for its baselines too; with our data and network it did not train.</w:t>
      </w:r>
    </w:p>
    <w:p>
      <w:pPr>
        <w:pStyle w:val="ListBullet"/>
        <w:spacing w:after="40"/>
      </w:pPr>
      <w:r>
        <w:t>One dataset, one split, 3 seeds. The three LightGBM seeds differ only through the sample used to build feature histograms (there is no row or feature sampling), so their spread understates real variation. The bootstrap intervals show test-set sampling noise only.</w:t>
      </w:r>
    </w:p>
    <w:p>
      <w:pPr>
        <w:pStyle w:val="ListBullet"/>
        <w:spacing w:after="40"/>
      </w:pPr>
      <w:r>
        <w:t>LightGBM is unstable with many trees in our setup (the unweighted model gets worse as trees are added; the class-weighted one collapses after about 250 trees), so our results rely on early stopping on validation. The +0.075 macro F1 for class weights holds under these settings; we did not test whether a smaller learning rate would narrow it.</w:t>
      </w:r>
    </w:p>
    <w:p>
      <w:pPr>
        <w:pStyle w:val="ListBullet"/>
        <w:spacing w:after="40"/>
      </w:pPr>
      <w:r>
        <w:t>We read arXiv version 3 (14 April 2026) of the paper, a preprint; earlier versions were not compared.</w:t>
      </w:r>
    </w:p>
    <w:p>
      <w:pPr>
        <w:pStyle w:val="Heading1"/>
      </w:pPr>
      <w:r>
        <w:t>7. What would settle the open points</w:t>
      </w:r>
    </w:p>
    <w:p>
      <w:pPr>
        <w:pStyle w:val="ListBullet"/>
        <w:spacing w:after="40"/>
      </w:pPr>
      <w:r>
        <w:t>Ask the authors for their code or for the split, preprocessing and loss, or check whether a published version gives them.</w:t>
      </w:r>
    </w:p>
    <w:p>
      <w:pPr>
        <w:pStyle w:val="ListBullet"/>
        <w:spacing w:after="40"/>
      </w:pPr>
      <w:r>
        <w:t>Find out which rows the paper's 700,001 flows are (the count may match one of the four raw UNSW-NB15 CSV files, probably the first; not verified) and run our models on that subset with the 5:2:3 split.</w:t>
      </w:r>
    </w:p>
    <w:p>
      <w:pPr>
        <w:pStyle w:val="ListBullet"/>
        <w:spacing w:after="40"/>
      </w:pPr>
      <w:r>
        <w:t>Run our models on a version of the data that keeps duplicate rows and on a split built another way, to see how much of the weighted F1 gap comes from data preparation.</w:t>
      </w:r>
    </w:p>
    <w:p>
      <w:pPr>
        <w:pStyle w:val="ListBullet"/>
        <w:spacing w:after="40"/>
      </w:pPr>
      <w:r>
        <w:t>Reimplement GTCN-G, if its details become available, and run it with the same controls (no graph, shuffled edges) and a tree baseline.</w:t>
      </w:r>
    </w:p>
    <w:p>
      <w:pPr>
        <w:pStyle w:val="ListBullet"/>
        <w:spacing w:after="40"/>
      </w:pPr>
      <w:r>
        <w:t>Compute binary attack-or-not F1 on this split, to compare with the paper's binary column (0.9023 to 0.9689). We have not run the binary task on this split.</w:t>
      </w:r>
    </w:p>
    <w:p>
      <w:pPr>
        <w:pStyle w:val="Heading1"/>
      </w:pPr>
      <w:r>
        <w:t>8. Suggested wording</w:t>
      </w:r>
    </w:p>
    <w:p>
      <w:r>
        <w:rPr>
          <w:i/>
        </w:rPr>
        <w:t>"We replicated the stated setup of GTCN-G on our data (5:2:3 split, E-GraphSAGE-M style baseline, batches of 500, 10 epochs). Several settings are not in the paper, so it is not an exact replication. Our models reach a weighted F1 of 0.980 to 0.984 against the 0.9512 the paper reports, but we could not reproduce its baselines (0.981 against 0.8934), and a tree model without a graph scores the same, so we do not claim an improvement over GTCN-G. Its UNSW-NB15 set also has 700,001 flows against our 2,042,340. On macro F1, which the paper does not report, validation-tuned class weights and class scales reached 0.667, and the graph did not help in our tests. The next steps are to obtain the paper's missing details and to test a version of the data with duplicates kept."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