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UNSW-NB15 Project: Related Work and How It Compares With Our Results</w:t>
      </w:r>
    </w:p>
    <w:p>
      <w:pPr>
        <w:spacing w:after="200"/>
      </w:pPr>
      <w:r>
        <w:rPr>
          <w:b w:val="0"/>
          <w:i/>
        </w:rPr>
        <w:t>CSE475 group project. Companion to UNSW-NB15-Report.docx.</w:t>
      </w:r>
    </w:p>
    <w:p>
      <w:pPr>
        <w:pStyle w:val="Heading1"/>
      </w:pPr>
      <w:r>
        <w:t>1. What this document is</w:t>
      </w:r>
    </w:p>
    <w:p>
      <w:pPr>
        <w:spacing w:after="120"/>
      </w:pPr>
      <w:r>
        <w:rPr>
          <w:b w:val="0"/>
          <w:i w:val="0"/>
        </w:rPr>
        <w:t>We collected papers that touch the same dataset, the same kind of model, or the same questions as our experiments, and wrote down for each one what it did and what it reported. We then placed our own findings next to them. The aim is to show where the literature agrees with us, where it differs, and where we found nothing to compare against.</w:t>
      </w:r>
    </w:p>
    <w:p>
      <w:pPr>
        <w:spacing w:after="40"/>
      </w:pPr>
      <w:r>
        <w:rPr>
          <w:b/>
          <w:i w:val="0"/>
        </w:rPr>
        <w:t>How to read it:</w:t>
      </w:r>
    </w:p>
    <w:p>
      <w:pPr>
        <w:pStyle w:val="ListBullet"/>
        <w:spacing w:after="40"/>
      </w:pPr>
      <w:r>
        <w:t>Table 1 describes each paper: dataset, split, method, metric and the result it reports.</w:t>
      </w:r>
    </w:p>
    <w:p>
      <w:pPr>
        <w:pStyle w:val="ListBullet"/>
        <w:spacing w:after="40"/>
      </w:pPr>
      <w:r>
        <w:t>Table 2 says how close each paper is to our setup, because most numbers cannot be compared directly.</w:t>
      </w:r>
    </w:p>
    <w:p>
      <w:pPr>
        <w:pStyle w:val="ListBullet"/>
        <w:spacing w:after="40"/>
      </w:pPr>
      <w:r>
        <w:t>Table 3 lines our eleven findings (C1 to C11) up against the papers that bear on them.</w:t>
      </w:r>
    </w:p>
    <w:p>
      <w:pPr>
        <w:pStyle w:val="ListBullet"/>
        <w:spacing w:after="40"/>
      </w:pPr>
      <w:r>
        <w:t>Table 4 compares per-class scores with the one paper that reports them on UNSW-NB15 for all ten classes.</w:t>
      </w:r>
    </w:p>
    <w:p>
      <w:pPr>
        <w:pStyle w:val="ListBullet"/>
        <w:spacing w:after="40"/>
      </w:pPr>
      <w:r>
        <w:t>Section 7 lists what we did not find and what still needs to be read.</w:t>
      </w:r>
    </w:p>
    <w:p>
      <w:pPr>
        <w:spacing w:after="40"/>
      </w:pPr>
      <w:r>
        <w:rPr>
          <w:b/>
          <w:i w:val="0"/>
        </w:rPr>
        <w:t>Last column of Table 1, 'How much we read':</w:t>
      </w:r>
    </w:p>
    <w:p>
      <w:pPr>
        <w:pStyle w:val="ListBullet"/>
        <w:spacing w:after="40"/>
      </w:pPr>
      <w:r>
        <w:t>Full text read: we read the main sections and the results tables of the paper, not only the abstract. The numbers in that row come from the paper itself.</w:t>
      </w:r>
    </w:p>
    <w:p>
      <w:pPr>
        <w:pStyle w:val="ListBullet"/>
        <w:spacing w:after="40"/>
      </w:pPr>
      <w:r>
        <w:t>Abstract only: we could see only the abstract or a short summary of the paper. Anything marked 'not checked' in that row is unknown to us and must be confirmed from the full paper before it is cited.</w:t>
      </w:r>
    </w:p>
    <w:p>
      <w:pPr>
        <w:spacing w:after="160"/>
      </w:pPr>
      <w:r>
        <w:rPr>
          <w:b w:val="0"/>
          <w:i w:val="0"/>
        </w:rPr>
        <w:t>Numbers in Table 1 are copied from the papers as we read them. They were not re-run. The papers marked 'Abstract only' still need their full text opened before they are cited in the final report.</w:t>
      </w:r>
    </w:p>
    <w:p>
      <w:pPr>
        <w:pStyle w:val="Heading1"/>
      </w:pPr>
      <w:r>
        <w:t>2. Our findings that we want to compare</w:t>
      </w:r>
    </w:p>
    <w:p>
      <w:pPr>
        <w:spacing w:after="120"/>
      </w:pPr>
      <w:r>
        <w:rPr>
          <w:b w:val="0"/>
          <w:i w:val="0"/>
        </w:rPr>
        <w:t>Setup: UNSW-NB15, 10 classes, 1,633,872 training rows and 408,468 test rows, macro F1 as the main metric (Normal is 95.4% of the test rows; Worms has 34 test rows). Intervals are 95% bootstrap intervals over the test set.</w:t>
      </w:r>
    </w:p>
    <w:tbl>
      <w:tblPr>
        <w:tblStyle w:val="TableGrid"/>
        <w:tblW w:type="auto" w:w="0"/>
        <w:tblLayout w:type="fixed"/>
        <w:tblLook w:firstColumn="1" w:firstRow="1" w:lastColumn="0" w:lastRow="0" w:noHBand="0" w:noVBand="1" w:val="04A0"/>
      </w:tblPr>
      <w:tblGrid>
        <w:gridCol w:w="5046"/>
        <w:gridCol w:w="5046"/>
        <w:gridCol w:w="5046"/>
      </w:tblGrid>
      <w:tr>
        <w:trPr>
          <w:tblHeader w:val="true"/>
        </w:trPr>
        <w:tc>
          <w:tcPr>
            <w:tcW w:type="dxa" w:w="680"/>
            <w:shd w:val="clear" w:color="auto" w:fill="1F3A5F"/>
          </w:tcPr>
          <w:p>
            <w:r>
              <w:rPr>
                <w:b/>
                <w:color w:val="FFFFFF"/>
                <w:sz w:val="19"/>
              </w:rPr>
              <w:t>ID</w:t>
            </w:r>
          </w:p>
        </w:tc>
        <w:tc>
          <w:tcPr>
            <w:tcW w:type="dxa" w:w="5953"/>
            <w:shd w:val="clear" w:color="auto" w:fill="1F3A5F"/>
          </w:tcPr>
          <w:p>
            <w:r>
              <w:rPr>
                <w:b/>
                <w:color w:val="FFFFFF"/>
                <w:sz w:val="19"/>
              </w:rPr>
              <w:t>Our finding</w:t>
            </w:r>
          </w:p>
        </w:tc>
        <w:tc>
          <w:tcPr>
            <w:tcW w:type="dxa" w:w="8220"/>
            <w:shd w:val="clear" w:color="auto" w:fill="1F3A5F"/>
          </w:tcPr>
          <w:p>
            <w:r>
              <w:rPr>
                <w:b/>
                <w:color w:val="FFFFFF"/>
                <w:sz w:val="19"/>
              </w:rPr>
              <w:t>Evidence from our experiments</w:t>
            </w:r>
          </w:p>
        </w:tc>
      </w:tr>
      <w:tr>
        <w:trPr>
          <w:cantSplit w:val="true"/>
        </w:trPr>
        <w:tc>
          <w:tcPr>
            <w:tcW w:type="dxa" w:w="680"/>
          </w:tcPr>
          <w:p>
            <w:pPr>
              <w:spacing w:after="0"/>
            </w:pPr>
            <w:r>
              <w:rPr>
                <w:b/>
                <w:sz w:val="18"/>
              </w:rPr>
              <w:t>C1</w:t>
            </w:r>
          </w:p>
        </w:tc>
        <w:tc>
          <w:tcPr>
            <w:tcW w:type="dxa" w:w="5953"/>
          </w:tcPr>
          <w:p>
            <w:pPr>
              <w:spacing w:after="0"/>
            </w:pPr>
            <w:r>
              <w:rPr>
                <w:sz w:val="18"/>
              </w:rPr>
              <w:t>Class weighting gave the largest gain among the tabular choices we tested.</w:t>
            </w:r>
          </w:p>
        </w:tc>
        <w:tc>
          <w:tcPr>
            <w:tcW w:type="dxa" w:w="8220"/>
          </w:tcPr>
          <w:p>
            <w:pPr>
              <w:spacing w:after="0"/>
            </w:pPr>
            <w:r>
              <w:rPr>
                <w:sz w:val="18"/>
              </w:rPr>
              <w:t>Single-stage LightGBM, weighted vs unweighted: +0.076 macro F1 (95% interval +0.065 to +0.087).</w:t>
            </w:r>
          </w:p>
        </w:tc>
      </w:tr>
      <w:tr>
        <w:trPr>
          <w:cantSplit w:val="true"/>
        </w:trPr>
        <w:tc>
          <w:tcPr>
            <w:tcW w:type="dxa" w:w="680"/>
            <w:shd w:val="clear" w:color="auto" w:fill="F2F5F9"/>
          </w:tcPr>
          <w:p>
            <w:pPr>
              <w:spacing w:after="0"/>
            </w:pPr>
            <w:r>
              <w:rPr>
                <w:b/>
                <w:sz w:val="18"/>
              </w:rPr>
              <w:t>C2</w:t>
            </w:r>
          </w:p>
        </w:tc>
        <w:tc>
          <w:tcPr>
            <w:tcW w:type="dxa" w:w="5953"/>
            <w:shd w:val="clear" w:color="auto" w:fill="F2F5F9"/>
          </w:tcPr>
          <w:p>
            <w:pPr>
              <w:spacing w:after="0"/>
            </w:pPr>
            <w:r>
              <w:rPr>
                <w:sz w:val="18"/>
              </w:rPr>
              <w:t>A two-stage design (attack or not, then attack type) added a small gain.</w:t>
            </w:r>
          </w:p>
        </w:tc>
        <w:tc>
          <w:tcPr>
            <w:tcW w:type="dxa" w:w="8220"/>
            <w:shd w:val="clear" w:color="auto" w:fill="F2F5F9"/>
          </w:tcPr>
          <w:p>
            <w:pPr>
              <w:spacing w:after="0"/>
            </w:pPr>
            <w:r>
              <w:rPr>
                <w:sz w:val="18"/>
              </w:rPr>
              <w:t>+0.011 (+0.005 to +0.019) over single-stage, both weighted; same sign for all 3 seeds.</w:t>
            </w:r>
          </w:p>
        </w:tc>
      </w:tr>
      <w:tr>
        <w:trPr>
          <w:cantSplit w:val="true"/>
        </w:trPr>
        <w:tc>
          <w:tcPr>
            <w:tcW w:type="dxa" w:w="680"/>
          </w:tcPr>
          <w:p>
            <w:pPr>
              <w:spacing w:after="0"/>
            </w:pPr>
            <w:r>
              <w:rPr>
                <w:b/>
                <w:sz w:val="18"/>
              </w:rPr>
              <w:t>C3</w:t>
            </w:r>
          </w:p>
        </w:tc>
        <w:tc>
          <w:tcPr>
            <w:tcW w:type="dxa" w:w="5953"/>
          </w:tcPr>
          <w:p>
            <w:pPr>
              <w:spacing w:after="0"/>
            </w:pPr>
            <w:r>
              <w:rPr>
                <w:sz w:val="18"/>
              </w:rPr>
              <w:t>Adding synthetic (SMOTE) rows did not help the tree models.</w:t>
            </w:r>
          </w:p>
        </w:tc>
        <w:tc>
          <w:tcPr>
            <w:tcW w:type="dxa" w:w="8220"/>
          </w:tcPr>
          <w:p>
            <w:pPr>
              <w:spacing w:after="0"/>
            </w:pPr>
            <w:r>
              <w:rPr>
                <w:sz w:val="18"/>
              </w:rPr>
              <w:t>Removing them: +0.015 (two-stage) and +0.011 (single-stage) macro F1.</w:t>
            </w:r>
          </w:p>
        </w:tc>
      </w:tr>
      <w:tr>
        <w:trPr>
          <w:cantSplit w:val="true"/>
        </w:trPr>
        <w:tc>
          <w:tcPr>
            <w:tcW w:type="dxa" w:w="680"/>
            <w:shd w:val="clear" w:color="auto" w:fill="F2F5F9"/>
          </w:tcPr>
          <w:p>
            <w:pPr>
              <w:spacing w:after="0"/>
            </w:pPr>
            <w:r>
              <w:rPr>
                <w:b/>
                <w:sz w:val="18"/>
              </w:rPr>
              <w:t>C4</w:t>
            </w:r>
          </w:p>
        </w:tc>
        <w:tc>
          <w:tcPr>
            <w:tcW w:type="dxa" w:w="5953"/>
            <w:shd w:val="clear" w:color="auto" w:fill="F2F5F9"/>
          </w:tcPr>
          <w:p>
            <w:pPr>
              <w:spacing w:after="0"/>
            </w:pPr>
            <w:r>
              <w:rPr>
                <w:sz w:val="18"/>
              </w:rPr>
              <w:t>Analysis and Backdoor stay low largely because many of their rows have an exact feature twin with another label.</w:t>
            </w:r>
          </w:p>
        </w:tc>
        <w:tc>
          <w:tcPr>
            <w:tcW w:type="dxa" w:w="8220"/>
            <w:shd w:val="clear" w:color="auto" w:fill="F2F5F9"/>
          </w:tcPr>
          <w:p>
            <w:pPr>
              <w:spacing w:after="0"/>
            </w:pPr>
            <w:r>
              <w:rPr>
                <w:sz w:val="18"/>
              </w:rPr>
              <w:t>Share of rows with a twin of another label: Backdoor 81.6%, Analysis 78.3%. F1: Backdoor 0.179, Analysis 0.172.</w:t>
            </w:r>
          </w:p>
        </w:tc>
      </w:tr>
      <w:tr>
        <w:trPr>
          <w:cantSplit w:val="true"/>
        </w:trPr>
        <w:tc>
          <w:tcPr>
            <w:tcW w:type="dxa" w:w="680"/>
          </w:tcPr>
          <w:p>
            <w:pPr>
              <w:spacing w:after="0"/>
            </w:pPr>
            <w:r>
              <w:rPr>
                <w:b/>
                <w:sz w:val="18"/>
              </w:rPr>
              <w:t>C5</w:t>
            </w:r>
          </w:p>
        </w:tc>
        <w:tc>
          <w:tcPr>
            <w:tcW w:type="dxa" w:w="5953"/>
          </w:tcPr>
          <w:p>
            <w:pPr>
              <w:spacing w:after="0"/>
            </w:pPr>
            <w:r>
              <w:rPr>
                <w:sz w:val="18"/>
              </w:rPr>
              <w:t>A graph gave our first GNN a small gain once training and test graph density were matched, but gave a paper-style E-GraphSAGE none.</w:t>
            </w:r>
          </w:p>
        </w:tc>
        <w:tc>
          <w:tcPr>
            <w:tcW w:type="dxa" w:w="8220"/>
          </w:tcPr>
          <w:p>
            <w:pPr>
              <w:spacing w:after="0"/>
            </w:pPr>
            <w:r>
              <w:rPr>
                <w:sz w:val="18"/>
              </w:rPr>
              <w:t>First GNN: real graph vs no graph +0.017 (+0.008 to +0.024), 5 seeds. Paper-style E-GraphSAGE, matched density vs no graph: -0.008 (-0.016 to -0.001) with class weights, -0.010 (-0.014 to -0.005) with the plain loss, 3 seeds.</w:t>
            </w:r>
          </w:p>
        </w:tc>
      </w:tr>
      <w:tr>
        <w:trPr>
          <w:cantSplit w:val="true"/>
        </w:trPr>
        <w:tc>
          <w:tcPr>
            <w:tcW w:type="dxa" w:w="680"/>
            <w:shd w:val="clear" w:color="auto" w:fill="F2F5F9"/>
          </w:tcPr>
          <w:p>
            <w:pPr>
              <w:spacing w:after="0"/>
            </w:pPr>
            <w:r>
              <w:rPr>
                <w:b/>
                <w:sz w:val="18"/>
              </w:rPr>
              <w:t>C6</w:t>
            </w:r>
          </w:p>
        </w:tc>
        <w:tc>
          <w:tcPr>
            <w:tcW w:type="dxa" w:w="5953"/>
            <w:shd w:val="clear" w:color="auto" w:fill="F2F5F9"/>
          </w:tcPr>
          <w:p>
            <w:pPr>
              <w:spacing w:after="0"/>
            </w:pPr>
            <w:r>
              <w:rPr>
                <w:sz w:val="18"/>
              </w:rPr>
              <w:t>Both GNNs stay below the best tree model; we did not isolate why.</w:t>
            </w:r>
          </w:p>
        </w:tc>
        <w:tc>
          <w:tcPr>
            <w:tcW w:type="dxa" w:w="8220"/>
            <w:shd w:val="clear" w:color="auto" w:fill="F2F5F9"/>
          </w:tcPr>
          <w:p>
            <w:pPr>
              <w:spacing w:after="0"/>
            </w:pPr>
            <w:r>
              <w:rPr>
                <w:sz w:val="18"/>
              </w:rPr>
              <w:t>First GNN: gap 0.084 (0.073 to 0.095); 0.040 without Worms. Paper-style E-GraphSAGE: gap 0.070 to 0.077 (0.060 to 0.088).</w:t>
            </w:r>
          </w:p>
        </w:tc>
      </w:tr>
      <w:tr>
        <w:trPr>
          <w:cantSplit w:val="true"/>
        </w:trPr>
        <w:tc>
          <w:tcPr>
            <w:tcW w:type="dxa" w:w="680"/>
          </w:tcPr>
          <w:p>
            <w:pPr>
              <w:spacing w:after="0"/>
            </w:pPr>
            <w:r>
              <w:rPr>
                <w:b/>
                <w:sz w:val="18"/>
              </w:rPr>
              <w:t>C7</w:t>
            </w:r>
          </w:p>
        </w:tc>
        <w:tc>
          <w:tcPr>
            <w:tcW w:type="dxa" w:w="5953"/>
          </w:tcPr>
          <w:p>
            <w:pPr>
              <w:spacing w:after="0"/>
            </w:pPr>
            <w:r>
              <w:rPr>
                <w:sz w:val="18"/>
              </w:rPr>
              <w:t>Graph-derived features did not help LightGBM.</w:t>
            </w:r>
          </w:p>
        </w:tc>
        <w:tc>
          <w:tcPr>
            <w:tcW w:type="dxa" w:w="8220"/>
          </w:tcPr>
          <w:p>
            <w:pPr>
              <w:spacing w:after="0"/>
            </w:pPr>
            <w:r>
              <w:rPr>
                <w:sz w:val="18"/>
              </w:rPr>
              <w:t>0.6709 with graph features vs 0.6695 without; seed differences -0.005, +0.003, +0.006.</w:t>
            </w:r>
          </w:p>
        </w:tc>
      </w:tr>
      <w:tr>
        <w:trPr>
          <w:cantSplit w:val="true"/>
        </w:trPr>
        <w:tc>
          <w:tcPr>
            <w:tcW w:type="dxa" w:w="680"/>
            <w:shd w:val="clear" w:color="auto" w:fill="F2F5F9"/>
          </w:tcPr>
          <w:p>
            <w:pPr>
              <w:spacing w:after="0"/>
            </w:pPr>
            <w:r>
              <w:rPr>
                <w:b/>
                <w:sz w:val="18"/>
              </w:rPr>
              <w:t>C8</w:t>
            </w:r>
          </w:p>
        </w:tc>
        <w:tc>
          <w:tcPr>
            <w:tcW w:type="dxa" w:w="5953"/>
            <w:shd w:val="clear" w:color="auto" w:fill="F2F5F9"/>
          </w:tcPr>
          <w:p>
            <w:pPr>
              <w:spacing w:after="0"/>
            </w:pPr>
            <w:r>
              <w:rPr>
                <w:sz w:val="18"/>
              </w:rPr>
              <w:t>Test-set noise is material, especially for Worms.</w:t>
            </w:r>
          </w:p>
        </w:tc>
        <w:tc>
          <w:tcPr>
            <w:tcW w:type="dxa" w:w="8220"/>
            <w:shd w:val="clear" w:color="auto" w:fill="F2F5F9"/>
          </w:tcPr>
          <w:p>
            <w:pPr>
              <w:spacing w:after="0"/>
            </w:pPr>
            <w:r>
              <w:rPr>
                <w:sz w:val="18"/>
              </w:rPr>
              <w:t>Best model 0.670, 95% interval 0.658 to 0.679. Worms has 34 test rows.</w:t>
            </w:r>
          </w:p>
        </w:tc>
      </w:tr>
      <w:tr>
        <w:trPr>
          <w:cantSplit w:val="true"/>
        </w:trPr>
        <w:tc>
          <w:tcPr>
            <w:tcW w:type="dxa" w:w="680"/>
          </w:tcPr>
          <w:p>
            <w:pPr>
              <w:spacing w:after="0"/>
            </w:pPr>
            <w:r>
              <w:rPr>
                <w:b/>
                <w:sz w:val="18"/>
              </w:rPr>
              <w:t>C9</w:t>
            </w:r>
          </w:p>
        </w:tc>
        <w:tc>
          <w:tcPr>
            <w:tcW w:type="dxa" w:w="5953"/>
          </w:tcPr>
          <w:p>
            <w:pPr>
              <w:spacing w:after="0"/>
            </w:pPr>
            <w:r>
              <w:rPr>
                <w:sz w:val="18"/>
              </w:rPr>
              <w:t>Training and test graphs have very different density, and matching them matters.</w:t>
            </w:r>
          </w:p>
        </w:tc>
        <w:tc>
          <w:tcPr>
            <w:tcW w:type="dxa" w:w="8220"/>
          </w:tcPr>
          <w:p>
            <w:pPr>
              <w:spacing w:after="0"/>
            </w:pPr>
            <w:r>
              <w:rPr>
                <w:sz w:val="18"/>
              </w:rPr>
              <w:t>Nodes with one connection: 43.1% (full train graph) vs 78.0% (test graph). Matched vs dense training graph: +0.006 (+0.001 to +0.013).</w:t>
            </w:r>
          </w:p>
        </w:tc>
      </w:tr>
      <w:tr>
        <w:trPr>
          <w:cantSplit w:val="true"/>
        </w:trPr>
        <w:tc>
          <w:tcPr>
            <w:tcW w:type="dxa" w:w="680"/>
            <w:shd w:val="clear" w:color="auto" w:fill="F2F5F9"/>
          </w:tcPr>
          <w:p>
            <w:pPr>
              <w:spacing w:after="0"/>
            </w:pPr>
            <w:r>
              <w:rPr>
                <w:b/>
                <w:sz w:val="18"/>
              </w:rPr>
              <w:t>C10</w:t>
            </w:r>
          </w:p>
        </w:tc>
        <w:tc>
          <w:tcPr>
            <w:tcW w:type="dxa" w:w="5953"/>
            <w:shd w:val="clear" w:color="auto" w:fill="F2F5F9"/>
          </w:tcPr>
          <w:p>
            <w:pPr>
              <w:spacing w:after="0"/>
            </w:pPr>
            <w:r>
              <w:rPr>
                <w:sz w:val="18"/>
              </w:rPr>
              <w:t>TTL features carry strong label information.</w:t>
            </w:r>
          </w:p>
        </w:tc>
        <w:tc>
          <w:tcPr>
            <w:tcW w:type="dxa" w:w="8220"/>
            <w:shd w:val="clear" w:color="auto" w:fill="F2F5F9"/>
          </w:tcPr>
          <w:p>
            <w:pPr>
              <w:spacing w:after="0"/>
            </w:pPr>
            <w:r>
              <w:rPr>
                <w:sz w:val="18"/>
              </w:rPr>
              <w:t>Macro F1 0.6695 with TTL features, 0.6526 without.</w:t>
            </w:r>
          </w:p>
        </w:tc>
      </w:tr>
      <w:tr>
        <w:trPr>
          <w:cantSplit w:val="true"/>
        </w:trPr>
        <w:tc>
          <w:tcPr>
            <w:tcW w:type="dxa" w:w="680"/>
          </w:tcPr>
          <w:p>
            <w:pPr>
              <w:spacing w:after="0"/>
            </w:pPr>
            <w:r>
              <w:rPr>
                <w:b/>
                <w:sz w:val="18"/>
              </w:rPr>
              <w:t>C11</w:t>
            </w:r>
          </w:p>
        </w:tc>
        <w:tc>
          <w:tcPr>
            <w:tcW w:type="dxa" w:w="5953"/>
          </w:tcPr>
          <w:p>
            <w:pPr>
              <w:spacing w:after="0"/>
            </w:pPr>
            <w:r>
              <w:rPr>
                <w:sz w:val="18"/>
              </w:rPr>
              <w:t>Weighted F1 cannot separate our models; macro F1 can.</w:t>
            </w:r>
          </w:p>
        </w:tc>
        <w:tc>
          <w:tcPr>
            <w:tcW w:type="dxa" w:w="8220"/>
          </w:tcPr>
          <w:p>
            <w:pPr>
              <w:spacing w:after="0"/>
            </w:pPr>
            <w:r>
              <w:rPr>
                <w:sz w:val="18"/>
              </w:rPr>
              <w:t>Weighted F1 is 0.978 to 0.9825 for every paper-style GNN condition and for the tree model, while macro F1 ranges from 0.51 to 0.67.</w:t>
            </w:r>
          </w:p>
        </w:tc>
      </w:tr>
    </w:tbl>
    <w:p>
      <w:pPr>
        <w:spacing w:after="80"/>
      </w:pPr>
    </w:p>
    <w:p>
      <w:pPr>
        <w:pStyle w:val="Heading1"/>
      </w:pPr>
      <w:r>
        <w:t>3. Table 1: The papers</w:t>
      </w:r>
    </w:p>
    <w:p>
      <w:pPr>
        <w:spacing w:after="120"/>
      </w:pPr>
      <w:r>
        <w:rPr>
          <w:b w:val="0"/>
          <w:i w:val="0"/>
        </w:rPr>
        <w:t>Ordered by topic: dataset papers, tabular models on UNSW-NB15, graph models for intrusion detection, then general machine-learning and data-quality papers that bear on our claims.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510"/>
            <w:shd w:val="clear" w:color="auto" w:fill="1F3A5F"/>
          </w:tcPr>
          <w:p>
            <w:r>
              <w:rPr>
                <w:b/>
                <w:color w:val="FFFFFF"/>
                <w:sz w:val="16"/>
              </w:rPr>
              <w:t>ID</w:t>
            </w:r>
          </w:p>
        </w:tc>
        <w:tc>
          <w:tcPr>
            <w:tcW w:type="dxa" w:w="2324"/>
            <w:shd w:val="clear" w:color="auto" w:fill="1F3A5F"/>
          </w:tcPr>
          <w:p>
            <w:r>
              <w:rPr>
                <w:b/>
                <w:color w:val="FFFFFF"/>
                <w:sz w:val="16"/>
              </w:rPr>
              <w:t>Paper</w:t>
            </w:r>
          </w:p>
        </w:tc>
        <w:tc>
          <w:tcPr>
            <w:tcW w:type="dxa" w:w="1814"/>
            <w:shd w:val="clear" w:color="auto" w:fill="1F3A5F"/>
          </w:tcPr>
          <w:p>
            <w:r>
              <w:rPr>
                <w:b/>
                <w:color w:val="FFFFFF"/>
                <w:sz w:val="16"/>
              </w:rPr>
              <w:t>Link</w:t>
            </w:r>
          </w:p>
        </w:tc>
        <w:tc>
          <w:tcPr>
            <w:tcW w:type="dxa" w:w="964"/>
            <w:shd w:val="clear" w:color="auto" w:fill="1F3A5F"/>
          </w:tcPr>
          <w:p>
            <w:r>
              <w:rPr>
                <w:b/>
                <w:color w:val="FFFFFF"/>
                <w:sz w:val="16"/>
              </w:rPr>
              <w:t>Type</w:t>
            </w:r>
          </w:p>
        </w:tc>
        <w:tc>
          <w:tcPr>
            <w:tcW w:type="dxa" w:w="1757"/>
            <w:shd w:val="clear" w:color="auto" w:fill="1F3A5F"/>
          </w:tcPr>
          <w:p>
            <w:r>
              <w:rPr>
                <w:b/>
                <w:color w:val="FFFFFF"/>
                <w:sz w:val="16"/>
              </w:rPr>
              <w:t>Dataset</w:t>
            </w:r>
          </w:p>
        </w:tc>
        <w:tc>
          <w:tcPr>
            <w:tcW w:type="dxa" w:w="1701"/>
            <w:shd w:val="clear" w:color="auto" w:fill="1F3A5F"/>
          </w:tcPr>
          <w:p>
            <w:r>
              <w:rPr>
                <w:b/>
                <w:color w:val="FFFFFF"/>
                <w:sz w:val="16"/>
              </w:rPr>
              <w:t>Split / protocol</w:t>
            </w:r>
          </w:p>
        </w:tc>
        <w:tc>
          <w:tcPr>
            <w:tcW w:type="dxa" w:w="2438"/>
            <w:shd w:val="clear" w:color="auto" w:fill="1F3A5F"/>
          </w:tcPr>
          <w:p>
            <w:r>
              <w:rPr>
                <w:b/>
                <w:color w:val="FFFFFF"/>
                <w:sz w:val="16"/>
              </w:rPr>
              <w:t>Method</w:t>
            </w:r>
          </w:p>
        </w:tc>
        <w:tc>
          <w:tcPr>
            <w:tcW w:type="dxa" w:w="2494"/>
            <w:shd w:val="clear" w:color="auto" w:fill="1F3A5F"/>
          </w:tcPr>
          <w:p>
            <w:r>
              <w:rPr>
                <w:b/>
                <w:color w:val="FFFFFF"/>
                <w:sz w:val="16"/>
              </w:rPr>
              <w:t>Metric and reported result</w:t>
            </w:r>
          </w:p>
        </w:tc>
        <w:tc>
          <w:tcPr>
            <w:tcW w:type="dxa" w:w="1134"/>
            <w:shd w:val="clear" w:color="auto" w:fill="1F3A5F"/>
          </w:tcPr>
          <w:p>
            <w:r>
              <w:rPr>
                <w:b/>
                <w:color w:val="FFFFFF"/>
                <w:sz w:val="16"/>
              </w:rPr>
              <w:t>How much we read</w:t>
            </w:r>
          </w:p>
        </w:tc>
      </w:tr>
      <w:tr>
        <w:trPr>
          <w:cantSplit w:val="true"/>
        </w:trPr>
        <w:tc>
          <w:tcPr>
            <w:tcW w:type="dxa" w:w="510"/>
          </w:tcPr>
          <w:p>
            <w:pPr>
              <w:spacing w:after="0"/>
            </w:pPr>
            <w:r>
              <w:rPr>
                <w:b/>
                <w:sz w:val="15"/>
              </w:rPr>
              <w:t>P1</w:t>
            </w:r>
          </w:p>
        </w:tc>
        <w:tc>
          <w:tcPr>
            <w:tcW w:type="dxa" w:w="2324"/>
          </w:tcPr>
          <w:p>
            <w:pPr>
              <w:spacing w:after="0"/>
            </w:pPr>
            <w:r>
              <w:rPr>
                <w:sz w:val="15"/>
              </w:rPr>
              <w:t>Moustafa &amp; Slay (2015). UNSW-NB15: a comprehensive data set for network intrusion detection systems. MilCIS.</w:t>
            </w:r>
          </w:p>
        </w:tc>
        <w:tc>
          <w:tcPr>
            <w:tcW w:type="dxa" w:w="1814"/>
          </w:tcPr>
          <w:p>
            <w:pPr>
              <w:spacing w:after="0"/>
            </w:pPr>
            <w:hyperlink r:id="rId9">
              <w:r>
                <w:rPr>
                  <w:color w:val="0563C1"/>
                  <w:u w:val="single"/>
                  <w:sz w:val="15"/>
                </w:rPr>
                <w:t>https://research.unsw.edu.au/projects/unsw-nb15-dataset</w:t>
              </w:r>
            </w:hyperlink>
          </w:p>
        </w:tc>
        <w:tc>
          <w:tcPr>
            <w:tcW w:type="dxa" w:w="964"/>
          </w:tcPr>
          <w:p>
            <w:pPr>
              <w:spacing w:after="0"/>
            </w:pPr>
            <w:r>
              <w:rPr>
                <w:sz w:val="15"/>
              </w:rPr>
              <w:t>Dataset</w:t>
            </w:r>
          </w:p>
        </w:tc>
        <w:tc>
          <w:tcPr>
            <w:tcW w:type="dxa" w:w="1757"/>
          </w:tcPr>
          <w:p>
            <w:pPr>
              <w:spacing w:after="0"/>
            </w:pPr>
            <w:r>
              <w:rPr>
                <w:sz w:val="15"/>
              </w:rPr>
              <w:t>UNSW-NB15: 2,540,044 records, 49 features, generated with an IXIA traffic generator.</w:t>
            </w:r>
          </w:p>
        </w:tc>
        <w:tc>
          <w:tcPr>
            <w:tcW w:type="dxa" w:w="1701"/>
          </w:tcPr>
          <w:p>
            <w:pPr>
              <w:spacing w:after="0"/>
            </w:pPr>
            <w:r>
              <w:rPr>
                <w:sz w:val="15"/>
              </w:rPr>
              <w:t>Authors' partition: 175,341 train, 82,332 test.</w:t>
            </w:r>
          </w:p>
        </w:tc>
        <w:tc>
          <w:tcPr>
            <w:tcW w:type="dxa" w:w="2438"/>
          </w:tcPr>
          <w:p>
            <w:pPr>
              <w:spacing w:after="0"/>
            </w:pPr>
            <w:r>
              <w:rPr>
                <w:sz w:val="15"/>
              </w:rPr>
              <w:t>Dataset description: real normal traffic mixed with synthesised attack traffic.</w:t>
            </w:r>
          </w:p>
        </w:tc>
        <w:tc>
          <w:tcPr>
            <w:tcW w:type="dxa" w:w="2494"/>
          </w:tcPr>
          <w:p>
            <w:pPr>
              <w:spacing w:after="0"/>
            </w:pPr>
            <w:r>
              <w:rPr>
                <w:sz w:val="15"/>
              </w:rPr>
              <w:t>No model results to compare.</w:t>
            </w:r>
          </w:p>
        </w:tc>
        <w:tc>
          <w:tcPr>
            <w:tcW w:type="dxa" w:w="1134"/>
          </w:tcPr>
          <w:p>
            <w:pPr>
              <w:spacing w:after="0"/>
            </w:pPr>
            <w:r>
              <w:rPr>
                <w:sz w:val="15"/>
              </w:rPr>
              <w:t>Abstract only (project page and search summaries; paper DOI not checked)</w:t>
            </w:r>
          </w:p>
        </w:tc>
      </w:tr>
      <w:tr>
        <w:trPr>
          <w:cantSplit w:val="true"/>
        </w:trPr>
        <w:tc>
          <w:tcPr>
            <w:tcW w:type="dxa" w:w="510"/>
            <w:shd w:val="clear" w:color="auto" w:fill="F2F5F9"/>
          </w:tcPr>
          <w:p>
            <w:pPr>
              <w:spacing w:after="0"/>
            </w:pPr>
            <w:r>
              <w:rPr>
                <w:b/>
                <w:sz w:val="15"/>
              </w:rPr>
              <w:t>P2</w:t>
            </w:r>
          </w:p>
        </w:tc>
        <w:tc>
          <w:tcPr>
            <w:tcW w:type="dxa" w:w="2324"/>
            <w:shd w:val="clear" w:color="auto" w:fill="F2F5F9"/>
          </w:tcPr>
          <w:p>
            <w:pPr>
              <w:spacing w:after="0"/>
            </w:pPr>
            <w:r>
              <w:rPr>
                <w:sz w:val="15"/>
              </w:rPr>
              <w:t>Sarhan, Layeghy, Moustafa, Portmann (2020/21). NetFlow Datasets for Machine Learning-based Network Intrusion Detection Systems.</w:t>
            </w:r>
          </w:p>
        </w:tc>
        <w:tc>
          <w:tcPr>
            <w:tcW w:type="dxa" w:w="1814"/>
            <w:shd w:val="clear" w:color="auto" w:fill="F2F5F9"/>
          </w:tcPr>
          <w:p>
            <w:pPr>
              <w:spacing w:after="0"/>
            </w:pPr>
            <w:hyperlink r:id="rId10">
              <w:r>
                <w:rPr>
                  <w:color w:val="0563C1"/>
                  <w:u w:val="single"/>
                  <w:sz w:val="15"/>
                </w:rPr>
                <w:t>https://arxiv.org/abs/2011.09144</w:t>
              </w:r>
            </w:hyperlink>
          </w:p>
        </w:tc>
        <w:tc>
          <w:tcPr>
            <w:tcW w:type="dxa" w:w="964"/>
            <w:shd w:val="clear" w:color="auto" w:fill="F2F5F9"/>
          </w:tcPr>
          <w:p>
            <w:pPr>
              <w:spacing w:after="0"/>
            </w:pPr>
            <w:r>
              <w:rPr>
                <w:sz w:val="15"/>
              </w:rPr>
              <w:t>Dataset and tabular baseline</w:t>
            </w:r>
          </w:p>
        </w:tc>
        <w:tc>
          <w:tcPr>
            <w:tcW w:type="dxa" w:w="1757"/>
            <w:shd w:val="clear" w:color="auto" w:fill="F2F5F9"/>
          </w:tcPr>
          <w:p>
            <w:pPr>
              <w:spacing w:after="0"/>
            </w:pPr>
            <w:r>
              <w:rPr>
                <w:sz w:val="15"/>
              </w:rPr>
              <w:t>UNSW-NB15 and NF-UNSW-NB15 (plus three other dataset pairs).</w:t>
            </w:r>
          </w:p>
        </w:tc>
        <w:tc>
          <w:tcPr>
            <w:tcW w:type="dxa" w:w="1701"/>
            <w:shd w:val="clear" w:color="auto" w:fill="F2F5F9"/>
          </w:tcPr>
          <w:p>
            <w:pPr>
              <w:spacing w:after="0"/>
            </w:pPr>
            <w:r>
              <w:rPr>
                <w:sz w:val="15"/>
              </w:rPr>
              <w:t>5-fold cross-validation. TTL features (sttl, dttl, ct_state_ttl) dropped for UNSW-NB15 because of 'extreme correlation with the labels'. Min-max scaling.</w:t>
            </w:r>
          </w:p>
        </w:tc>
        <w:tc>
          <w:tcPr>
            <w:tcW w:type="dxa" w:w="2438"/>
            <w:shd w:val="clear" w:color="auto" w:fill="F2F5F9"/>
          </w:tcPr>
          <w:p>
            <w:pPr>
              <w:spacing w:after="0"/>
            </w:pPr>
            <w:r>
              <w:rPr>
                <w:sz w:val="15"/>
              </w:rPr>
              <w:t>Extra Trees, 50 trees, custom class weights = total samples / (classes x class count).</w:t>
            </w:r>
          </w:p>
        </w:tc>
        <w:tc>
          <w:tcPr>
            <w:tcW w:type="dxa" w:w="2494"/>
            <w:shd w:val="clear" w:color="auto" w:fill="F2F5F9"/>
          </w:tcPr>
          <w:p>
            <w:pPr>
              <w:spacing w:after="0"/>
            </w:pPr>
            <w:r>
              <w:rPr>
                <w:sz w:val="15"/>
              </w:rPr>
              <w:t>Accuracy, AUC, F1, detection rate, false alarm rate; per-class detection rate and F1. UNSW-NB15 10 classes: Analysis F1 0.03, Backdoor 0.08, DoS 0.18, Worms 0.09, Generic 0.91; accuracy 98.19%, weighted F1 0.98 (Table 9).</w:t>
            </w:r>
          </w:p>
        </w:tc>
        <w:tc>
          <w:tcPr>
            <w:tcW w:type="dxa" w:w="1134"/>
            <w:shd w:val="clear" w:color="auto" w:fill="F2F5F9"/>
          </w:tcPr>
          <w:p>
            <w:pPr>
              <w:spacing w:after="0"/>
            </w:pPr>
            <w:r>
              <w:rPr>
                <w:sz w:val="15"/>
              </w:rPr>
              <w:t>Full text read</w:t>
            </w:r>
          </w:p>
        </w:tc>
      </w:tr>
      <w:tr>
        <w:trPr>
          <w:cantSplit w:val="true"/>
        </w:trPr>
        <w:tc>
          <w:tcPr>
            <w:tcW w:type="dxa" w:w="510"/>
          </w:tcPr>
          <w:p>
            <w:pPr>
              <w:spacing w:after="0"/>
            </w:pPr>
            <w:r>
              <w:rPr>
                <w:b/>
                <w:sz w:val="15"/>
              </w:rPr>
              <w:t>P3</w:t>
            </w:r>
          </w:p>
        </w:tc>
        <w:tc>
          <w:tcPr>
            <w:tcW w:type="dxa" w:w="2324"/>
          </w:tcPr>
          <w:p>
            <w:pPr>
              <w:spacing w:after="0"/>
            </w:pPr>
            <w:r>
              <w:rPr>
                <w:sz w:val="15"/>
              </w:rPr>
              <w:t>Sarhan, Layeghy, Portmann (2021). Towards a Standard Feature Set for Network Intrusion Detection System Datasets.</w:t>
            </w:r>
          </w:p>
        </w:tc>
        <w:tc>
          <w:tcPr>
            <w:tcW w:type="dxa" w:w="1814"/>
          </w:tcPr>
          <w:p>
            <w:pPr>
              <w:spacing w:after="0"/>
            </w:pPr>
            <w:hyperlink r:id="rId11">
              <w:r>
                <w:rPr>
                  <w:color w:val="0563C1"/>
                  <w:u w:val="single"/>
                  <w:sz w:val="15"/>
                </w:rPr>
                <w:t>https://arxiv.org/abs/2101.11315</w:t>
              </w:r>
            </w:hyperlink>
          </w:p>
        </w:tc>
        <w:tc>
          <w:tcPr>
            <w:tcW w:type="dxa" w:w="964"/>
          </w:tcPr>
          <w:p>
            <w:pPr>
              <w:spacing w:after="0"/>
            </w:pPr>
            <w:r>
              <w:rPr>
                <w:sz w:val="15"/>
              </w:rPr>
              <w:t>Dataset / feature sets</w:t>
            </w:r>
          </w:p>
        </w:tc>
        <w:tc>
          <w:tcPr>
            <w:tcW w:type="dxa" w:w="1757"/>
          </w:tcPr>
          <w:p>
            <w:pPr>
              <w:spacing w:after="0"/>
            </w:pPr>
            <w:r>
              <w:rPr>
                <w:sz w:val="15"/>
              </w:rPr>
              <w:t>Several NIDS datasets (list not checked).</w:t>
            </w:r>
          </w:p>
        </w:tc>
        <w:tc>
          <w:tcPr>
            <w:tcW w:type="dxa" w:w="1701"/>
          </w:tcPr>
          <w:p>
            <w:pPr>
              <w:spacing w:after="0"/>
            </w:pPr>
            <w:r>
              <w:rPr>
                <w:sz w:val="15"/>
              </w:rPr>
              <w:t>Not checked.</w:t>
            </w:r>
          </w:p>
        </w:tc>
        <w:tc>
          <w:tcPr>
            <w:tcW w:type="dxa" w:w="2438"/>
          </w:tcPr>
          <w:p>
            <w:pPr>
              <w:spacing w:after="0"/>
            </w:pPr>
            <w:r>
              <w:rPr>
                <w:sz w:val="15"/>
              </w:rPr>
              <w:t>Proposes two NetFlow-based feature sets (12 and 43 features) so datasets can be compared.</w:t>
            </w:r>
          </w:p>
        </w:tc>
        <w:tc>
          <w:tcPr>
            <w:tcW w:type="dxa" w:w="2494"/>
          </w:tcPr>
          <w:p>
            <w:pPr>
              <w:spacing w:after="0"/>
            </w:pPr>
            <w:r>
              <w:rPr>
                <w:sz w:val="15"/>
              </w:rPr>
              <w:t>Not checked. The abstract argues that dataset-specific features make performance comparison 'virtually impossible'.</w:t>
            </w:r>
          </w:p>
        </w:tc>
        <w:tc>
          <w:tcPr>
            <w:tcW w:type="dxa" w:w="1134"/>
          </w:tcPr>
          <w:p>
            <w:pPr>
              <w:spacing w:after="0"/>
            </w:pPr>
            <w:r>
              <w:rPr>
                <w:sz w:val="15"/>
              </w:rPr>
              <w:t>Abstract only (abstract)</w:t>
            </w:r>
          </w:p>
        </w:tc>
      </w:tr>
      <w:tr>
        <w:trPr>
          <w:cantSplit w:val="true"/>
        </w:trPr>
        <w:tc>
          <w:tcPr>
            <w:tcW w:type="dxa" w:w="510"/>
            <w:shd w:val="clear" w:color="auto" w:fill="F2F5F9"/>
          </w:tcPr>
          <w:p>
            <w:pPr>
              <w:spacing w:after="0"/>
            </w:pPr>
            <w:r>
              <w:rPr>
                <w:b/>
                <w:sz w:val="15"/>
              </w:rPr>
              <w:t>P4</w:t>
            </w:r>
          </w:p>
        </w:tc>
        <w:tc>
          <w:tcPr>
            <w:tcW w:type="dxa" w:w="2324"/>
            <w:shd w:val="clear" w:color="auto" w:fill="F2F5F9"/>
          </w:tcPr>
          <w:p>
            <w:pPr>
              <w:spacing w:after="0"/>
            </w:pPr>
            <w:r>
              <w:rPr>
                <w:sz w:val="15"/>
              </w:rPr>
              <w:t>Zoghi &amp; Serpen (2024). Building an intrusion detection system on UNSW-NB15: reducing the margin of error to deal with data overlap and imbalance. Concurrency and Computation: Practice and Experience.</w:t>
            </w:r>
          </w:p>
        </w:tc>
        <w:tc>
          <w:tcPr>
            <w:tcW w:type="dxa" w:w="1814"/>
            <w:shd w:val="clear" w:color="auto" w:fill="F2F5F9"/>
          </w:tcPr>
          <w:p>
            <w:pPr>
              <w:spacing w:after="0"/>
            </w:pPr>
            <w:hyperlink r:id="rId12">
              <w:r>
                <w:rPr>
                  <w:color w:val="0563C1"/>
                  <w:u w:val="single"/>
                  <w:sz w:val="15"/>
                </w:rPr>
                <w:t>https://onlinelibrary.wiley.com/doi/full/10.1002/cpe.8242</w:t>
              </w:r>
            </w:hyperlink>
          </w:p>
        </w:tc>
        <w:tc>
          <w:tcPr>
            <w:tcW w:type="dxa" w:w="964"/>
            <w:shd w:val="clear" w:color="auto" w:fill="F2F5F9"/>
          </w:tcPr>
          <w:p>
            <w:pPr>
              <w:spacing w:after="0"/>
            </w:pPr>
            <w:r>
              <w:rPr>
                <w:sz w:val="15"/>
              </w:rPr>
              <w:t>Tabular ML</w:t>
            </w:r>
          </w:p>
        </w:tc>
        <w:tc>
          <w:tcPr>
            <w:tcW w:type="dxa" w:w="1757"/>
            <w:shd w:val="clear" w:color="auto" w:fill="F2F5F9"/>
          </w:tcPr>
          <w:p>
            <w:pPr>
              <w:spacing w:after="0"/>
            </w:pPr>
            <w:r>
              <w:rPr>
                <w:sz w:val="15"/>
              </w:rPr>
              <w:t>UNSW-NB15.</w:t>
            </w:r>
          </w:p>
        </w:tc>
        <w:tc>
          <w:tcPr>
            <w:tcW w:type="dxa" w:w="1701"/>
            <w:shd w:val="clear" w:color="auto" w:fill="F2F5F9"/>
          </w:tcPr>
          <w:p>
            <w:pPr>
              <w:spacing w:after="0"/>
            </w:pPr>
            <w:r>
              <w:rPr>
                <w:sz w:val="15"/>
              </w:rPr>
              <w:t>Not checked (publisher page returned an access error).</w:t>
            </w:r>
          </w:p>
        </w:tc>
        <w:tc>
          <w:tcPr>
            <w:tcW w:type="dxa" w:w="2438"/>
            <w:shd w:val="clear" w:color="auto" w:fill="F2F5F9"/>
          </w:tcPr>
          <w:p>
            <w:pPr>
              <w:spacing w:after="0"/>
            </w:pPr>
            <w:r>
              <w:rPr>
                <w:sz w:val="15"/>
              </w:rPr>
              <w:t>Ensemble of Balanced Bagging, XGBoost and Random Forest; grid search for the first two; Hellinger metric for the forest, aimed at class imbalance and overlap.</w:t>
            </w:r>
          </w:p>
        </w:tc>
        <w:tc>
          <w:tcPr>
            <w:tcW w:type="dxa" w:w="2494"/>
            <w:shd w:val="clear" w:color="auto" w:fill="F2F5F9"/>
          </w:tcPr>
          <w:p>
            <w:pPr>
              <w:spacing w:after="0"/>
            </w:pPr>
            <w:r>
              <w:rPr>
                <w:sz w:val="15"/>
              </w:rPr>
              <w:t>As stated in the abstract: binary accuracy 97.80%, sensitivity 98.26%; multi-category accuracy and sensitivity up to 99.73% and 97.24% 'for certain attack types'.</w:t>
            </w:r>
          </w:p>
        </w:tc>
        <w:tc>
          <w:tcPr>
            <w:tcW w:type="dxa" w:w="1134"/>
            <w:shd w:val="clear" w:color="auto" w:fill="F2F5F9"/>
          </w:tcPr>
          <w:p>
            <w:pPr>
              <w:spacing w:after="0"/>
            </w:pPr>
            <w:r>
              <w:rPr>
                <w:sz w:val="15"/>
              </w:rPr>
              <w:t>Abstract only (abstract via search summary)</w:t>
            </w:r>
          </w:p>
        </w:tc>
      </w:tr>
      <w:tr>
        <w:trPr>
          <w:cantSplit w:val="true"/>
        </w:trPr>
        <w:tc>
          <w:tcPr>
            <w:tcW w:type="dxa" w:w="510"/>
          </w:tcPr>
          <w:p>
            <w:pPr>
              <w:spacing w:after="0"/>
            </w:pPr>
            <w:r>
              <w:rPr>
                <w:b/>
                <w:sz w:val="15"/>
              </w:rPr>
              <w:t>P5</w:t>
            </w:r>
          </w:p>
        </w:tc>
        <w:tc>
          <w:tcPr>
            <w:tcW w:type="dxa" w:w="2324"/>
          </w:tcPr>
          <w:p>
            <w:pPr>
              <w:spacing w:after="0"/>
            </w:pPr>
            <w:r>
              <w:rPr>
                <w:sz w:val="15"/>
              </w:rPr>
              <w:t>Kasongo &amp; Sun (2020). Performance analysis of intrusion detection systems using a feature selection method on the UNSW-NB15 dataset. Journal of Big Data 7.</w:t>
            </w:r>
          </w:p>
        </w:tc>
        <w:tc>
          <w:tcPr>
            <w:tcW w:type="dxa" w:w="1814"/>
          </w:tcPr>
          <w:p>
            <w:pPr>
              <w:spacing w:after="0"/>
            </w:pPr>
            <w:hyperlink r:id="rId13">
              <w:r>
                <w:rPr>
                  <w:color w:val="0563C1"/>
                  <w:u w:val="single"/>
                  <w:sz w:val="15"/>
                </w:rPr>
                <w:t>https://doi.org/10.1186/s40537-020-00379-6</w:t>
              </w:r>
            </w:hyperlink>
          </w:p>
        </w:tc>
        <w:tc>
          <w:tcPr>
            <w:tcW w:type="dxa" w:w="964"/>
          </w:tcPr>
          <w:p>
            <w:pPr>
              <w:spacing w:after="0"/>
            </w:pPr>
            <w:r>
              <w:rPr>
                <w:sz w:val="15"/>
              </w:rPr>
              <w:t>Tabular ML</w:t>
            </w:r>
          </w:p>
        </w:tc>
        <w:tc>
          <w:tcPr>
            <w:tcW w:type="dxa" w:w="1757"/>
          </w:tcPr>
          <w:p>
            <w:pPr>
              <w:spacing w:after="0"/>
            </w:pPr>
            <w:r>
              <w:rPr>
                <w:sz w:val="15"/>
              </w:rPr>
              <w:t>UNSW-NB15.</w:t>
            </w:r>
          </w:p>
        </w:tc>
        <w:tc>
          <w:tcPr>
            <w:tcW w:type="dxa" w:w="1701"/>
          </w:tcPr>
          <w:p>
            <w:pPr>
              <w:spacing w:after="0"/>
            </w:pPr>
            <w:r>
              <w:rPr>
                <w:sz w:val="15"/>
              </w:rPr>
              <w:t>Not checked.</w:t>
            </w:r>
          </w:p>
        </w:tc>
        <w:tc>
          <w:tcPr>
            <w:tcW w:type="dxa" w:w="2438"/>
          </w:tcPr>
          <w:p>
            <w:pPr>
              <w:spacing w:after="0"/>
            </w:pPr>
            <w:r>
              <w:rPr>
                <w:sz w:val="15"/>
              </w:rPr>
              <w:t>XGBoost-based filter feature selection, then DT, ANN, LR, KNN and SVM classifiers.</w:t>
            </w:r>
          </w:p>
        </w:tc>
        <w:tc>
          <w:tcPr>
            <w:tcW w:type="dxa" w:w="2494"/>
          </w:tcPr>
          <w:p>
            <w:pPr>
              <w:spacing w:after="0"/>
            </w:pPr>
            <w:r>
              <w:rPr>
                <w:sz w:val="15"/>
              </w:rPr>
              <w:t>Not checked.</w:t>
            </w:r>
          </w:p>
        </w:tc>
        <w:tc>
          <w:tcPr>
            <w:tcW w:type="dxa" w:w="1134"/>
          </w:tcPr>
          <w:p>
            <w:pPr>
              <w:spacing w:after="0"/>
            </w:pPr>
            <w:r>
              <w:rPr>
                <w:sz w:val="15"/>
              </w:rPr>
              <w:t>Abstract only (search summary)</w:t>
            </w:r>
          </w:p>
        </w:tc>
      </w:tr>
      <w:tr>
        <w:trPr>
          <w:cantSplit w:val="true"/>
        </w:trPr>
        <w:tc>
          <w:tcPr>
            <w:tcW w:type="dxa" w:w="510"/>
            <w:shd w:val="clear" w:color="auto" w:fill="F2F5F9"/>
          </w:tcPr>
          <w:p>
            <w:pPr>
              <w:spacing w:after="0"/>
            </w:pPr>
            <w:r>
              <w:rPr>
                <w:b/>
                <w:sz w:val="15"/>
              </w:rPr>
              <w:t>P6</w:t>
            </w:r>
          </w:p>
        </w:tc>
        <w:tc>
          <w:tcPr>
            <w:tcW w:type="dxa" w:w="2324"/>
            <w:shd w:val="clear" w:color="auto" w:fill="F2F5F9"/>
          </w:tcPr>
          <w:p>
            <w:pPr>
              <w:spacing w:after="0"/>
            </w:pPr>
            <w:r>
              <w:rPr>
                <w:sz w:val="15"/>
              </w:rPr>
              <w:t>Lo, Layeghy, Sarhan, Gallagher, Portmann (2022). E-GraphSAGE: A Graph Neural Network based Intrusion Detection System for IoT. NOMS 2022.</w:t>
            </w:r>
          </w:p>
        </w:tc>
        <w:tc>
          <w:tcPr>
            <w:tcW w:type="dxa" w:w="1814"/>
            <w:shd w:val="clear" w:color="auto" w:fill="F2F5F9"/>
          </w:tcPr>
          <w:p>
            <w:pPr>
              <w:spacing w:after="0"/>
            </w:pPr>
            <w:hyperlink r:id="rId14">
              <w:r>
                <w:rPr>
                  <w:color w:val="0563C1"/>
                  <w:u w:val="single"/>
                  <w:sz w:val="15"/>
                </w:rPr>
                <w:t>https://arxiv.org/abs/2103.16329</w:t>
              </w:r>
            </w:hyperlink>
          </w:p>
        </w:tc>
        <w:tc>
          <w:tcPr>
            <w:tcW w:type="dxa" w:w="964"/>
            <w:shd w:val="clear" w:color="auto" w:fill="F2F5F9"/>
          </w:tcPr>
          <w:p>
            <w:pPr>
              <w:spacing w:after="0"/>
            </w:pPr>
            <w:r>
              <w:rPr>
                <w:sz w:val="15"/>
              </w:rPr>
              <w:t>GNN (flow graph)</w:t>
            </w:r>
          </w:p>
        </w:tc>
        <w:tc>
          <w:tcPr>
            <w:tcW w:type="dxa" w:w="1757"/>
            <w:shd w:val="clear" w:color="auto" w:fill="F2F5F9"/>
          </w:tcPr>
          <w:p>
            <w:pPr>
              <w:spacing w:after="0"/>
            </w:pPr>
            <w:r>
              <w:rPr>
                <w:sz w:val="15"/>
              </w:rPr>
              <w:t>BoT-IoT, ToN-IoT (10% random sample), NF-BoT-IoT, NF-ToN-IoT. UNSW-NB15 is not evaluated.</w:t>
            </w:r>
          </w:p>
        </w:tc>
        <w:tc>
          <w:tcPr>
            <w:tcW w:type="dxa" w:w="1701"/>
            <w:shd w:val="clear" w:color="auto" w:fill="F2F5F9"/>
          </w:tcPr>
          <w:p>
            <w:pPr>
              <w:spacing w:after="0"/>
            </w:pPr>
            <w:r>
              <w:rPr>
                <w:sz w:val="15"/>
              </w:rPr>
              <w:t>Random 70% train, 30% test of flow records.</w:t>
            </w:r>
          </w:p>
        </w:tc>
        <w:tc>
          <w:tcPr>
            <w:tcW w:type="dxa" w:w="2438"/>
            <w:shd w:val="clear" w:color="auto" w:fill="F2F5F9"/>
          </w:tcPr>
          <w:p>
            <w:pPr>
              <w:spacing w:after="0"/>
            </w:pPr>
            <w:r>
              <w:rPr>
                <w:sz w:val="15"/>
              </w:rPr>
              <w:t>Nodes = (IP address, port); edges = flows; node features all ones; 2 E-GraphSAGE layers, 128 hidden units, mean aggregation, full neighbourhood, ReLU, dropout 0.2, cross-entropy, Adam lr 0.001.</w:t>
            </w:r>
          </w:p>
        </w:tc>
        <w:tc>
          <w:tcPr>
            <w:tcW w:type="dxa" w:w="2494"/>
            <w:shd w:val="clear" w:color="auto" w:fill="F2F5F9"/>
          </w:tcPr>
          <w:p>
            <w:pPr>
              <w:spacing w:after="0"/>
            </w:pPr>
            <w:r>
              <w:rPr>
                <w:sz w:val="15"/>
              </w:rPr>
              <w:t>Binary F1 0.97 to 1.00. Multi-class weighted F1: BoT-IoT 1.00, NF-BoT-IoT 0.81, ToN-IoT 0.87, NF-ToN-IoT 0.63. Compared with Extra Trees numbers taken from P2 (0.77, 0.87, 0.60 on the last three). Per-class scores vary widely (for example DoS F1 0.00 on NF-ToN-IoT). We did not find a no-graph control of their own in the text.</w:t>
            </w:r>
          </w:p>
        </w:tc>
        <w:tc>
          <w:tcPr>
            <w:tcW w:type="dxa" w:w="1134"/>
            <w:shd w:val="clear" w:color="auto" w:fill="F2F5F9"/>
          </w:tcPr>
          <w:p>
            <w:pPr>
              <w:spacing w:after="0"/>
            </w:pPr>
            <w:r>
              <w:rPr>
                <w:sz w:val="15"/>
              </w:rPr>
              <w:t>Full text read</w:t>
            </w:r>
          </w:p>
        </w:tc>
      </w:tr>
      <w:tr>
        <w:trPr>
          <w:cantSplit w:val="true"/>
        </w:trPr>
        <w:tc>
          <w:tcPr>
            <w:tcW w:type="dxa" w:w="510"/>
          </w:tcPr>
          <w:p>
            <w:pPr>
              <w:spacing w:after="0"/>
            </w:pPr>
            <w:r>
              <w:rPr>
                <w:b/>
                <w:sz w:val="15"/>
              </w:rPr>
              <w:t>P7</w:t>
            </w:r>
          </w:p>
        </w:tc>
        <w:tc>
          <w:tcPr>
            <w:tcW w:type="dxa" w:w="2324"/>
          </w:tcPr>
          <w:p>
            <w:pPr>
              <w:spacing w:after="0"/>
            </w:pPr>
            <w:r>
              <w:rPr>
                <w:sz w:val="15"/>
              </w:rPr>
              <w:t>Caville, Lo, Layeghy, Portmann (2022). Anomal-E: A Self-Supervised Network Intrusion Detection System based on Graph Neural Networks. Knowledge-Based Systems.</w:t>
            </w:r>
          </w:p>
        </w:tc>
        <w:tc>
          <w:tcPr>
            <w:tcW w:type="dxa" w:w="1814"/>
          </w:tcPr>
          <w:p>
            <w:pPr>
              <w:spacing w:after="0"/>
            </w:pPr>
            <w:hyperlink r:id="rId15">
              <w:r>
                <w:rPr>
                  <w:color w:val="0563C1"/>
                  <w:u w:val="single"/>
                  <w:sz w:val="15"/>
                </w:rPr>
                <w:t>https://arxiv.org/abs/2207.06819</w:t>
              </w:r>
            </w:hyperlink>
          </w:p>
        </w:tc>
        <w:tc>
          <w:tcPr>
            <w:tcW w:type="dxa" w:w="964"/>
          </w:tcPr>
          <w:p>
            <w:pPr>
              <w:spacing w:after="0"/>
            </w:pPr>
            <w:r>
              <w:rPr>
                <w:sz w:val="15"/>
              </w:rPr>
              <w:t>GNN (self-supervised)</w:t>
            </w:r>
          </w:p>
        </w:tc>
        <w:tc>
          <w:tcPr>
            <w:tcW w:type="dxa" w:w="1757"/>
          </w:tcPr>
          <w:p>
            <w:pPr>
              <w:spacing w:after="0"/>
            </w:pPr>
            <w:r>
              <w:rPr>
                <w:sz w:val="15"/>
              </w:rPr>
              <w:t>NF-UNSW-NB15-v2 (2,390,275 flows, 96.02% benign) and NF-CSE-CIC-IDS2018-v2, each randomly down-sampled to 10%.</w:t>
            </w:r>
          </w:p>
        </w:tc>
        <w:tc>
          <w:tcPr>
            <w:tcW w:type="dxa" w:w="1701"/>
          </w:tcPr>
          <w:p>
            <w:pPr>
              <w:spacing w:after="0"/>
            </w:pPr>
            <w:r>
              <w:rPr>
                <w:sz w:val="15"/>
              </w:rPr>
              <w:t>Random 70% train, 30% test. Main setting: attack flows left out of training ('0% contamination').</w:t>
            </w:r>
          </w:p>
        </w:tc>
        <w:tc>
          <w:tcPr>
            <w:tcW w:type="dxa" w:w="2438"/>
          </w:tcPr>
          <w:p>
            <w:pPr>
              <w:spacing w:after="0"/>
            </w:pPr>
            <w:r>
              <w:rPr>
                <w:sz w:val="15"/>
              </w:rPr>
              <w:t>E-GraphSAGE encoder trained with a self-supervised objective; edge embeddings passed to anomaly detectors (PCA, Isolation Forest, CBLOF, HBOS). Baselines: GraphSAGE and DGI embeddings.</w:t>
            </w:r>
          </w:p>
        </w:tc>
        <w:tc>
          <w:tcPr>
            <w:tcW w:type="dxa" w:w="2494"/>
          </w:tcPr>
          <w:p>
            <w:pPr>
              <w:spacing w:after="0"/>
            </w:pPr>
            <w:r>
              <w:rPr>
                <w:sz w:val="15"/>
              </w:rPr>
              <w:t>Macro F1 on NF-UNSW-NB15-v2: 71.34% with raw features vs 88.45% with Anomal-E embeddings and HBOS. The task is attack vs benign anomaly detection, not 10-class classification.</w:t>
            </w:r>
          </w:p>
        </w:tc>
        <w:tc>
          <w:tcPr>
            <w:tcW w:type="dxa" w:w="1134"/>
          </w:tcPr>
          <w:p>
            <w:pPr>
              <w:spacing w:after="0"/>
            </w:pPr>
            <w:r>
              <w:rPr>
                <w:sz w:val="15"/>
              </w:rPr>
              <w:t>Full text read</w:t>
            </w:r>
          </w:p>
        </w:tc>
      </w:tr>
      <w:tr>
        <w:trPr>
          <w:cantSplit w:val="true"/>
        </w:trPr>
        <w:tc>
          <w:tcPr>
            <w:tcW w:type="dxa" w:w="510"/>
            <w:shd w:val="clear" w:color="auto" w:fill="F2F5F9"/>
          </w:tcPr>
          <w:p>
            <w:pPr>
              <w:spacing w:after="0"/>
            </w:pPr>
            <w:r>
              <w:rPr>
                <w:b/>
                <w:sz w:val="15"/>
              </w:rPr>
              <w:t>P8</w:t>
            </w:r>
          </w:p>
        </w:tc>
        <w:tc>
          <w:tcPr>
            <w:tcW w:type="dxa" w:w="2324"/>
            <w:shd w:val="clear" w:color="auto" w:fill="F2F5F9"/>
          </w:tcPr>
          <w:p>
            <w:pPr>
              <w:spacing w:after="0"/>
            </w:pPr>
            <w:r>
              <w:rPr>
                <w:sz w:val="15"/>
              </w:rPr>
              <w:t>Pujol-Perich, Suarez-Varela, Cabellos-Aparicio, Barlet-Ros (2022). Unveiling the potential of Graph Neural Networks for robust Intrusion Detection. ACM SIGMETRICS Performance Evaluation Review 49(4).</w:t>
            </w:r>
          </w:p>
        </w:tc>
        <w:tc>
          <w:tcPr>
            <w:tcW w:type="dxa" w:w="1814"/>
            <w:shd w:val="clear" w:color="auto" w:fill="F2F5F9"/>
          </w:tcPr>
          <w:p>
            <w:pPr>
              <w:spacing w:after="0"/>
            </w:pPr>
            <w:hyperlink r:id="rId16">
              <w:r>
                <w:rPr>
                  <w:color w:val="0563C1"/>
                  <w:u w:val="single"/>
                  <w:sz w:val="15"/>
                </w:rPr>
                <w:t>https://arxiv.org/abs/2107.14756</w:t>
              </w:r>
            </w:hyperlink>
          </w:p>
        </w:tc>
        <w:tc>
          <w:tcPr>
            <w:tcW w:type="dxa" w:w="964"/>
            <w:shd w:val="clear" w:color="auto" w:fill="F2F5F9"/>
          </w:tcPr>
          <w:p>
            <w:pPr>
              <w:spacing w:after="0"/>
            </w:pPr>
            <w:r>
              <w:rPr>
                <w:sz w:val="15"/>
              </w:rPr>
              <w:t>GNN (host-flow graph)</w:t>
            </w:r>
          </w:p>
        </w:tc>
        <w:tc>
          <w:tcPr>
            <w:tcW w:type="dxa" w:w="1757"/>
            <w:shd w:val="clear" w:color="auto" w:fill="F2F5F9"/>
          </w:tcPr>
          <w:p>
            <w:pPr>
              <w:spacing w:after="0"/>
            </w:pPr>
            <w:r>
              <w:rPr>
                <w:sz w:val="15"/>
              </w:rPr>
              <w:t>CIC-IDS2017.</w:t>
            </w:r>
          </w:p>
        </w:tc>
        <w:tc>
          <w:tcPr>
            <w:tcW w:type="dxa" w:w="1701"/>
            <w:shd w:val="clear" w:color="auto" w:fill="F2F5F9"/>
          </w:tcPr>
          <w:p>
            <w:pPr>
              <w:spacing w:after="0"/>
            </w:pPr>
            <w:r>
              <w:rPr>
                <w:sz w:val="15"/>
              </w:rPr>
              <w:t>895,400 training and 223,850 validation flows (80/20).</w:t>
            </w:r>
          </w:p>
        </w:tc>
        <w:tc>
          <w:tcPr>
            <w:tcW w:type="dxa" w:w="2438"/>
            <w:shd w:val="clear" w:color="auto" w:fill="F2F5F9"/>
          </w:tcPr>
          <w:p>
            <w:pPr>
              <w:spacing w:after="0"/>
            </w:pPr>
            <w:r>
              <w:rPr>
                <w:sz w:val="15"/>
              </w:rPr>
              <w:t>Bipartite graph of hosts and flows; message passing with separate functions per edge type (GRUs). Baselines: MLP, AdaBoost, Random Forest, ID3.</w:t>
            </w:r>
          </w:p>
        </w:tc>
        <w:tc>
          <w:tcPr>
            <w:tcW w:type="dxa" w:w="2494"/>
            <w:shd w:val="clear" w:color="auto" w:fill="F2F5F9"/>
          </w:tcPr>
          <w:p>
            <w:pPr>
              <w:spacing w:after="0"/>
            </w:pPr>
            <w:r>
              <w:rPr>
                <w:sz w:val="15"/>
              </w:rPr>
              <w:t>Weighted F1 0.99. Under attacks that change packet size and inter-arrival times, the baselines lose up to 50% F1 while the GNN does not. No no-graph ablation described.</w:t>
            </w:r>
          </w:p>
        </w:tc>
        <w:tc>
          <w:tcPr>
            <w:tcW w:type="dxa" w:w="1134"/>
            <w:shd w:val="clear" w:color="auto" w:fill="F2F5F9"/>
          </w:tcPr>
          <w:p>
            <w:pPr>
              <w:spacing w:after="0"/>
            </w:pPr>
            <w:r>
              <w:rPr>
                <w:sz w:val="15"/>
              </w:rPr>
              <w:t>Full text read</w:t>
            </w:r>
          </w:p>
        </w:tc>
      </w:tr>
      <w:tr>
        <w:trPr>
          <w:cantSplit w:val="true"/>
        </w:trPr>
        <w:tc>
          <w:tcPr>
            <w:tcW w:type="dxa" w:w="510"/>
          </w:tcPr>
          <w:p>
            <w:pPr>
              <w:spacing w:after="0"/>
            </w:pPr>
            <w:r>
              <w:rPr>
                <w:b/>
                <w:sz w:val="15"/>
              </w:rPr>
              <w:t>P9</w:t>
            </w:r>
          </w:p>
        </w:tc>
        <w:tc>
          <w:tcPr>
            <w:tcW w:type="dxa" w:w="2324"/>
          </w:tcPr>
          <w:p>
            <w:pPr>
              <w:spacing w:after="0"/>
            </w:pPr>
            <w:r>
              <w:rPr>
                <w:sz w:val="15"/>
              </w:rPr>
              <w:t>Bilot, El Madhoun, Al Agha, Zouaoui (2023). Graph Neural Networks for Intrusion Detection: A Survey. IEEE Access 11, 49114-49139.</w:t>
            </w:r>
          </w:p>
        </w:tc>
        <w:tc>
          <w:tcPr>
            <w:tcW w:type="dxa" w:w="1814"/>
          </w:tcPr>
          <w:p>
            <w:pPr>
              <w:spacing w:after="0"/>
            </w:pPr>
            <w:hyperlink r:id="rId17">
              <w:r>
                <w:rPr>
                  <w:color w:val="0563C1"/>
                  <w:u w:val="single"/>
                  <w:sz w:val="15"/>
                </w:rPr>
                <w:t>https://doi.org/10.1109/ACCESS.2023.3275789</w:t>
              </w:r>
            </w:hyperlink>
          </w:p>
        </w:tc>
        <w:tc>
          <w:tcPr>
            <w:tcW w:type="dxa" w:w="964"/>
          </w:tcPr>
          <w:p>
            <w:pPr>
              <w:spacing w:after="0"/>
            </w:pPr>
            <w:r>
              <w:rPr>
                <w:sz w:val="15"/>
              </w:rPr>
              <w:t>Survey</w:t>
            </w:r>
          </w:p>
        </w:tc>
        <w:tc>
          <w:tcPr>
            <w:tcW w:type="dxa" w:w="1757"/>
          </w:tcPr>
          <w:p>
            <w:pPr>
              <w:spacing w:after="0"/>
            </w:pPr>
            <w:r>
              <w:rPr>
                <w:sz w:val="15"/>
              </w:rPr>
              <w:t>Survey (not applicable).</w:t>
            </w:r>
          </w:p>
        </w:tc>
        <w:tc>
          <w:tcPr>
            <w:tcW w:type="dxa" w:w="1701"/>
          </w:tcPr>
          <w:p>
            <w:pPr>
              <w:spacing w:after="0"/>
            </w:pPr>
            <w:r>
              <w:rPr>
                <w:sz w:val="15"/>
              </w:rPr>
              <w:t>Not applicable.</w:t>
            </w:r>
          </w:p>
        </w:tc>
        <w:tc>
          <w:tcPr>
            <w:tcW w:type="dxa" w:w="2438"/>
          </w:tcPr>
          <w:p>
            <w:pPr>
              <w:spacing w:after="0"/>
            </w:pPr>
            <w:r>
              <w:rPr>
                <w:sz w:val="15"/>
              </w:rPr>
              <w:t>Reviews graph representation learning for network-based and host-based intrusion detection.</w:t>
            </w:r>
          </w:p>
        </w:tc>
        <w:tc>
          <w:tcPr>
            <w:tcW w:type="dxa" w:w="2494"/>
          </w:tcPr>
          <w:p>
            <w:pPr>
              <w:spacing w:after="0"/>
            </w:pPr>
            <w:r>
              <w:rPr>
                <w:sz w:val="15"/>
              </w:rPr>
              <w:t>Not applicable.</w:t>
            </w:r>
          </w:p>
        </w:tc>
        <w:tc>
          <w:tcPr>
            <w:tcW w:type="dxa" w:w="1134"/>
          </w:tcPr>
          <w:p>
            <w:pPr>
              <w:spacing w:after="0"/>
            </w:pPr>
            <w:r>
              <w:rPr>
                <w:sz w:val="15"/>
              </w:rPr>
              <w:t>Abstract only (abstract)</w:t>
            </w:r>
          </w:p>
        </w:tc>
      </w:tr>
      <w:tr>
        <w:trPr>
          <w:cantSplit w:val="true"/>
        </w:trPr>
        <w:tc>
          <w:tcPr>
            <w:tcW w:type="dxa" w:w="510"/>
            <w:shd w:val="clear" w:color="auto" w:fill="F2F5F9"/>
          </w:tcPr>
          <w:p>
            <w:pPr>
              <w:spacing w:after="0"/>
            </w:pPr>
            <w:r>
              <w:rPr>
                <w:b/>
                <w:sz w:val="15"/>
              </w:rPr>
              <w:t>P10</w:t>
            </w:r>
          </w:p>
        </w:tc>
        <w:tc>
          <w:tcPr>
            <w:tcW w:type="dxa" w:w="2324"/>
            <w:shd w:val="clear" w:color="auto" w:fill="F2F5F9"/>
          </w:tcPr>
          <w:p>
            <w:pPr>
              <w:spacing w:after="0"/>
            </w:pPr>
            <w:r>
              <w:rPr>
                <w:sz w:val="15"/>
              </w:rPr>
              <w:t>Zhong, Lin, Zhang, Xu (2024). A survey on graph neural networks for intrusion detection systems: methods, trends and challenges. Computers &amp; Security 141.</w:t>
            </w:r>
          </w:p>
        </w:tc>
        <w:tc>
          <w:tcPr>
            <w:tcW w:type="dxa" w:w="1814"/>
            <w:shd w:val="clear" w:color="auto" w:fill="F2F5F9"/>
          </w:tcPr>
          <w:p>
            <w:pPr>
              <w:spacing w:after="0"/>
            </w:pPr>
            <w:hyperlink r:id="rId18">
              <w:r>
                <w:rPr>
                  <w:color w:val="0563C1"/>
                  <w:u w:val="single"/>
                  <w:sz w:val="15"/>
                </w:rPr>
                <w:t>https://doi.org/10.1016/j.cose.2024.103821</w:t>
              </w:r>
            </w:hyperlink>
          </w:p>
        </w:tc>
        <w:tc>
          <w:tcPr>
            <w:tcW w:type="dxa" w:w="964"/>
            <w:shd w:val="clear" w:color="auto" w:fill="F2F5F9"/>
          </w:tcPr>
          <w:p>
            <w:pPr>
              <w:spacing w:after="0"/>
            </w:pPr>
            <w:r>
              <w:rPr>
                <w:sz w:val="15"/>
              </w:rPr>
              <w:t>Survey</w:t>
            </w:r>
          </w:p>
        </w:tc>
        <w:tc>
          <w:tcPr>
            <w:tcW w:type="dxa" w:w="1757"/>
            <w:shd w:val="clear" w:color="auto" w:fill="F2F5F9"/>
          </w:tcPr>
          <w:p>
            <w:pPr>
              <w:spacing w:after="0"/>
            </w:pPr>
            <w:r>
              <w:rPr>
                <w:sz w:val="15"/>
              </w:rPr>
              <w:t>Survey (not applicable).</w:t>
            </w:r>
          </w:p>
        </w:tc>
        <w:tc>
          <w:tcPr>
            <w:tcW w:type="dxa" w:w="1701"/>
            <w:shd w:val="clear" w:color="auto" w:fill="F2F5F9"/>
          </w:tcPr>
          <w:p>
            <w:pPr>
              <w:spacing w:after="0"/>
            </w:pPr>
            <w:r>
              <w:rPr>
                <w:sz w:val="15"/>
              </w:rPr>
              <w:t>Not applicable.</w:t>
            </w:r>
          </w:p>
        </w:tc>
        <w:tc>
          <w:tcPr>
            <w:tcW w:type="dxa" w:w="2438"/>
            <w:shd w:val="clear" w:color="auto" w:fill="F2F5F9"/>
          </w:tcPr>
          <w:p>
            <w:pPr>
              <w:spacing w:after="0"/>
            </w:pPr>
            <w:r>
              <w:rPr>
                <w:sz w:val="15"/>
              </w:rPr>
              <w:t>Reviews GNN methods for intrusion detection.</w:t>
            </w:r>
          </w:p>
        </w:tc>
        <w:tc>
          <w:tcPr>
            <w:tcW w:type="dxa" w:w="2494"/>
            <w:shd w:val="clear" w:color="auto" w:fill="F2F5F9"/>
          </w:tcPr>
          <w:p>
            <w:pPr>
              <w:spacing w:after="0"/>
            </w:pPr>
            <w:r>
              <w:rPr>
                <w:sz w:val="15"/>
              </w:rPr>
              <w:t>Not applicable.</w:t>
            </w:r>
          </w:p>
        </w:tc>
        <w:tc>
          <w:tcPr>
            <w:tcW w:type="dxa" w:w="1134"/>
            <w:shd w:val="clear" w:color="auto" w:fill="F2F5F9"/>
          </w:tcPr>
          <w:p>
            <w:pPr>
              <w:spacing w:after="0"/>
            </w:pPr>
            <w:r>
              <w:rPr>
                <w:sz w:val="15"/>
              </w:rPr>
              <w:t>Abstract only (abstract)</w:t>
            </w:r>
          </w:p>
        </w:tc>
      </w:tr>
      <w:tr>
        <w:trPr>
          <w:cantSplit w:val="true"/>
        </w:trPr>
        <w:tc>
          <w:tcPr>
            <w:tcW w:type="dxa" w:w="510"/>
          </w:tcPr>
          <w:p>
            <w:pPr>
              <w:spacing w:after="0"/>
            </w:pPr>
            <w:r>
              <w:rPr>
                <w:b/>
                <w:sz w:val="15"/>
              </w:rPr>
              <w:t>P11</w:t>
            </w:r>
          </w:p>
        </w:tc>
        <w:tc>
          <w:tcPr>
            <w:tcW w:type="dxa" w:w="2324"/>
          </w:tcPr>
          <w:p>
            <w:pPr>
              <w:spacing w:after="0"/>
            </w:pPr>
            <w:r>
              <w:rPr>
                <w:sz w:val="15"/>
              </w:rPr>
              <w:t>Wang, Zheng, Gui, Hua, Hassan (2025). Are We There Yet? Unraveling the State-of-the-Art Graph Network Intrusion Detection Systems.</w:t>
            </w:r>
          </w:p>
        </w:tc>
        <w:tc>
          <w:tcPr>
            <w:tcW w:type="dxa" w:w="1814"/>
          </w:tcPr>
          <w:p>
            <w:pPr>
              <w:spacing w:after="0"/>
            </w:pPr>
            <w:hyperlink r:id="rId19">
              <w:r>
                <w:rPr>
                  <w:color w:val="0563C1"/>
                  <w:u w:val="single"/>
                  <w:sz w:val="15"/>
                </w:rPr>
                <w:t>https://arxiv.org/abs/2503.20281</w:t>
              </w:r>
            </w:hyperlink>
          </w:p>
        </w:tc>
        <w:tc>
          <w:tcPr>
            <w:tcW w:type="dxa" w:w="964"/>
          </w:tcPr>
          <w:p>
            <w:pPr>
              <w:spacing w:after="0"/>
            </w:pPr>
            <w:r>
              <w:rPr>
                <w:sz w:val="15"/>
              </w:rPr>
              <w:t>Reproducibility study</w:t>
            </w:r>
          </w:p>
        </w:tc>
        <w:tc>
          <w:tcPr>
            <w:tcW w:type="dxa" w:w="1757"/>
          </w:tcPr>
          <w:p>
            <w:pPr>
              <w:spacing w:after="0"/>
            </w:pPr>
            <w:r>
              <w:rPr>
                <w:sz w:val="15"/>
              </w:rPr>
              <w:t>LANL, DARPA OpTC, CIC-IDS-2017 and a new enterprise dataset (not flow-edge classification on UNSW-NB15).</w:t>
            </w:r>
          </w:p>
        </w:tc>
        <w:tc>
          <w:tcPr>
            <w:tcW w:type="dxa" w:w="1701"/>
          </w:tcPr>
          <w:p>
            <w:pPr>
              <w:spacing w:after="0"/>
            </w:pPr>
            <w:r>
              <w:rPr>
                <w:sz w:val="15"/>
              </w:rPr>
              <w:t>Re-ran five published graph detectors (Anomal-E, VGRNN, PIKACHU, EULER, ARGUS).</w:t>
            </w:r>
          </w:p>
        </w:tc>
        <w:tc>
          <w:tcPr>
            <w:tcW w:type="dxa" w:w="2438"/>
          </w:tcPr>
          <w:p>
            <w:pPr>
              <w:spacing w:after="0"/>
            </w:pPr>
            <w:r>
              <w:rPr>
                <w:sz w:val="15"/>
              </w:rPr>
              <w:t>Re-evaluation of published systems under common settings.</w:t>
            </w:r>
          </w:p>
        </w:tc>
        <w:tc>
          <w:tcPr>
            <w:tcW w:type="dxa" w:w="2494"/>
          </w:tcPr>
          <w:p>
            <w:pPr>
              <w:spacing w:after="0"/>
            </w:pPr>
            <w:r>
              <w:rPr>
                <w:sz w:val="15"/>
              </w:rPr>
              <w:t>On OpTC, all metrics except AUC differed significantly from the original papers. Reasons named: suboptimal public settings, different preprocessing between models, and randomness in the detection threshold.</w:t>
            </w:r>
          </w:p>
        </w:tc>
        <w:tc>
          <w:tcPr>
            <w:tcW w:type="dxa" w:w="1134"/>
          </w:tcPr>
          <w:p>
            <w:pPr>
              <w:spacing w:after="0"/>
            </w:pPr>
            <w:r>
              <w:rPr>
                <w:sz w:val="15"/>
              </w:rPr>
              <w:t>Full text read</w:t>
            </w:r>
          </w:p>
        </w:tc>
      </w:tr>
      <w:tr>
        <w:trPr>
          <w:cantSplit w:val="true"/>
        </w:trPr>
        <w:tc>
          <w:tcPr>
            <w:tcW w:type="dxa" w:w="510"/>
            <w:shd w:val="clear" w:color="auto" w:fill="F2F5F9"/>
          </w:tcPr>
          <w:p>
            <w:pPr>
              <w:spacing w:after="0"/>
            </w:pPr>
            <w:r>
              <w:rPr>
                <w:b/>
                <w:sz w:val="15"/>
              </w:rPr>
              <w:t>P12</w:t>
            </w:r>
          </w:p>
        </w:tc>
        <w:tc>
          <w:tcPr>
            <w:tcW w:type="dxa" w:w="2324"/>
            <w:shd w:val="clear" w:color="auto" w:fill="F2F5F9"/>
          </w:tcPr>
          <w:p>
            <w:pPr>
              <w:spacing w:after="0"/>
            </w:pPr>
            <w:r>
              <w:rPr>
                <w:sz w:val="15"/>
              </w:rPr>
              <w:t>Xu, Wen, Zhao, Hu, Li, Liu (2025, rev. 2026). GTCN-G: A Residual Graph-Temporal Fusion Network for Imbalanced Intrusion Detection. Preprint, submitted to IEEE TrustCom 2025.</w:t>
            </w:r>
          </w:p>
        </w:tc>
        <w:tc>
          <w:tcPr>
            <w:tcW w:type="dxa" w:w="1814"/>
            <w:shd w:val="clear" w:color="auto" w:fill="F2F5F9"/>
          </w:tcPr>
          <w:p>
            <w:pPr>
              <w:spacing w:after="0"/>
            </w:pPr>
            <w:hyperlink r:id="rId20">
              <w:r>
                <w:rPr>
                  <w:color w:val="0563C1"/>
                  <w:u w:val="single"/>
                  <w:sz w:val="15"/>
                </w:rPr>
                <w:t>https://arxiv.org/abs/2510.07285</w:t>
              </w:r>
            </w:hyperlink>
          </w:p>
        </w:tc>
        <w:tc>
          <w:tcPr>
            <w:tcW w:type="dxa" w:w="964"/>
            <w:shd w:val="clear" w:color="auto" w:fill="F2F5F9"/>
          </w:tcPr>
          <w:p>
            <w:pPr>
              <w:spacing w:after="0"/>
            </w:pPr>
            <w:r>
              <w:rPr>
                <w:sz w:val="15"/>
              </w:rPr>
              <w:t>GNN (flow line graph)</w:t>
            </w:r>
          </w:p>
        </w:tc>
        <w:tc>
          <w:tcPr>
            <w:tcW w:type="dxa" w:w="1757"/>
            <w:shd w:val="clear" w:color="auto" w:fill="F2F5F9"/>
          </w:tcPr>
          <w:p>
            <w:pPr>
              <w:spacing w:after="0"/>
            </w:pPr>
            <w:r>
              <w:rPr>
                <w:sz w:val="15"/>
              </w:rPr>
              <w:t>UNSW-NB15 and ToN-IoT.</w:t>
            </w:r>
          </w:p>
        </w:tc>
        <w:tc>
          <w:tcPr>
            <w:tcW w:type="dxa" w:w="1701"/>
            <w:shd w:val="clear" w:color="auto" w:fill="F2F5F9"/>
          </w:tcPr>
          <w:p>
            <w:pPr>
              <w:spacing w:after="0"/>
            </w:pPr>
            <w:r>
              <w:rPr>
                <w:sz w:val="15"/>
              </w:rPr>
              <w:t>Train / validation / test = 5:2:3; 10 epochs, mini-batches of 500.</w:t>
            </w:r>
          </w:p>
        </w:tc>
        <w:tc>
          <w:tcPr>
            <w:tcW w:type="dxa" w:w="2438"/>
            <w:shd w:val="clear" w:color="auto" w:fill="F2F5F9"/>
          </w:tcPr>
          <w:p>
            <w:pPr>
              <w:spacing w:after="0"/>
            </w:pPr>
            <w:r>
              <w:rPr>
                <w:sz w:val="15"/>
              </w:rPr>
              <w:t>Flows as edges of a bipartite graph, converted to a line graph so flows become nodes; gated temporal convolution with graph convolution and attention. Baselines: E-GraphSAGE-M and GAT. No tree models in the comparison.</w:t>
            </w:r>
          </w:p>
        </w:tc>
        <w:tc>
          <w:tcPr>
            <w:tcW w:type="dxa" w:w="2494"/>
            <w:shd w:val="clear" w:color="auto" w:fill="F2F5F9"/>
          </w:tcPr>
          <w:p>
            <w:pPr>
              <w:spacing w:after="0"/>
            </w:pPr>
            <w:r>
              <w:rPr>
                <w:sz w:val="15"/>
              </w:rPr>
              <w:t>Weighted F1 on UNSW-NB15 multi-class: 0.9512 (GTCN-G), 0.9178 (GAT), 0.8934 (E-GraphSAGE-M). Reports detecting Worms and Shellcode. Weighted F1, not macro F1.</w:t>
            </w:r>
          </w:p>
        </w:tc>
        <w:tc>
          <w:tcPr>
            <w:tcW w:type="dxa" w:w="1134"/>
            <w:shd w:val="clear" w:color="auto" w:fill="F2F5F9"/>
          </w:tcPr>
          <w:p>
            <w:pPr>
              <w:spacing w:after="0"/>
            </w:pPr>
            <w:r>
              <w:rPr>
                <w:sz w:val="15"/>
              </w:rPr>
              <w:t>Full text read</w:t>
            </w:r>
          </w:p>
        </w:tc>
      </w:tr>
      <w:tr>
        <w:trPr>
          <w:cantSplit w:val="true"/>
        </w:trPr>
        <w:tc>
          <w:tcPr>
            <w:tcW w:type="dxa" w:w="510"/>
          </w:tcPr>
          <w:p>
            <w:pPr>
              <w:spacing w:after="0"/>
            </w:pPr>
            <w:r>
              <w:rPr>
                <w:b/>
                <w:sz w:val="15"/>
              </w:rPr>
              <w:t>P13</w:t>
            </w:r>
          </w:p>
        </w:tc>
        <w:tc>
          <w:tcPr>
            <w:tcW w:type="dxa" w:w="2324"/>
          </w:tcPr>
          <w:p>
            <w:pPr>
              <w:spacing w:after="0"/>
            </w:pPr>
            <w:r>
              <w:rPr>
                <w:sz w:val="15"/>
              </w:rPr>
              <w:t>Mohamed &amp; Taherdoost (2026). IOTTRUST: graph-based anomaly detection for IoT intrusion using network flow topology and community structure analysis on UNSW-NB15. Frontiers in Big Data.</w:t>
            </w:r>
          </w:p>
        </w:tc>
        <w:tc>
          <w:tcPr>
            <w:tcW w:type="dxa" w:w="1814"/>
          </w:tcPr>
          <w:p>
            <w:pPr>
              <w:spacing w:after="0"/>
            </w:pPr>
            <w:hyperlink r:id="rId21">
              <w:r>
                <w:rPr>
                  <w:color w:val="0563C1"/>
                  <w:u w:val="single"/>
                  <w:sz w:val="15"/>
                </w:rPr>
                <w:t>https://www.frontiersin.org/journals/big-data/articles/10.3389/fdata.2026.1885965/full</w:t>
              </w:r>
            </w:hyperlink>
          </w:p>
        </w:tc>
        <w:tc>
          <w:tcPr>
            <w:tcW w:type="dxa" w:w="964"/>
          </w:tcPr>
          <w:p>
            <w:pPr>
              <w:spacing w:after="0"/>
            </w:pPr>
            <w:r>
              <w:rPr>
                <w:sz w:val="15"/>
              </w:rPr>
              <w:t>Graph features + tree model</w:t>
            </w:r>
          </w:p>
        </w:tc>
        <w:tc>
          <w:tcPr>
            <w:tcW w:type="dxa" w:w="1757"/>
          </w:tcPr>
          <w:p>
            <w:pPr>
              <w:spacing w:after="0"/>
            </w:pPr>
            <w:r>
              <w:rPr>
                <w:sz w:val="15"/>
              </w:rPr>
              <w:t>UNSW-NB15, binary attack vs benign; full data has 440,047 flows and 47 IP nodes.</w:t>
            </w:r>
          </w:p>
        </w:tc>
        <w:tc>
          <w:tcPr>
            <w:tcW w:type="dxa" w:w="1701"/>
          </w:tcPr>
          <w:p>
            <w:pPr>
              <w:spacing w:after="0"/>
            </w:pPr>
            <w:r>
              <w:rPr>
                <w:sz w:val="15"/>
              </w:rPr>
              <w:t>Stratified sample of 40,000 flows, 70/30 split. Graph statistics computed from the training part only.</w:t>
            </w:r>
          </w:p>
        </w:tc>
        <w:tc>
          <w:tcPr>
            <w:tcW w:type="dxa" w:w="2438"/>
          </w:tcPr>
          <w:p>
            <w:pPr>
              <w:spacing w:after="0"/>
            </w:pPr>
            <w:r>
              <w:rPr>
                <w:sz w:val="15"/>
              </w:rPr>
              <w:t>Random Forest (150 trees) on three feature sets: flow only (43 features), graph only (24), hybrid (22 flow + 24 graph).</w:t>
            </w:r>
          </w:p>
        </w:tc>
        <w:tc>
          <w:tcPr>
            <w:tcW w:type="dxa" w:w="2494"/>
          </w:tcPr>
          <w:p>
            <w:pPr>
              <w:spacing w:after="0"/>
            </w:pPr>
            <w:r>
              <w:rPr>
                <w:sz w:val="15"/>
              </w:rPr>
              <w:t>F1: flow only 97.49%, graph only 94.86%, hybrid 97.69%. Hybrid vs flow only: McNemar p = 0.295 on the held-out set; paired t-test over 5-fold F1 p = 0.026. The authors state that an earlier claim that graph features alone beat flow features did not hold once statistics were restricted to the training part.</w:t>
            </w:r>
          </w:p>
        </w:tc>
        <w:tc>
          <w:tcPr>
            <w:tcW w:type="dxa" w:w="1134"/>
          </w:tcPr>
          <w:p>
            <w:pPr>
              <w:spacing w:after="0"/>
            </w:pPr>
            <w:r>
              <w:rPr>
                <w:sz w:val="15"/>
              </w:rPr>
              <w:t>Full text read</w:t>
            </w:r>
          </w:p>
        </w:tc>
      </w:tr>
      <w:tr>
        <w:trPr>
          <w:cantSplit w:val="true"/>
        </w:trPr>
        <w:tc>
          <w:tcPr>
            <w:tcW w:type="dxa" w:w="510"/>
            <w:shd w:val="clear" w:color="auto" w:fill="F2F5F9"/>
          </w:tcPr>
          <w:p>
            <w:pPr>
              <w:spacing w:after="0"/>
            </w:pPr>
            <w:r>
              <w:rPr>
                <w:b/>
                <w:sz w:val="15"/>
              </w:rPr>
              <w:t>P14</w:t>
            </w:r>
          </w:p>
        </w:tc>
        <w:tc>
          <w:tcPr>
            <w:tcW w:type="dxa" w:w="2324"/>
            <w:shd w:val="clear" w:color="auto" w:fill="F2F5F9"/>
          </w:tcPr>
          <w:p>
            <w:pPr>
              <w:spacing w:after="0"/>
            </w:pPr>
            <w:r>
              <w:rPr>
                <w:sz w:val="15"/>
              </w:rPr>
              <w:t>El Mahdaouy, Ait Yahia, Oualil, Berrada (2026). Deep Learning for Contextualized NetFlow-Based Network Intrusion Detection: Methods, Data, Evaluation and Deployment.</w:t>
            </w:r>
          </w:p>
        </w:tc>
        <w:tc>
          <w:tcPr>
            <w:tcW w:type="dxa" w:w="1814"/>
            <w:shd w:val="clear" w:color="auto" w:fill="F2F5F9"/>
          </w:tcPr>
          <w:p>
            <w:pPr>
              <w:spacing w:after="0"/>
            </w:pPr>
            <w:hyperlink r:id="rId22">
              <w:r>
                <w:rPr>
                  <w:color w:val="0563C1"/>
                  <w:u w:val="single"/>
                  <w:sz w:val="15"/>
                </w:rPr>
                <w:t>https://arxiv.org/abs/2602.05594</w:t>
              </w:r>
            </w:hyperlink>
          </w:p>
        </w:tc>
        <w:tc>
          <w:tcPr>
            <w:tcW w:type="dxa" w:w="964"/>
            <w:shd w:val="clear" w:color="auto" w:fill="F2F5F9"/>
          </w:tcPr>
          <w:p>
            <w:pPr>
              <w:spacing w:after="0"/>
            </w:pPr>
            <w:r>
              <w:rPr>
                <w:sz w:val="15"/>
              </w:rPr>
              <w:t>Survey</w:t>
            </w:r>
          </w:p>
        </w:tc>
        <w:tc>
          <w:tcPr>
            <w:tcW w:type="dxa" w:w="1757"/>
            <w:shd w:val="clear" w:color="auto" w:fill="F2F5F9"/>
          </w:tcPr>
          <w:p>
            <w:pPr>
              <w:spacing w:after="0"/>
            </w:pPr>
            <w:r>
              <w:rPr>
                <w:sz w:val="15"/>
              </w:rPr>
              <w:t>Survey (datasets not enumerated in the abstract).</w:t>
            </w:r>
          </w:p>
        </w:tc>
        <w:tc>
          <w:tcPr>
            <w:tcW w:type="dxa" w:w="1701"/>
            <w:shd w:val="clear" w:color="auto" w:fill="F2F5F9"/>
          </w:tcPr>
          <w:p>
            <w:pPr>
              <w:spacing w:after="0"/>
            </w:pPr>
            <w:r>
              <w:rPr>
                <w:sz w:val="15"/>
              </w:rPr>
              <w:t>Not applicable.</w:t>
            </w:r>
          </w:p>
        </w:tc>
        <w:tc>
          <w:tcPr>
            <w:tcW w:type="dxa" w:w="2438"/>
            <w:shd w:val="clear" w:color="auto" w:fill="F2F5F9"/>
          </w:tcPr>
          <w:p>
            <w:pPr>
              <w:spacing w:after="0"/>
            </w:pPr>
            <w:r>
              <w:rPr>
                <w:sz w:val="15"/>
              </w:rPr>
              <w:t>Organises context-aware detectors (temporal, graph/relational, multimodal, multi-resolution).</w:t>
            </w:r>
          </w:p>
        </w:tc>
        <w:tc>
          <w:tcPr>
            <w:tcW w:type="dxa" w:w="2494"/>
            <w:shd w:val="clear" w:color="auto" w:fill="F2F5F9"/>
          </w:tcPr>
          <w:p>
            <w:pPr>
              <w:spacing w:after="0"/>
            </w:pPr>
            <w:r>
              <w:rPr>
                <w:sz w:val="15"/>
              </w:rPr>
              <w:t>Names evaluation failure modes: temporal leakage, data splitting, dataset design flaws, limited dataset diversity, weak cross-dataset generalisation. States that gains from context depend on rigorous evaluation.</w:t>
            </w:r>
          </w:p>
        </w:tc>
        <w:tc>
          <w:tcPr>
            <w:tcW w:type="dxa" w:w="1134"/>
            <w:shd w:val="clear" w:color="auto" w:fill="F2F5F9"/>
          </w:tcPr>
          <w:p>
            <w:pPr>
              <w:spacing w:after="0"/>
            </w:pPr>
            <w:r>
              <w:rPr>
                <w:sz w:val="15"/>
              </w:rPr>
              <w:t>Abstract only (abstract)</w:t>
            </w:r>
          </w:p>
        </w:tc>
      </w:tr>
      <w:tr>
        <w:trPr>
          <w:cantSplit w:val="true"/>
        </w:trPr>
        <w:tc>
          <w:tcPr>
            <w:tcW w:type="dxa" w:w="510"/>
          </w:tcPr>
          <w:p>
            <w:pPr>
              <w:spacing w:after="0"/>
            </w:pPr>
            <w:r>
              <w:rPr>
                <w:b/>
                <w:sz w:val="15"/>
              </w:rPr>
              <w:t>P15</w:t>
            </w:r>
          </w:p>
        </w:tc>
        <w:tc>
          <w:tcPr>
            <w:tcW w:type="dxa" w:w="2324"/>
          </w:tcPr>
          <w:p>
            <w:pPr>
              <w:spacing w:after="0"/>
            </w:pPr>
            <w:r>
              <w:rPr>
                <w:sz w:val="15"/>
              </w:rPr>
              <w:t>Grinsztajn, Oyallon, Varoquaux (2022). Why do tree-based models still outperform deep learning on typical tabular data? NeurIPS.</w:t>
            </w:r>
          </w:p>
        </w:tc>
        <w:tc>
          <w:tcPr>
            <w:tcW w:type="dxa" w:w="1814"/>
          </w:tcPr>
          <w:p>
            <w:pPr>
              <w:spacing w:after="0"/>
            </w:pPr>
            <w:hyperlink r:id="rId23">
              <w:r>
                <w:rPr>
                  <w:color w:val="0563C1"/>
                  <w:u w:val="single"/>
                  <w:sz w:val="15"/>
                </w:rPr>
                <w:t>https://arxiv.org/abs/2207.08815</w:t>
              </w:r>
            </w:hyperlink>
          </w:p>
        </w:tc>
        <w:tc>
          <w:tcPr>
            <w:tcW w:type="dxa" w:w="964"/>
          </w:tcPr>
          <w:p>
            <w:pPr>
              <w:spacing w:after="0"/>
            </w:pPr>
            <w:r>
              <w:rPr>
                <w:sz w:val="15"/>
              </w:rPr>
              <w:t>Tabular DL vs trees</w:t>
            </w:r>
          </w:p>
        </w:tc>
        <w:tc>
          <w:tcPr>
            <w:tcW w:type="dxa" w:w="1757"/>
          </w:tcPr>
          <w:p>
            <w:pPr>
              <w:spacing w:after="0"/>
            </w:pPr>
            <w:r>
              <w:rPr>
                <w:sz w:val="15"/>
              </w:rPr>
              <w:t>Benchmark of tabular datasets (details not checked).</w:t>
            </w:r>
          </w:p>
        </w:tc>
        <w:tc>
          <w:tcPr>
            <w:tcW w:type="dxa" w:w="1701"/>
          </w:tcPr>
          <w:p>
            <w:pPr>
              <w:spacing w:after="0"/>
            </w:pPr>
            <w:r>
              <w:rPr>
                <w:sz w:val="15"/>
              </w:rPr>
              <w:t>Not checked.</w:t>
            </w:r>
          </w:p>
        </w:tc>
        <w:tc>
          <w:tcPr>
            <w:tcW w:type="dxa" w:w="2438"/>
          </w:tcPr>
          <w:p>
            <w:pPr>
              <w:spacing w:after="0"/>
            </w:pPr>
            <w:r>
              <w:rPr>
                <w:sz w:val="15"/>
              </w:rPr>
              <w:t>Compares tree-based models and neural networks; studies why they differ.</w:t>
            </w:r>
          </w:p>
        </w:tc>
        <w:tc>
          <w:tcPr>
            <w:tcW w:type="dxa" w:w="2494"/>
          </w:tcPr>
          <w:p>
            <w:pPr>
              <w:spacing w:after="0"/>
            </w:pPr>
            <w:r>
              <w:rPr>
                <w:sz w:val="15"/>
              </w:rPr>
              <w:t>Trees remain state of the art on medium-sized data (about 10,000 samples). Three reasons given: neural nets favour smooth functions, are more hurt by uninformative features, and are rotation invariant.</w:t>
            </w:r>
          </w:p>
        </w:tc>
        <w:tc>
          <w:tcPr>
            <w:tcW w:type="dxa" w:w="1134"/>
          </w:tcPr>
          <w:p>
            <w:pPr>
              <w:spacing w:after="0"/>
            </w:pPr>
            <w:r>
              <w:rPr>
                <w:sz w:val="15"/>
              </w:rPr>
              <w:t>Abstract only (abstract and summary)</w:t>
            </w:r>
          </w:p>
        </w:tc>
      </w:tr>
      <w:tr>
        <w:trPr>
          <w:cantSplit w:val="true"/>
        </w:trPr>
        <w:tc>
          <w:tcPr>
            <w:tcW w:type="dxa" w:w="510"/>
            <w:shd w:val="clear" w:color="auto" w:fill="F2F5F9"/>
          </w:tcPr>
          <w:p>
            <w:pPr>
              <w:spacing w:after="0"/>
            </w:pPr>
            <w:r>
              <w:rPr>
                <w:b/>
                <w:sz w:val="15"/>
              </w:rPr>
              <w:t>P16</w:t>
            </w:r>
          </w:p>
        </w:tc>
        <w:tc>
          <w:tcPr>
            <w:tcW w:type="dxa" w:w="2324"/>
            <w:shd w:val="clear" w:color="auto" w:fill="F2F5F9"/>
          </w:tcPr>
          <w:p>
            <w:pPr>
              <w:spacing w:after="0"/>
            </w:pPr>
            <w:r>
              <w:rPr>
                <w:sz w:val="15"/>
              </w:rPr>
              <w:t>Elor &amp; Averbuch-Elor (2022). To SMOTE, or not to SMOTE?</w:t>
            </w:r>
          </w:p>
        </w:tc>
        <w:tc>
          <w:tcPr>
            <w:tcW w:type="dxa" w:w="1814"/>
            <w:shd w:val="clear" w:color="auto" w:fill="F2F5F9"/>
          </w:tcPr>
          <w:p>
            <w:pPr>
              <w:spacing w:after="0"/>
            </w:pPr>
            <w:hyperlink r:id="rId24">
              <w:r>
                <w:rPr>
                  <w:color w:val="0563C1"/>
                  <w:u w:val="single"/>
                  <w:sz w:val="15"/>
                </w:rPr>
                <w:t>https://arxiv.org/abs/2201.08528</w:t>
              </w:r>
            </w:hyperlink>
          </w:p>
        </w:tc>
        <w:tc>
          <w:tcPr>
            <w:tcW w:type="dxa" w:w="964"/>
            <w:shd w:val="clear" w:color="auto" w:fill="F2F5F9"/>
          </w:tcPr>
          <w:p>
            <w:pPr>
              <w:spacing w:after="0"/>
            </w:pPr>
            <w:r>
              <w:rPr>
                <w:sz w:val="15"/>
              </w:rPr>
              <w:t>Imbalance handling</w:t>
            </w:r>
          </w:p>
        </w:tc>
        <w:tc>
          <w:tcPr>
            <w:tcW w:type="dxa" w:w="1757"/>
            <w:shd w:val="clear" w:color="auto" w:fill="F2F5F9"/>
          </w:tcPr>
          <w:p>
            <w:pPr>
              <w:spacing w:after="0"/>
            </w:pPr>
            <w:r>
              <w:rPr>
                <w:sz w:val="15"/>
              </w:rPr>
              <w:t>Binary imbalanced tabular datasets (details not checked).</w:t>
            </w:r>
          </w:p>
        </w:tc>
        <w:tc>
          <w:tcPr>
            <w:tcW w:type="dxa" w:w="1701"/>
            <w:shd w:val="clear" w:color="auto" w:fill="F2F5F9"/>
          </w:tcPr>
          <w:p>
            <w:pPr>
              <w:spacing w:after="0"/>
            </w:pPr>
            <w:r>
              <w:rPr>
                <w:sz w:val="15"/>
              </w:rPr>
              <w:t>Not checked.</w:t>
            </w:r>
          </w:p>
        </w:tc>
        <w:tc>
          <w:tcPr>
            <w:tcW w:type="dxa" w:w="2438"/>
            <w:shd w:val="clear" w:color="auto" w:fill="F2F5F9"/>
          </w:tcPr>
          <w:p>
            <w:pPr>
              <w:spacing w:after="0"/>
            </w:pPr>
            <w:r>
              <w:rPr>
                <w:sz w:val="15"/>
              </w:rPr>
              <w:t>Compares balancing methods (duplication, synthetic samples) across three state-of-the-art classifiers and weaker learners.</w:t>
            </w:r>
          </w:p>
        </w:tc>
        <w:tc>
          <w:tcPr>
            <w:tcW w:type="dxa" w:w="2494"/>
            <w:shd w:val="clear" w:color="auto" w:fill="F2F5F9"/>
          </w:tcPr>
          <w:p>
            <w:pPr>
              <w:spacing w:after="0"/>
            </w:pPr>
            <w:r>
              <w:rPr>
                <w:sz w:val="15"/>
              </w:rPr>
              <w:t>Balancing helps weak classifiers but does not improve prediction for the strong ones.</w:t>
            </w:r>
          </w:p>
        </w:tc>
        <w:tc>
          <w:tcPr>
            <w:tcW w:type="dxa" w:w="1134"/>
            <w:shd w:val="clear" w:color="auto" w:fill="F2F5F9"/>
          </w:tcPr>
          <w:p>
            <w:pPr>
              <w:spacing w:after="0"/>
            </w:pPr>
            <w:r>
              <w:rPr>
                <w:sz w:val="15"/>
              </w:rPr>
              <w:t>Abstract only (abstract)</w:t>
            </w:r>
          </w:p>
        </w:tc>
      </w:tr>
      <w:tr>
        <w:trPr>
          <w:cantSplit w:val="true"/>
        </w:trPr>
        <w:tc>
          <w:tcPr>
            <w:tcW w:type="dxa" w:w="510"/>
          </w:tcPr>
          <w:p>
            <w:pPr>
              <w:spacing w:after="0"/>
            </w:pPr>
            <w:r>
              <w:rPr>
                <w:b/>
                <w:sz w:val="15"/>
              </w:rPr>
              <w:t>P17</w:t>
            </w:r>
          </w:p>
        </w:tc>
        <w:tc>
          <w:tcPr>
            <w:tcW w:type="dxa" w:w="2324"/>
          </w:tcPr>
          <w:p>
            <w:pPr>
              <w:spacing w:after="0"/>
            </w:pPr>
            <w:r>
              <w:rPr>
                <w:sz w:val="15"/>
              </w:rPr>
              <w:t>Engelen, Rimmer, Joosen (2021). Troubleshooting an Intrusion Detection Dataset: the CICIDS2017 Case Study. IEEE Security and Privacy Workshops.</w:t>
            </w:r>
          </w:p>
        </w:tc>
        <w:tc>
          <w:tcPr>
            <w:tcW w:type="dxa" w:w="1814"/>
          </w:tcPr>
          <w:p>
            <w:pPr>
              <w:spacing w:after="0"/>
            </w:pPr>
            <w:hyperlink r:id="rId25">
              <w:r>
                <w:rPr>
                  <w:color w:val="0563C1"/>
                  <w:u w:val="single"/>
                  <w:sz w:val="15"/>
                </w:rPr>
                <w:t>https://www.researchgate.net/publication/353107141_Troubleshooting_an_Intrusion_Detection_Dataset_the_CICIDS2017_Case_Study</w:t>
              </w:r>
            </w:hyperlink>
          </w:p>
        </w:tc>
        <w:tc>
          <w:tcPr>
            <w:tcW w:type="dxa" w:w="964"/>
          </w:tcPr>
          <w:p>
            <w:pPr>
              <w:spacing w:after="0"/>
            </w:pPr>
            <w:r>
              <w:rPr>
                <w:sz w:val="15"/>
              </w:rPr>
              <w:t>Dataset quality</w:t>
            </w:r>
          </w:p>
        </w:tc>
        <w:tc>
          <w:tcPr>
            <w:tcW w:type="dxa" w:w="1757"/>
          </w:tcPr>
          <w:p>
            <w:pPr>
              <w:spacing w:after="0"/>
            </w:pPr>
            <w:r>
              <w:rPr>
                <w:sz w:val="15"/>
              </w:rPr>
              <w:t>CICIDS2017.</w:t>
            </w:r>
          </w:p>
        </w:tc>
        <w:tc>
          <w:tcPr>
            <w:tcW w:type="dxa" w:w="1701"/>
          </w:tcPr>
          <w:p>
            <w:pPr>
              <w:spacing w:after="0"/>
            </w:pPr>
            <w:r>
              <w:rPr>
                <w:sz w:val="15"/>
              </w:rPr>
              <w:t>Not checked.</w:t>
            </w:r>
          </w:p>
        </w:tc>
        <w:tc>
          <w:tcPr>
            <w:tcW w:type="dxa" w:w="2438"/>
          </w:tcPr>
          <w:p>
            <w:pPr>
              <w:spacing w:after="0"/>
            </w:pPr>
            <w:r>
              <w:rPr>
                <w:sz w:val="15"/>
              </w:rPr>
              <w:t>Audit of traffic generation, flow construction, feature extraction and labelling; reprocessing of the data.</w:t>
            </w:r>
          </w:p>
        </w:tc>
        <w:tc>
          <w:tcPr>
            <w:tcW w:type="dxa" w:w="2494"/>
          </w:tcPr>
          <w:p>
            <w:pPr>
              <w:spacing w:after="0"/>
            </w:pPr>
            <w:r>
              <w:rPr>
                <w:sz w:val="15"/>
              </w:rPr>
              <w:t>More than 20% of original traffic traces were reconstructed or relabelled; benchmarks on the corrected data improved.</w:t>
            </w:r>
          </w:p>
        </w:tc>
        <w:tc>
          <w:tcPr>
            <w:tcW w:type="dxa" w:w="1134"/>
          </w:tcPr>
          <w:p>
            <w:pPr>
              <w:spacing w:after="0"/>
            </w:pPr>
            <w:r>
              <w:rPr>
                <w:sz w:val="15"/>
              </w:rPr>
              <w:t>Abstract only (abstract)</w:t>
            </w:r>
          </w:p>
        </w:tc>
      </w:tr>
      <w:tr>
        <w:trPr>
          <w:cantSplit w:val="true"/>
        </w:trPr>
        <w:tc>
          <w:tcPr>
            <w:tcW w:type="dxa" w:w="510"/>
            <w:shd w:val="clear" w:color="auto" w:fill="F2F5F9"/>
          </w:tcPr>
          <w:p>
            <w:pPr>
              <w:spacing w:after="0"/>
            </w:pPr>
            <w:r>
              <w:rPr>
                <w:b/>
                <w:sz w:val="15"/>
              </w:rPr>
              <w:t>P18</w:t>
            </w:r>
          </w:p>
        </w:tc>
        <w:tc>
          <w:tcPr>
            <w:tcW w:type="dxa" w:w="2324"/>
            <w:shd w:val="clear" w:color="auto" w:fill="F2F5F9"/>
          </w:tcPr>
          <w:p>
            <w:pPr>
              <w:spacing w:after="0"/>
            </w:pPr>
            <w:r>
              <w:rPr>
                <w:sz w:val="15"/>
              </w:rPr>
              <w:t>Northcutt, Athalye, Mueller (2021). Pervasive Label Errors in Test Sets Destabilize Machine Learning Benchmarks.</w:t>
            </w:r>
          </w:p>
        </w:tc>
        <w:tc>
          <w:tcPr>
            <w:tcW w:type="dxa" w:w="1814"/>
            <w:shd w:val="clear" w:color="auto" w:fill="F2F5F9"/>
          </w:tcPr>
          <w:p>
            <w:pPr>
              <w:spacing w:after="0"/>
            </w:pPr>
            <w:hyperlink r:id="rId26">
              <w:r>
                <w:rPr>
                  <w:color w:val="0563C1"/>
                  <w:u w:val="single"/>
                  <w:sz w:val="15"/>
                </w:rPr>
                <w:t>https://arxiv.org/abs/2103.14749</w:t>
              </w:r>
            </w:hyperlink>
          </w:p>
        </w:tc>
        <w:tc>
          <w:tcPr>
            <w:tcW w:type="dxa" w:w="964"/>
            <w:shd w:val="clear" w:color="auto" w:fill="F2F5F9"/>
          </w:tcPr>
          <w:p>
            <w:pPr>
              <w:spacing w:after="0"/>
            </w:pPr>
            <w:r>
              <w:rPr>
                <w:sz w:val="15"/>
              </w:rPr>
              <w:t>Label quality</w:t>
            </w:r>
          </w:p>
        </w:tc>
        <w:tc>
          <w:tcPr>
            <w:tcW w:type="dxa" w:w="1757"/>
            <w:shd w:val="clear" w:color="auto" w:fill="F2F5F9"/>
          </w:tcPr>
          <w:p>
            <w:pPr>
              <w:spacing w:after="0"/>
            </w:pPr>
            <w:r>
              <w:rPr>
                <w:sz w:val="15"/>
              </w:rPr>
              <w:t>Test sets of 10 vision, language and audio datasets (no intrusion data).</w:t>
            </w:r>
          </w:p>
        </w:tc>
        <w:tc>
          <w:tcPr>
            <w:tcW w:type="dxa" w:w="1701"/>
            <w:shd w:val="clear" w:color="auto" w:fill="F2F5F9"/>
          </w:tcPr>
          <w:p>
            <w:pPr>
              <w:spacing w:after="0"/>
            </w:pPr>
            <w:r>
              <w:rPr>
                <w:sz w:val="15"/>
              </w:rPr>
              <w:t>Not applicable.</w:t>
            </w:r>
          </w:p>
        </w:tc>
        <w:tc>
          <w:tcPr>
            <w:tcW w:type="dxa" w:w="2438"/>
            <w:shd w:val="clear" w:color="auto" w:fill="F2F5F9"/>
          </w:tcPr>
          <w:p>
            <w:pPr>
              <w:spacing w:after="0"/>
            </w:pPr>
            <w:r>
              <w:rPr>
                <w:sz w:val="15"/>
              </w:rPr>
              <w:t>Confident learning to flag likely label errors, then human validation.</w:t>
            </w:r>
          </w:p>
        </w:tc>
        <w:tc>
          <w:tcPr>
            <w:tcW w:type="dxa" w:w="2494"/>
            <w:shd w:val="clear" w:color="auto" w:fill="F2F5F9"/>
          </w:tcPr>
          <w:p>
            <w:pPr>
              <w:spacing w:after="0"/>
            </w:pPr>
            <w:r>
              <w:rPr>
                <w:sz w:val="15"/>
              </w:rPr>
              <w:t>At least 3.3% label errors on average; at least 6% in the ImageNet validation set; 54% of flagged items were truly mislabelled.</w:t>
            </w:r>
          </w:p>
        </w:tc>
        <w:tc>
          <w:tcPr>
            <w:tcW w:type="dxa" w:w="1134"/>
            <w:shd w:val="clear" w:color="auto" w:fill="F2F5F9"/>
          </w:tcPr>
          <w:p>
            <w:pPr>
              <w:spacing w:after="0"/>
            </w:pPr>
            <w:r>
              <w:rPr>
                <w:sz w:val="15"/>
              </w:rPr>
              <w:t>Abstract only (abstract)</w:t>
            </w:r>
          </w:p>
        </w:tc>
      </w:tr>
    </w:tbl>
    <w:p>
      <w:pPr>
        <w:spacing w:after="80"/>
      </w:pPr>
    </w:p>
    <w:p>
      <w:pPr>
        <w:pStyle w:val="Heading1"/>
      </w:pPr>
      <w:r>
        <w:t>4. Table 2: How close each paper is to our setup</w:t>
      </w:r>
    </w:p>
    <w:p>
      <w:pPr>
        <w:spacing w:after="120"/>
      </w:pPr>
      <w:r>
        <w:rPr>
          <w:b w:val="0"/>
          <w:i w:val="0"/>
        </w:rPr>
        <w:t>Our setup: UNSW-NB15, 10-class macro F1, large random train/test split, tuned LightGBM and a flow-level GNN, bootstrap intervals. 'Fit' describes how much we can use the paper: Direct (similar task and data), Partial (shares data or task but not both), Background (supports an idea on other data).</w:t>
      </w:r>
    </w:p>
    <w:tbl>
      <w:tblPr>
        <w:tblStyle w:val="TableGrid"/>
        <w:tblW w:type="auto" w:w="0"/>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794"/>
            <w:shd w:val="clear" w:color="auto" w:fill="1F3A5F"/>
          </w:tcPr>
          <w:p>
            <w:r>
              <w:rPr>
                <w:b/>
                <w:color w:val="FFFFFF"/>
                <w:sz w:val="17"/>
              </w:rPr>
              <w:t>ID</w:t>
            </w:r>
          </w:p>
        </w:tc>
        <w:tc>
          <w:tcPr>
            <w:tcW w:type="dxa" w:w="2041"/>
            <w:shd w:val="clear" w:color="auto" w:fill="1F3A5F"/>
          </w:tcPr>
          <w:p>
            <w:r>
              <w:rPr>
                <w:b/>
                <w:color w:val="FFFFFF"/>
                <w:sz w:val="17"/>
              </w:rPr>
              <w:t>Paper (short)</w:t>
            </w:r>
          </w:p>
        </w:tc>
        <w:tc>
          <w:tcPr>
            <w:tcW w:type="dxa" w:w="1474"/>
            <w:shd w:val="clear" w:color="auto" w:fill="1F3A5F"/>
          </w:tcPr>
          <w:p>
            <w:r>
              <w:rPr>
                <w:b/>
                <w:color w:val="FFFFFF"/>
                <w:sz w:val="17"/>
              </w:rPr>
              <w:t>Same data?</w:t>
            </w:r>
          </w:p>
        </w:tc>
        <w:tc>
          <w:tcPr>
            <w:tcW w:type="dxa" w:w="2154"/>
            <w:shd w:val="clear" w:color="auto" w:fill="1F3A5F"/>
          </w:tcPr>
          <w:p>
            <w:r>
              <w:rPr>
                <w:b/>
                <w:color w:val="FFFFFF"/>
                <w:sz w:val="17"/>
              </w:rPr>
              <w:t>Same task / metric?</w:t>
            </w:r>
          </w:p>
        </w:tc>
        <w:tc>
          <w:tcPr>
            <w:tcW w:type="dxa" w:w="5102"/>
            <w:shd w:val="clear" w:color="auto" w:fill="1F3A5F"/>
          </w:tcPr>
          <w:p>
            <w:r>
              <w:rPr>
                <w:b/>
                <w:color w:val="FFFFFF"/>
                <w:sz w:val="17"/>
              </w:rPr>
              <w:t>Main differences from our setup</w:t>
            </w:r>
          </w:p>
        </w:tc>
        <w:tc>
          <w:tcPr>
            <w:tcW w:type="dxa" w:w="1474"/>
            <w:shd w:val="clear" w:color="auto" w:fill="1F3A5F"/>
          </w:tcPr>
          <w:p>
            <w:r>
              <w:rPr>
                <w:b/>
                <w:color w:val="FFFFFF"/>
                <w:sz w:val="17"/>
              </w:rPr>
              <w:t>Claims</w:t>
            </w:r>
          </w:p>
        </w:tc>
        <w:tc>
          <w:tcPr>
            <w:tcW w:type="dxa" w:w="1247"/>
            <w:shd w:val="clear" w:color="auto" w:fill="1F3A5F"/>
          </w:tcPr>
          <w:p>
            <w:r>
              <w:rPr>
                <w:b/>
                <w:color w:val="FFFFFF"/>
                <w:sz w:val="17"/>
              </w:rPr>
              <w:t>Fit</w:t>
            </w:r>
          </w:p>
        </w:tc>
      </w:tr>
      <w:tr>
        <w:trPr>
          <w:cantSplit w:val="true"/>
        </w:trPr>
        <w:tc>
          <w:tcPr>
            <w:tcW w:type="dxa" w:w="794"/>
          </w:tcPr>
          <w:p>
            <w:pPr>
              <w:spacing w:after="0"/>
            </w:pPr>
            <w:r>
              <w:rPr>
                <w:b/>
                <w:sz w:val="16"/>
              </w:rPr>
              <w:t>P1</w:t>
            </w:r>
          </w:p>
        </w:tc>
        <w:tc>
          <w:tcPr>
            <w:tcW w:type="dxa" w:w="2041"/>
          </w:tcPr>
          <w:p>
            <w:pPr>
              <w:spacing w:after="0"/>
            </w:pPr>
            <w:r>
              <w:rPr>
                <w:sz w:val="16"/>
              </w:rPr>
              <w:t>Moustafa &amp; Slay 2015</w:t>
            </w:r>
          </w:p>
        </w:tc>
        <w:tc>
          <w:tcPr>
            <w:tcW w:type="dxa" w:w="1474"/>
          </w:tcPr>
          <w:p>
            <w:pPr>
              <w:spacing w:after="0"/>
            </w:pPr>
            <w:r>
              <w:rPr>
                <w:sz w:val="16"/>
              </w:rPr>
              <w:t>Yes (source)</w:t>
            </w:r>
          </w:p>
        </w:tc>
        <w:tc>
          <w:tcPr>
            <w:tcW w:type="dxa" w:w="2154"/>
          </w:tcPr>
          <w:p>
            <w:pPr>
              <w:spacing w:after="0"/>
            </w:pPr>
            <w:r>
              <w:rPr>
                <w:sz w:val="16"/>
              </w:rPr>
              <w:t>Dataset only</w:t>
            </w:r>
          </w:p>
        </w:tc>
        <w:tc>
          <w:tcPr>
            <w:tcW w:type="dxa" w:w="5102"/>
          </w:tcPr>
          <w:p>
            <w:pPr>
              <w:spacing w:after="0"/>
            </w:pPr>
            <w:r>
              <w:rPr>
                <w:sz w:val="16"/>
              </w:rPr>
              <w:t>Their train/test partition is far smaller (175,341 / 82,332) than ours.</w:t>
            </w:r>
          </w:p>
        </w:tc>
        <w:tc>
          <w:tcPr>
            <w:tcW w:type="dxa" w:w="1474"/>
          </w:tcPr>
          <w:p>
            <w:pPr>
              <w:spacing w:after="0"/>
            </w:pPr>
            <w:r>
              <w:rPr>
                <w:sz w:val="16"/>
              </w:rPr>
              <w:t>Setup</w:t>
            </w:r>
          </w:p>
        </w:tc>
        <w:tc>
          <w:tcPr>
            <w:tcW w:type="dxa" w:w="1247"/>
          </w:tcPr>
          <w:p>
            <w:pPr>
              <w:spacing w:after="0"/>
            </w:pPr>
            <w:r>
              <w:rPr>
                <w:sz w:val="16"/>
              </w:rPr>
              <w:t>Direct</w:t>
            </w:r>
          </w:p>
        </w:tc>
      </w:tr>
      <w:tr>
        <w:trPr>
          <w:cantSplit w:val="true"/>
        </w:trPr>
        <w:tc>
          <w:tcPr>
            <w:tcW w:type="dxa" w:w="794"/>
            <w:shd w:val="clear" w:color="auto" w:fill="F2F5F9"/>
          </w:tcPr>
          <w:p>
            <w:pPr>
              <w:spacing w:after="0"/>
            </w:pPr>
            <w:r>
              <w:rPr>
                <w:b/>
                <w:sz w:val="16"/>
              </w:rPr>
              <w:t>P2</w:t>
            </w:r>
          </w:p>
        </w:tc>
        <w:tc>
          <w:tcPr>
            <w:tcW w:type="dxa" w:w="2041"/>
            <w:shd w:val="clear" w:color="auto" w:fill="F2F5F9"/>
          </w:tcPr>
          <w:p>
            <w:pPr>
              <w:spacing w:after="0"/>
            </w:pPr>
            <w:r>
              <w:rPr>
                <w:sz w:val="16"/>
              </w:rPr>
              <w:t>Sarhan et al. 2020/21</w:t>
            </w:r>
          </w:p>
        </w:tc>
        <w:tc>
          <w:tcPr>
            <w:tcW w:type="dxa" w:w="1474"/>
            <w:shd w:val="clear" w:color="auto" w:fill="F2F5F9"/>
          </w:tcPr>
          <w:p>
            <w:pPr>
              <w:spacing w:after="0"/>
            </w:pPr>
            <w:r>
              <w:rPr>
                <w:sz w:val="16"/>
              </w:rPr>
              <w:t>Yes (and NetFlow version)</w:t>
            </w:r>
          </w:p>
        </w:tc>
        <w:tc>
          <w:tcPr>
            <w:tcW w:type="dxa" w:w="2154"/>
            <w:shd w:val="clear" w:color="auto" w:fill="F2F5F9"/>
          </w:tcPr>
          <w:p>
            <w:pPr>
              <w:spacing w:after="0"/>
            </w:pPr>
            <w:r>
              <w:rPr>
                <w:sz w:val="16"/>
              </w:rPr>
              <w:t>10-class, per-class F1</w:t>
            </w:r>
          </w:p>
        </w:tc>
        <w:tc>
          <w:tcPr>
            <w:tcW w:type="dxa" w:w="5102"/>
            <w:shd w:val="clear" w:color="auto" w:fill="F2F5F9"/>
          </w:tcPr>
          <w:p>
            <w:pPr>
              <w:spacing w:after="0"/>
            </w:pPr>
            <w:r>
              <w:rPr>
                <w:sz w:val="16"/>
              </w:rPr>
              <w:t>Extra Trees (50 trees) with 5-fold CV; TTL features dropped; different feature set. Their per-class table is the closest published reference we found.</w:t>
            </w:r>
          </w:p>
        </w:tc>
        <w:tc>
          <w:tcPr>
            <w:tcW w:type="dxa" w:w="1474"/>
            <w:shd w:val="clear" w:color="auto" w:fill="F2F5F9"/>
          </w:tcPr>
          <w:p>
            <w:pPr>
              <w:spacing w:after="0"/>
            </w:pPr>
            <w:r>
              <w:rPr>
                <w:sz w:val="16"/>
              </w:rPr>
              <w:t>C1, C4, C8, C10, C11</w:t>
            </w:r>
          </w:p>
        </w:tc>
        <w:tc>
          <w:tcPr>
            <w:tcW w:type="dxa" w:w="1247"/>
            <w:shd w:val="clear" w:color="auto" w:fill="F2F5F9"/>
          </w:tcPr>
          <w:p>
            <w:pPr>
              <w:spacing w:after="0"/>
            </w:pPr>
            <w:r>
              <w:rPr>
                <w:sz w:val="16"/>
              </w:rPr>
              <w:t>Direct</w:t>
            </w:r>
          </w:p>
        </w:tc>
      </w:tr>
      <w:tr>
        <w:trPr>
          <w:cantSplit w:val="true"/>
        </w:trPr>
        <w:tc>
          <w:tcPr>
            <w:tcW w:type="dxa" w:w="794"/>
          </w:tcPr>
          <w:p>
            <w:pPr>
              <w:spacing w:after="0"/>
            </w:pPr>
            <w:r>
              <w:rPr>
                <w:b/>
                <w:sz w:val="16"/>
              </w:rPr>
              <w:t>P3</w:t>
            </w:r>
          </w:p>
        </w:tc>
        <w:tc>
          <w:tcPr>
            <w:tcW w:type="dxa" w:w="2041"/>
          </w:tcPr>
          <w:p>
            <w:pPr>
              <w:spacing w:after="0"/>
            </w:pPr>
            <w:r>
              <w:rPr>
                <w:sz w:val="16"/>
              </w:rPr>
              <w:t>Sarhan et al. 2021</w:t>
            </w:r>
          </w:p>
        </w:tc>
        <w:tc>
          <w:tcPr>
            <w:tcW w:type="dxa" w:w="1474"/>
          </w:tcPr>
          <w:p>
            <w:pPr>
              <w:spacing w:after="0"/>
            </w:pPr>
            <w:r>
              <w:rPr>
                <w:sz w:val="16"/>
              </w:rPr>
              <w:t>Probably</w:t>
            </w:r>
          </w:p>
        </w:tc>
        <w:tc>
          <w:tcPr>
            <w:tcW w:type="dxa" w:w="2154"/>
          </w:tcPr>
          <w:p>
            <w:pPr>
              <w:spacing w:after="0"/>
            </w:pPr>
            <w:r>
              <w:rPr>
                <w:sz w:val="16"/>
              </w:rPr>
              <w:t>No</w:t>
            </w:r>
          </w:p>
        </w:tc>
        <w:tc>
          <w:tcPr>
            <w:tcW w:type="dxa" w:w="5102"/>
          </w:tcPr>
          <w:p>
            <w:pPr>
              <w:spacing w:after="0"/>
            </w:pPr>
            <w:r>
              <w:rPr>
                <w:sz w:val="16"/>
              </w:rPr>
              <w:t>Feature-set proposal; results not checked.</w:t>
            </w:r>
          </w:p>
        </w:tc>
        <w:tc>
          <w:tcPr>
            <w:tcW w:type="dxa" w:w="1474"/>
          </w:tcPr>
          <w:p>
            <w:pPr>
              <w:spacing w:after="0"/>
            </w:pPr>
            <w:r>
              <w:rPr>
                <w:sz w:val="16"/>
              </w:rPr>
              <w:t>Setup</w:t>
            </w:r>
          </w:p>
        </w:tc>
        <w:tc>
          <w:tcPr>
            <w:tcW w:type="dxa" w:w="1247"/>
          </w:tcPr>
          <w:p>
            <w:pPr>
              <w:spacing w:after="0"/>
            </w:pPr>
            <w:r>
              <w:rPr>
                <w:sz w:val="16"/>
              </w:rPr>
              <w:t>Background</w:t>
            </w:r>
          </w:p>
        </w:tc>
      </w:tr>
      <w:tr>
        <w:trPr>
          <w:cantSplit w:val="true"/>
        </w:trPr>
        <w:tc>
          <w:tcPr>
            <w:tcW w:type="dxa" w:w="794"/>
            <w:shd w:val="clear" w:color="auto" w:fill="F2F5F9"/>
          </w:tcPr>
          <w:p>
            <w:pPr>
              <w:spacing w:after="0"/>
            </w:pPr>
            <w:r>
              <w:rPr>
                <w:b/>
                <w:sz w:val="16"/>
              </w:rPr>
              <w:t>P4</w:t>
            </w:r>
          </w:p>
        </w:tc>
        <w:tc>
          <w:tcPr>
            <w:tcW w:type="dxa" w:w="2041"/>
            <w:shd w:val="clear" w:color="auto" w:fill="F2F5F9"/>
          </w:tcPr>
          <w:p>
            <w:pPr>
              <w:spacing w:after="0"/>
            </w:pPr>
            <w:r>
              <w:rPr>
                <w:sz w:val="16"/>
              </w:rPr>
              <w:t>Zoghi &amp; Serpen 2024</w:t>
            </w:r>
          </w:p>
        </w:tc>
        <w:tc>
          <w:tcPr>
            <w:tcW w:type="dxa" w:w="1474"/>
            <w:shd w:val="clear" w:color="auto" w:fill="F2F5F9"/>
          </w:tcPr>
          <w:p>
            <w:pPr>
              <w:spacing w:after="0"/>
            </w:pPr>
            <w:r>
              <w:rPr>
                <w:sz w:val="16"/>
              </w:rPr>
              <w:t>Yes</w:t>
            </w:r>
          </w:p>
        </w:tc>
        <w:tc>
          <w:tcPr>
            <w:tcW w:type="dxa" w:w="2154"/>
            <w:shd w:val="clear" w:color="auto" w:fill="F2F5F9"/>
          </w:tcPr>
          <w:p>
            <w:pPr>
              <w:spacing w:after="0"/>
            </w:pPr>
            <w:r>
              <w:rPr>
                <w:sz w:val="16"/>
              </w:rPr>
              <w:t>Binary and multi-class; accuracy and sensitivity</w:t>
            </w:r>
          </w:p>
        </w:tc>
        <w:tc>
          <w:tcPr>
            <w:tcW w:type="dxa" w:w="5102"/>
            <w:shd w:val="clear" w:color="auto" w:fill="F2F5F9"/>
          </w:tcPr>
          <w:p>
            <w:pPr>
              <w:spacing w:after="0"/>
            </w:pPr>
            <w:r>
              <w:rPr>
                <w:sz w:val="16"/>
              </w:rPr>
              <w:t>Ensemble design; split not checked; metrics are accuracy and sensitivity, not macro F1.</w:t>
            </w:r>
          </w:p>
        </w:tc>
        <w:tc>
          <w:tcPr>
            <w:tcW w:type="dxa" w:w="1474"/>
            <w:shd w:val="clear" w:color="auto" w:fill="F2F5F9"/>
          </w:tcPr>
          <w:p>
            <w:pPr>
              <w:spacing w:after="0"/>
            </w:pPr>
            <w:r>
              <w:rPr>
                <w:sz w:val="16"/>
              </w:rPr>
              <w:t>C1, C4</w:t>
            </w:r>
          </w:p>
        </w:tc>
        <w:tc>
          <w:tcPr>
            <w:tcW w:type="dxa" w:w="1247"/>
            <w:shd w:val="clear" w:color="auto" w:fill="F2F5F9"/>
          </w:tcPr>
          <w:p>
            <w:pPr>
              <w:spacing w:after="0"/>
            </w:pPr>
            <w:r>
              <w:rPr>
                <w:sz w:val="16"/>
              </w:rPr>
              <w:t>Partial</w:t>
            </w:r>
          </w:p>
        </w:tc>
      </w:tr>
      <w:tr>
        <w:trPr>
          <w:cantSplit w:val="true"/>
        </w:trPr>
        <w:tc>
          <w:tcPr>
            <w:tcW w:type="dxa" w:w="794"/>
          </w:tcPr>
          <w:p>
            <w:pPr>
              <w:spacing w:after="0"/>
            </w:pPr>
            <w:r>
              <w:rPr>
                <w:b/>
                <w:sz w:val="16"/>
              </w:rPr>
              <w:t>P5</w:t>
            </w:r>
          </w:p>
        </w:tc>
        <w:tc>
          <w:tcPr>
            <w:tcW w:type="dxa" w:w="2041"/>
          </w:tcPr>
          <w:p>
            <w:pPr>
              <w:spacing w:after="0"/>
            </w:pPr>
            <w:r>
              <w:rPr>
                <w:sz w:val="16"/>
              </w:rPr>
              <w:t>Kasongo &amp; Sun 2020</w:t>
            </w:r>
          </w:p>
        </w:tc>
        <w:tc>
          <w:tcPr>
            <w:tcW w:type="dxa" w:w="1474"/>
          </w:tcPr>
          <w:p>
            <w:pPr>
              <w:spacing w:after="0"/>
            </w:pPr>
            <w:r>
              <w:rPr>
                <w:sz w:val="16"/>
              </w:rPr>
              <w:t>Yes</w:t>
            </w:r>
          </w:p>
        </w:tc>
        <w:tc>
          <w:tcPr>
            <w:tcW w:type="dxa" w:w="2154"/>
          </w:tcPr>
          <w:p>
            <w:pPr>
              <w:spacing w:after="0"/>
            </w:pPr>
            <w:r>
              <w:rPr>
                <w:sz w:val="16"/>
              </w:rPr>
              <w:t>Accuracy-style metrics</w:t>
            </w:r>
          </w:p>
        </w:tc>
        <w:tc>
          <w:tcPr>
            <w:tcW w:type="dxa" w:w="5102"/>
          </w:tcPr>
          <w:p>
            <w:pPr>
              <w:spacing w:after="0"/>
            </w:pPr>
            <w:r>
              <w:rPr>
                <w:sz w:val="16"/>
              </w:rPr>
              <w:t>Feature selection study; split and results not checked.</w:t>
            </w:r>
          </w:p>
        </w:tc>
        <w:tc>
          <w:tcPr>
            <w:tcW w:type="dxa" w:w="1474"/>
          </w:tcPr>
          <w:p>
            <w:pPr>
              <w:spacing w:after="0"/>
            </w:pPr>
            <w:r>
              <w:rPr>
                <w:sz w:val="16"/>
              </w:rPr>
              <w:t>None yet</w:t>
            </w:r>
          </w:p>
        </w:tc>
        <w:tc>
          <w:tcPr>
            <w:tcW w:type="dxa" w:w="1247"/>
          </w:tcPr>
          <w:p>
            <w:pPr>
              <w:spacing w:after="0"/>
            </w:pPr>
            <w:r>
              <w:rPr>
                <w:sz w:val="16"/>
              </w:rPr>
              <w:t>Partial</w:t>
            </w:r>
          </w:p>
        </w:tc>
      </w:tr>
      <w:tr>
        <w:trPr>
          <w:cantSplit w:val="true"/>
        </w:trPr>
        <w:tc>
          <w:tcPr>
            <w:tcW w:type="dxa" w:w="794"/>
            <w:shd w:val="clear" w:color="auto" w:fill="F2F5F9"/>
          </w:tcPr>
          <w:p>
            <w:pPr>
              <w:spacing w:after="0"/>
            </w:pPr>
            <w:r>
              <w:rPr>
                <w:b/>
                <w:sz w:val="16"/>
              </w:rPr>
              <w:t>P6</w:t>
            </w:r>
          </w:p>
        </w:tc>
        <w:tc>
          <w:tcPr>
            <w:tcW w:type="dxa" w:w="2041"/>
            <w:shd w:val="clear" w:color="auto" w:fill="F2F5F9"/>
          </w:tcPr>
          <w:p>
            <w:pPr>
              <w:spacing w:after="0"/>
            </w:pPr>
            <w:r>
              <w:rPr>
                <w:sz w:val="16"/>
              </w:rPr>
              <w:t>Lo et al. 2022</w:t>
            </w:r>
          </w:p>
        </w:tc>
        <w:tc>
          <w:tcPr>
            <w:tcW w:type="dxa" w:w="1474"/>
            <w:shd w:val="clear" w:color="auto" w:fill="F2F5F9"/>
          </w:tcPr>
          <w:p>
            <w:pPr>
              <w:spacing w:after="0"/>
            </w:pPr>
            <w:r>
              <w:rPr>
                <w:sz w:val="16"/>
              </w:rPr>
              <w:t>No (IoT datasets)</w:t>
            </w:r>
          </w:p>
        </w:tc>
        <w:tc>
          <w:tcPr>
            <w:tcW w:type="dxa" w:w="2154"/>
            <w:shd w:val="clear" w:color="auto" w:fill="F2F5F9"/>
          </w:tcPr>
          <w:p>
            <w:pPr>
              <w:spacing w:after="0"/>
            </w:pPr>
            <w:r>
              <w:rPr>
                <w:sz w:val="16"/>
              </w:rPr>
              <w:t>Multi-class, weighted F1</w:t>
            </w:r>
          </w:p>
        </w:tc>
        <w:tc>
          <w:tcPr>
            <w:tcW w:type="dxa" w:w="5102"/>
            <w:shd w:val="clear" w:color="auto" w:fill="F2F5F9"/>
          </w:tcPr>
          <w:p>
            <w:pPr>
              <w:spacing w:after="0"/>
            </w:pPr>
            <w:r>
              <w:rPr>
                <w:sz w:val="16"/>
              </w:rPr>
              <w:t>Same graph definition as our GNN (nodes = IP and port, edges = flows). Different data, 70/30 split, full-neighbourhood training, weighted F1. We implemented the design on UNSW-NB15 (see analysis.md, section 8).</w:t>
            </w:r>
          </w:p>
        </w:tc>
        <w:tc>
          <w:tcPr>
            <w:tcW w:type="dxa" w:w="1474"/>
            <w:shd w:val="clear" w:color="auto" w:fill="F2F5F9"/>
          </w:tcPr>
          <w:p>
            <w:pPr>
              <w:spacing w:after="0"/>
            </w:pPr>
            <w:r>
              <w:rPr>
                <w:sz w:val="16"/>
              </w:rPr>
              <w:t>C5, C6, C9, C11</w:t>
            </w:r>
          </w:p>
        </w:tc>
        <w:tc>
          <w:tcPr>
            <w:tcW w:type="dxa" w:w="1247"/>
            <w:shd w:val="clear" w:color="auto" w:fill="F2F5F9"/>
          </w:tcPr>
          <w:p>
            <w:pPr>
              <w:spacing w:after="0"/>
            </w:pPr>
            <w:r>
              <w:rPr>
                <w:sz w:val="16"/>
              </w:rPr>
              <w:t>Partial</w:t>
            </w:r>
          </w:p>
        </w:tc>
      </w:tr>
      <w:tr>
        <w:trPr>
          <w:cantSplit w:val="true"/>
        </w:trPr>
        <w:tc>
          <w:tcPr>
            <w:tcW w:type="dxa" w:w="794"/>
          </w:tcPr>
          <w:p>
            <w:pPr>
              <w:spacing w:after="0"/>
            </w:pPr>
            <w:r>
              <w:rPr>
                <w:b/>
                <w:sz w:val="16"/>
              </w:rPr>
              <w:t>P7</w:t>
            </w:r>
          </w:p>
        </w:tc>
        <w:tc>
          <w:tcPr>
            <w:tcW w:type="dxa" w:w="2041"/>
          </w:tcPr>
          <w:p>
            <w:pPr>
              <w:spacing w:after="0"/>
            </w:pPr>
            <w:r>
              <w:rPr>
                <w:sz w:val="16"/>
              </w:rPr>
              <w:t>Caville et al. 2022</w:t>
            </w:r>
          </w:p>
        </w:tc>
        <w:tc>
          <w:tcPr>
            <w:tcW w:type="dxa" w:w="1474"/>
          </w:tcPr>
          <w:p>
            <w:pPr>
              <w:spacing w:after="0"/>
            </w:pPr>
            <w:r>
              <w:rPr>
                <w:sz w:val="16"/>
              </w:rPr>
              <w:t>NetFlow version</w:t>
            </w:r>
          </w:p>
        </w:tc>
        <w:tc>
          <w:tcPr>
            <w:tcW w:type="dxa" w:w="2154"/>
          </w:tcPr>
          <w:p>
            <w:pPr>
              <w:spacing w:after="0"/>
            </w:pPr>
            <w:r>
              <w:rPr>
                <w:sz w:val="16"/>
              </w:rPr>
              <w:t>Binary anomaly detection, macro F1 over normal and attack</w:t>
            </w:r>
          </w:p>
        </w:tc>
        <w:tc>
          <w:tcPr>
            <w:tcW w:type="dxa" w:w="5102"/>
          </w:tcPr>
          <w:p>
            <w:pPr>
              <w:spacing w:after="0"/>
            </w:pPr>
            <w:r>
              <w:rPr>
                <w:sz w:val="16"/>
              </w:rPr>
              <w:t>Self-supervised, attack-free training; not comparable with 10-class macro F1.</w:t>
            </w:r>
          </w:p>
        </w:tc>
        <w:tc>
          <w:tcPr>
            <w:tcW w:type="dxa" w:w="1474"/>
          </w:tcPr>
          <w:p>
            <w:pPr>
              <w:spacing w:after="0"/>
            </w:pPr>
            <w:r>
              <w:rPr>
                <w:sz w:val="16"/>
              </w:rPr>
              <w:t>C5</w:t>
            </w:r>
          </w:p>
        </w:tc>
        <w:tc>
          <w:tcPr>
            <w:tcW w:type="dxa" w:w="1247"/>
          </w:tcPr>
          <w:p>
            <w:pPr>
              <w:spacing w:after="0"/>
            </w:pPr>
            <w:r>
              <w:rPr>
                <w:sz w:val="16"/>
              </w:rPr>
              <w:t>Partial</w:t>
            </w:r>
          </w:p>
        </w:tc>
      </w:tr>
      <w:tr>
        <w:trPr>
          <w:cantSplit w:val="true"/>
        </w:trPr>
        <w:tc>
          <w:tcPr>
            <w:tcW w:type="dxa" w:w="794"/>
            <w:shd w:val="clear" w:color="auto" w:fill="F2F5F9"/>
          </w:tcPr>
          <w:p>
            <w:pPr>
              <w:spacing w:after="0"/>
            </w:pPr>
            <w:r>
              <w:rPr>
                <w:b/>
                <w:sz w:val="16"/>
              </w:rPr>
              <w:t>P8</w:t>
            </w:r>
          </w:p>
        </w:tc>
        <w:tc>
          <w:tcPr>
            <w:tcW w:type="dxa" w:w="2041"/>
            <w:shd w:val="clear" w:color="auto" w:fill="F2F5F9"/>
          </w:tcPr>
          <w:p>
            <w:pPr>
              <w:spacing w:after="0"/>
            </w:pPr>
            <w:r>
              <w:rPr>
                <w:sz w:val="16"/>
              </w:rPr>
              <w:t>Pujol-Perich et al. 2022</w:t>
            </w:r>
          </w:p>
        </w:tc>
        <w:tc>
          <w:tcPr>
            <w:tcW w:type="dxa" w:w="1474"/>
            <w:shd w:val="clear" w:color="auto" w:fill="F2F5F9"/>
          </w:tcPr>
          <w:p>
            <w:pPr>
              <w:spacing w:after="0"/>
            </w:pPr>
            <w:r>
              <w:rPr>
                <w:sz w:val="16"/>
              </w:rPr>
              <w:t>No (CIC-IDS2017)</w:t>
            </w:r>
          </w:p>
        </w:tc>
        <w:tc>
          <w:tcPr>
            <w:tcW w:type="dxa" w:w="2154"/>
            <w:shd w:val="clear" w:color="auto" w:fill="F2F5F9"/>
          </w:tcPr>
          <w:p>
            <w:pPr>
              <w:spacing w:after="0"/>
            </w:pPr>
            <w:r>
              <w:rPr>
                <w:sz w:val="16"/>
              </w:rPr>
              <w:t>Multi-class, weighted F1</w:t>
            </w:r>
          </w:p>
        </w:tc>
        <w:tc>
          <w:tcPr>
            <w:tcW w:type="dxa" w:w="5102"/>
            <w:shd w:val="clear" w:color="auto" w:fill="F2F5F9"/>
          </w:tcPr>
          <w:p>
            <w:pPr>
              <w:spacing w:after="0"/>
            </w:pPr>
            <w:r>
              <w:rPr>
                <w:sz w:val="16"/>
              </w:rPr>
              <w:t>Host and flow graph, different architecture; robustness study.</w:t>
            </w:r>
          </w:p>
        </w:tc>
        <w:tc>
          <w:tcPr>
            <w:tcW w:type="dxa" w:w="1474"/>
            <w:shd w:val="clear" w:color="auto" w:fill="F2F5F9"/>
          </w:tcPr>
          <w:p>
            <w:pPr>
              <w:spacing w:after="0"/>
            </w:pPr>
            <w:r>
              <w:rPr>
                <w:sz w:val="16"/>
              </w:rPr>
              <w:t>C5, C6</w:t>
            </w:r>
          </w:p>
        </w:tc>
        <w:tc>
          <w:tcPr>
            <w:tcW w:type="dxa" w:w="1247"/>
            <w:shd w:val="clear" w:color="auto" w:fill="F2F5F9"/>
          </w:tcPr>
          <w:p>
            <w:pPr>
              <w:spacing w:after="0"/>
            </w:pPr>
            <w:r>
              <w:rPr>
                <w:sz w:val="16"/>
              </w:rPr>
              <w:t>Background</w:t>
            </w:r>
          </w:p>
        </w:tc>
      </w:tr>
      <w:tr>
        <w:trPr>
          <w:cantSplit w:val="true"/>
        </w:trPr>
        <w:tc>
          <w:tcPr>
            <w:tcW w:type="dxa" w:w="794"/>
          </w:tcPr>
          <w:p>
            <w:pPr>
              <w:spacing w:after="0"/>
            </w:pPr>
            <w:r>
              <w:rPr>
                <w:b/>
                <w:sz w:val="16"/>
              </w:rPr>
              <w:t>P9, P10</w:t>
            </w:r>
          </w:p>
        </w:tc>
        <w:tc>
          <w:tcPr>
            <w:tcW w:type="dxa" w:w="2041"/>
          </w:tcPr>
          <w:p>
            <w:pPr>
              <w:spacing w:after="0"/>
            </w:pPr>
            <w:r>
              <w:rPr>
                <w:sz w:val="16"/>
              </w:rPr>
              <w:t>Bilot 2023; Zhong 2024</w:t>
            </w:r>
          </w:p>
        </w:tc>
        <w:tc>
          <w:tcPr>
            <w:tcW w:type="dxa" w:w="1474"/>
          </w:tcPr>
          <w:p>
            <w:pPr>
              <w:spacing w:after="0"/>
            </w:pPr>
            <w:r>
              <w:rPr>
                <w:sz w:val="16"/>
              </w:rPr>
              <w:t>n/a</w:t>
            </w:r>
          </w:p>
        </w:tc>
        <w:tc>
          <w:tcPr>
            <w:tcW w:type="dxa" w:w="2154"/>
          </w:tcPr>
          <w:p>
            <w:pPr>
              <w:spacing w:after="0"/>
            </w:pPr>
            <w:r>
              <w:rPr>
                <w:sz w:val="16"/>
              </w:rPr>
              <w:t>n/a</w:t>
            </w:r>
          </w:p>
        </w:tc>
        <w:tc>
          <w:tcPr>
            <w:tcW w:type="dxa" w:w="5102"/>
          </w:tcPr>
          <w:p>
            <w:pPr>
              <w:spacing w:after="0"/>
            </w:pPr>
            <w:r>
              <w:rPr>
                <w:sz w:val="16"/>
              </w:rPr>
              <w:t>Surveys; we have not extracted their GNN-vs-tree statements.</w:t>
            </w:r>
          </w:p>
        </w:tc>
        <w:tc>
          <w:tcPr>
            <w:tcW w:type="dxa" w:w="1474"/>
          </w:tcPr>
          <w:p>
            <w:pPr>
              <w:spacing w:after="0"/>
            </w:pPr>
            <w:r>
              <w:rPr>
                <w:sz w:val="16"/>
              </w:rPr>
              <w:t>C5, C6</w:t>
            </w:r>
          </w:p>
        </w:tc>
        <w:tc>
          <w:tcPr>
            <w:tcW w:type="dxa" w:w="1247"/>
          </w:tcPr>
          <w:p>
            <w:pPr>
              <w:spacing w:after="0"/>
            </w:pPr>
            <w:r>
              <w:rPr>
                <w:sz w:val="16"/>
              </w:rPr>
              <w:t>Background</w:t>
            </w:r>
          </w:p>
        </w:tc>
      </w:tr>
      <w:tr>
        <w:trPr>
          <w:cantSplit w:val="true"/>
        </w:trPr>
        <w:tc>
          <w:tcPr>
            <w:tcW w:type="dxa" w:w="794"/>
            <w:shd w:val="clear" w:color="auto" w:fill="F2F5F9"/>
          </w:tcPr>
          <w:p>
            <w:pPr>
              <w:spacing w:after="0"/>
            </w:pPr>
            <w:r>
              <w:rPr>
                <w:b/>
                <w:sz w:val="16"/>
              </w:rPr>
              <w:t>P11</w:t>
            </w:r>
          </w:p>
        </w:tc>
        <w:tc>
          <w:tcPr>
            <w:tcW w:type="dxa" w:w="2041"/>
            <w:shd w:val="clear" w:color="auto" w:fill="F2F5F9"/>
          </w:tcPr>
          <w:p>
            <w:pPr>
              <w:spacing w:after="0"/>
            </w:pPr>
            <w:r>
              <w:rPr>
                <w:sz w:val="16"/>
              </w:rPr>
              <w:t>Wang et al. 2025</w:t>
            </w:r>
          </w:p>
        </w:tc>
        <w:tc>
          <w:tcPr>
            <w:tcW w:type="dxa" w:w="1474"/>
            <w:shd w:val="clear" w:color="auto" w:fill="F2F5F9"/>
          </w:tcPr>
          <w:p>
            <w:pPr>
              <w:spacing w:after="0"/>
            </w:pPr>
            <w:r>
              <w:rPr>
                <w:sz w:val="16"/>
              </w:rPr>
              <w:t>No</w:t>
            </w:r>
          </w:p>
        </w:tc>
        <w:tc>
          <w:tcPr>
            <w:tcW w:type="dxa" w:w="2154"/>
            <w:shd w:val="clear" w:color="auto" w:fill="F2F5F9"/>
          </w:tcPr>
          <w:p>
            <w:pPr>
              <w:spacing w:after="0"/>
            </w:pPr>
            <w:r>
              <w:rPr>
                <w:sz w:val="16"/>
              </w:rPr>
              <w:t>Detection quality of graph IDS</w:t>
            </w:r>
          </w:p>
        </w:tc>
        <w:tc>
          <w:tcPr>
            <w:tcW w:type="dxa" w:w="5102"/>
            <w:shd w:val="clear" w:color="auto" w:fill="F2F5F9"/>
          </w:tcPr>
          <w:p>
            <w:pPr>
              <w:spacing w:after="0"/>
            </w:pPr>
            <w:r>
              <w:rPr>
                <w:sz w:val="16"/>
              </w:rPr>
              <w:t>Mostly host-level and anomaly-based systems, not flow classification.</w:t>
            </w:r>
          </w:p>
        </w:tc>
        <w:tc>
          <w:tcPr>
            <w:tcW w:type="dxa" w:w="1474"/>
            <w:shd w:val="clear" w:color="auto" w:fill="F2F5F9"/>
          </w:tcPr>
          <w:p>
            <w:pPr>
              <w:spacing w:after="0"/>
            </w:pPr>
            <w:r>
              <w:rPr>
                <w:sz w:val="16"/>
              </w:rPr>
              <w:t>C8, C9</w:t>
            </w:r>
          </w:p>
        </w:tc>
        <w:tc>
          <w:tcPr>
            <w:tcW w:type="dxa" w:w="1247"/>
            <w:shd w:val="clear" w:color="auto" w:fill="F2F5F9"/>
          </w:tcPr>
          <w:p>
            <w:pPr>
              <w:spacing w:after="0"/>
            </w:pPr>
            <w:r>
              <w:rPr>
                <w:sz w:val="16"/>
              </w:rPr>
              <w:t>Background</w:t>
            </w:r>
          </w:p>
        </w:tc>
      </w:tr>
      <w:tr>
        <w:trPr>
          <w:cantSplit w:val="true"/>
        </w:trPr>
        <w:tc>
          <w:tcPr>
            <w:tcW w:type="dxa" w:w="794"/>
          </w:tcPr>
          <w:p>
            <w:pPr>
              <w:spacing w:after="0"/>
            </w:pPr>
            <w:r>
              <w:rPr>
                <w:b/>
                <w:sz w:val="16"/>
              </w:rPr>
              <w:t>P12</w:t>
            </w:r>
          </w:p>
        </w:tc>
        <w:tc>
          <w:tcPr>
            <w:tcW w:type="dxa" w:w="2041"/>
          </w:tcPr>
          <w:p>
            <w:pPr>
              <w:spacing w:after="0"/>
            </w:pPr>
            <w:r>
              <w:rPr>
                <w:sz w:val="16"/>
              </w:rPr>
              <w:t>Xu et al. 2025</w:t>
            </w:r>
          </w:p>
        </w:tc>
        <w:tc>
          <w:tcPr>
            <w:tcW w:type="dxa" w:w="1474"/>
          </w:tcPr>
          <w:p>
            <w:pPr>
              <w:spacing w:after="0"/>
            </w:pPr>
            <w:r>
              <w:rPr>
                <w:sz w:val="16"/>
              </w:rPr>
              <w:t>Yes</w:t>
            </w:r>
          </w:p>
        </w:tc>
        <w:tc>
          <w:tcPr>
            <w:tcW w:type="dxa" w:w="2154"/>
          </w:tcPr>
          <w:p>
            <w:pPr>
              <w:spacing w:after="0"/>
            </w:pPr>
            <w:r>
              <w:rPr>
                <w:sz w:val="16"/>
              </w:rPr>
              <w:t>10-class, weighted F1</w:t>
            </w:r>
          </w:p>
        </w:tc>
        <w:tc>
          <w:tcPr>
            <w:tcW w:type="dxa" w:w="5102"/>
          </w:tcPr>
          <w:p>
            <w:pPr>
              <w:spacing w:after="0"/>
            </w:pPr>
            <w:r>
              <w:rPr>
                <w:sz w:val="16"/>
              </w:rPr>
              <w:t>Weighted F1, which is dominated by Normal and Generic; 5:2:3 split; no tree baseline.</w:t>
            </w:r>
          </w:p>
        </w:tc>
        <w:tc>
          <w:tcPr>
            <w:tcW w:type="dxa" w:w="1474"/>
          </w:tcPr>
          <w:p>
            <w:pPr>
              <w:spacing w:after="0"/>
            </w:pPr>
            <w:r>
              <w:rPr>
                <w:sz w:val="16"/>
              </w:rPr>
              <w:t>C6, C11</w:t>
            </w:r>
          </w:p>
        </w:tc>
        <w:tc>
          <w:tcPr>
            <w:tcW w:type="dxa" w:w="1247"/>
          </w:tcPr>
          <w:p>
            <w:pPr>
              <w:spacing w:after="0"/>
            </w:pPr>
            <w:r>
              <w:rPr>
                <w:sz w:val="16"/>
              </w:rPr>
              <w:t>Partial</w:t>
            </w:r>
          </w:p>
        </w:tc>
      </w:tr>
      <w:tr>
        <w:trPr>
          <w:cantSplit w:val="true"/>
        </w:trPr>
        <w:tc>
          <w:tcPr>
            <w:tcW w:type="dxa" w:w="794"/>
            <w:shd w:val="clear" w:color="auto" w:fill="F2F5F9"/>
          </w:tcPr>
          <w:p>
            <w:pPr>
              <w:spacing w:after="0"/>
            </w:pPr>
            <w:r>
              <w:rPr>
                <w:b/>
                <w:sz w:val="16"/>
              </w:rPr>
              <w:t>P13</w:t>
            </w:r>
          </w:p>
        </w:tc>
        <w:tc>
          <w:tcPr>
            <w:tcW w:type="dxa" w:w="2041"/>
            <w:shd w:val="clear" w:color="auto" w:fill="F2F5F9"/>
          </w:tcPr>
          <w:p>
            <w:pPr>
              <w:spacing w:after="0"/>
            </w:pPr>
            <w:r>
              <w:rPr>
                <w:sz w:val="16"/>
              </w:rPr>
              <w:t>Mohamed &amp; Taherdoost 2026</w:t>
            </w:r>
          </w:p>
        </w:tc>
        <w:tc>
          <w:tcPr>
            <w:tcW w:type="dxa" w:w="1474"/>
            <w:shd w:val="clear" w:color="auto" w:fill="F2F5F9"/>
          </w:tcPr>
          <w:p>
            <w:pPr>
              <w:spacing w:after="0"/>
            </w:pPr>
            <w:r>
              <w:rPr>
                <w:sz w:val="16"/>
              </w:rPr>
              <w:t>Yes</w:t>
            </w:r>
          </w:p>
        </w:tc>
        <w:tc>
          <w:tcPr>
            <w:tcW w:type="dxa" w:w="2154"/>
            <w:shd w:val="clear" w:color="auto" w:fill="F2F5F9"/>
          </w:tcPr>
          <w:p>
            <w:pPr>
              <w:spacing w:after="0"/>
            </w:pPr>
            <w:r>
              <w:rPr>
                <w:sz w:val="16"/>
              </w:rPr>
              <w:t>Binary, F1</w:t>
            </w:r>
          </w:p>
        </w:tc>
        <w:tc>
          <w:tcPr>
            <w:tcW w:type="dxa" w:w="5102"/>
            <w:shd w:val="clear" w:color="auto" w:fill="F2F5F9"/>
          </w:tcPr>
          <w:p>
            <w:pPr>
              <w:spacing w:after="0"/>
            </w:pPr>
            <w:r>
              <w:rPr>
                <w:sz w:val="16"/>
              </w:rPr>
              <w:t>40,000-flow sample; graph over 47 IP nodes (ours uses IP and port nodes); Random Forest.</w:t>
            </w:r>
          </w:p>
        </w:tc>
        <w:tc>
          <w:tcPr>
            <w:tcW w:type="dxa" w:w="1474"/>
            <w:shd w:val="clear" w:color="auto" w:fill="F2F5F9"/>
          </w:tcPr>
          <w:p>
            <w:pPr>
              <w:spacing w:after="0"/>
            </w:pPr>
            <w:r>
              <w:rPr>
                <w:sz w:val="16"/>
              </w:rPr>
              <w:t>C7</w:t>
            </w:r>
          </w:p>
        </w:tc>
        <w:tc>
          <w:tcPr>
            <w:tcW w:type="dxa" w:w="1247"/>
            <w:shd w:val="clear" w:color="auto" w:fill="F2F5F9"/>
          </w:tcPr>
          <w:p>
            <w:pPr>
              <w:spacing w:after="0"/>
            </w:pPr>
            <w:r>
              <w:rPr>
                <w:sz w:val="16"/>
              </w:rPr>
              <w:t>Partial</w:t>
            </w:r>
          </w:p>
        </w:tc>
      </w:tr>
      <w:tr>
        <w:trPr>
          <w:cantSplit w:val="true"/>
        </w:trPr>
        <w:tc>
          <w:tcPr>
            <w:tcW w:type="dxa" w:w="794"/>
          </w:tcPr>
          <w:p>
            <w:pPr>
              <w:spacing w:after="0"/>
            </w:pPr>
            <w:r>
              <w:rPr>
                <w:b/>
                <w:sz w:val="16"/>
              </w:rPr>
              <w:t>P14</w:t>
            </w:r>
          </w:p>
        </w:tc>
        <w:tc>
          <w:tcPr>
            <w:tcW w:type="dxa" w:w="2041"/>
          </w:tcPr>
          <w:p>
            <w:pPr>
              <w:spacing w:after="0"/>
            </w:pPr>
            <w:r>
              <w:rPr>
                <w:sz w:val="16"/>
              </w:rPr>
              <w:t>El Mahdaouy et al. 2026</w:t>
            </w:r>
          </w:p>
        </w:tc>
        <w:tc>
          <w:tcPr>
            <w:tcW w:type="dxa" w:w="1474"/>
          </w:tcPr>
          <w:p>
            <w:pPr>
              <w:spacing w:after="0"/>
            </w:pPr>
            <w:r>
              <w:rPr>
                <w:sz w:val="16"/>
              </w:rPr>
              <w:t>n/a</w:t>
            </w:r>
          </w:p>
        </w:tc>
        <w:tc>
          <w:tcPr>
            <w:tcW w:type="dxa" w:w="2154"/>
          </w:tcPr>
          <w:p>
            <w:pPr>
              <w:spacing w:after="0"/>
            </w:pPr>
            <w:r>
              <w:rPr>
                <w:sz w:val="16"/>
              </w:rPr>
              <w:t>n/a</w:t>
            </w:r>
          </w:p>
        </w:tc>
        <w:tc>
          <w:tcPr>
            <w:tcW w:type="dxa" w:w="5102"/>
          </w:tcPr>
          <w:p>
            <w:pPr>
              <w:spacing w:after="0"/>
            </w:pPr>
            <w:r>
              <w:rPr>
                <w:sz w:val="16"/>
              </w:rPr>
              <w:t>Survey of context-aware detectors and their evaluation problems.</w:t>
            </w:r>
          </w:p>
        </w:tc>
        <w:tc>
          <w:tcPr>
            <w:tcW w:type="dxa" w:w="1474"/>
          </w:tcPr>
          <w:p>
            <w:pPr>
              <w:spacing w:after="0"/>
            </w:pPr>
            <w:r>
              <w:rPr>
                <w:sz w:val="16"/>
              </w:rPr>
              <w:t>C9</w:t>
            </w:r>
          </w:p>
        </w:tc>
        <w:tc>
          <w:tcPr>
            <w:tcW w:type="dxa" w:w="1247"/>
          </w:tcPr>
          <w:p>
            <w:pPr>
              <w:spacing w:after="0"/>
            </w:pPr>
            <w:r>
              <w:rPr>
                <w:sz w:val="16"/>
              </w:rPr>
              <w:t>Background</w:t>
            </w:r>
          </w:p>
        </w:tc>
      </w:tr>
      <w:tr>
        <w:trPr>
          <w:cantSplit w:val="true"/>
        </w:trPr>
        <w:tc>
          <w:tcPr>
            <w:tcW w:type="dxa" w:w="794"/>
            <w:shd w:val="clear" w:color="auto" w:fill="F2F5F9"/>
          </w:tcPr>
          <w:p>
            <w:pPr>
              <w:spacing w:after="0"/>
            </w:pPr>
            <w:r>
              <w:rPr>
                <w:b/>
                <w:sz w:val="16"/>
              </w:rPr>
              <w:t>P15</w:t>
            </w:r>
          </w:p>
        </w:tc>
        <w:tc>
          <w:tcPr>
            <w:tcW w:type="dxa" w:w="2041"/>
            <w:shd w:val="clear" w:color="auto" w:fill="F2F5F9"/>
          </w:tcPr>
          <w:p>
            <w:pPr>
              <w:spacing w:after="0"/>
            </w:pPr>
            <w:r>
              <w:rPr>
                <w:sz w:val="16"/>
              </w:rPr>
              <w:t>Grinsztajn et al. 2022</w:t>
            </w:r>
          </w:p>
        </w:tc>
        <w:tc>
          <w:tcPr>
            <w:tcW w:type="dxa" w:w="1474"/>
            <w:shd w:val="clear" w:color="auto" w:fill="F2F5F9"/>
          </w:tcPr>
          <w:p>
            <w:pPr>
              <w:spacing w:after="0"/>
            </w:pPr>
            <w:r>
              <w:rPr>
                <w:sz w:val="16"/>
              </w:rPr>
              <w:t>No</w:t>
            </w:r>
          </w:p>
        </w:tc>
        <w:tc>
          <w:tcPr>
            <w:tcW w:type="dxa" w:w="2154"/>
            <w:shd w:val="clear" w:color="auto" w:fill="F2F5F9"/>
          </w:tcPr>
          <w:p>
            <w:pPr>
              <w:spacing w:after="0"/>
            </w:pPr>
            <w:r>
              <w:rPr>
                <w:sz w:val="16"/>
              </w:rPr>
              <w:t>Tabular benchmark</w:t>
            </w:r>
          </w:p>
        </w:tc>
        <w:tc>
          <w:tcPr>
            <w:tcW w:type="dxa" w:w="5102"/>
            <w:shd w:val="clear" w:color="auto" w:fill="F2F5F9"/>
          </w:tcPr>
          <w:p>
            <w:pPr>
              <w:spacing w:after="0"/>
            </w:pPr>
            <w:r>
              <w:rPr>
                <w:sz w:val="16"/>
              </w:rPr>
              <w:t>Their finding is for medium-sized data (about 10,000 samples); our training set has 1.6 million rows.</w:t>
            </w:r>
          </w:p>
        </w:tc>
        <w:tc>
          <w:tcPr>
            <w:tcW w:type="dxa" w:w="1474"/>
            <w:shd w:val="clear" w:color="auto" w:fill="F2F5F9"/>
          </w:tcPr>
          <w:p>
            <w:pPr>
              <w:spacing w:after="0"/>
            </w:pPr>
            <w:r>
              <w:rPr>
                <w:sz w:val="16"/>
              </w:rPr>
              <w:t>C6</w:t>
            </w:r>
          </w:p>
        </w:tc>
        <w:tc>
          <w:tcPr>
            <w:tcW w:type="dxa" w:w="1247"/>
            <w:shd w:val="clear" w:color="auto" w:fill="F2F5F9"/>
          </w:tcPr>
          <w:p>
            <w:pPr>
              <w:spacing w:after="0"/>
            </w:pPr>
            <w:r>
              <w:rPr>
                <w:sz w:val="16"/>
              </w:rPr>
              <w:t>Background</w:t>
            </w:r>
          </w:p>
        </w:tc>
      </w:tr>
      <w:tr>
        <w:trPr>
          <w:cantSplit w:val="true"/>
        </w:trPr>
        <w:tc>
          <w:tcPr>
            <w:tcW w:type="dxa" w:w="794"/>
          </w:tcPr>
          <w:p>
            <w:pPr>
              <w:spacing w:after="0"/>
            </w:pPr>
            <w:r>
              <w:rPr>
                <w:b/>
                <w:sz w:val="16"/>
              </w:rPr>
              <w:t>P16</w:t>
            </w:r>
          </w:p>
        </w:tc>
        <w:tc>
          <w:tcPr>
            <w:tcW w:type="dxa" w:w="2041"/>
          </w:tcPr>
          <w:p>
            <w:pPr>
              <w:spacing w:after="0"/>
            </w:pPr>
            <w:r>
              <w:rPr>
                <w:sz w:val="16"/>
              </w:rPr>
              <w:t>Elor &amp; Averbuch-Elor 2022</w:t>
            </w:r>
          </w:p>
        </w:tc>
        <w:tc>
          <w:tcPr>
            <w:tcW w:type="dxa" w:w="1474"/>
          </w:tcPr>
          <w:p>
            <w:pPr>
              <w:spacing w:after="0"/>
            </w:pPr>
            <w:r>
              <w:rPr>
                <w:sz w:val="16"/>
              </w:rPr>
              <w:t>No</w:t>
            </w:r>
          </w:p>
        </w:tc>
        <w:tc>
          <w:tcPr>
            <w:tcW w:type="dxa" w:w="2154"/>
          </w:tcPr>
          <w:p>
            <w:pPr>
              <w:spacing w:after="0"/>
            </w:pPr>
            <w:r>
              <w:rPr>
                <w:sz w:val="16"/>
              </w:rPr>
              <w:t>Binary imbalanced tabular</w:t>
            </w:r>
          </w:p>
        </w:tc>
        <w:tc>
          <w:tcPr>
            <w:tcW w:type="dxa" w:w="5102"/>
          </w:tcPr>
          <w:p>
            <w:pPr>
              <w:spacing w:after="0"/>
            </w:pPr>
            <w:r>
              <w:rPr>
                <w:sz w:val="16"/>
              </w:rPr>
              <w:t>Studies resampling, not class weights; binary only.</w:t>
            </w:r>
          </w:p>
        </w:tc>
        <w:tc>
          <w:tcPr>
            <w:tcW w:type="dxa" w:w="1474"/>
          </w:tcPr>
          <w:p>
            <w:pPr>
              <w:spacing w:after="0"/>
            </w:pPr>
            <w:r>
              <w:rPr>
                <w:sz w:val="16"/>
              </w:rPr>
              <w:t>C3</w:t>
            </w:r>
          </w:p>
        </w:tc>
        <w:tc>
          <w:tcPr>
            <w:tcW w:type="dxa" w:w="1247"/>
          </w:tcPr>
          <w:p>
            <w:pPr>
              <w:spacing w:after="0"/>
            </w:pPr>
            <w:r>
              <w:rPr>
                <w:sz w:val="16"/>
              </w:rPr>
              <w:t>Background</w:t>
            </w:r>
          </w:p>
        </w:tc>
      </w:tr>
      <w:tr>
        <w:trPr>
          <w:cantSplit w:val="true"/>
        </w:trPr>
        <w:tc>
          <w:tcPr>
            <w:tcW w:type="dxa" w:w="794"/>
            <w:shd w:val="clear" w:color="auto" w:fill="F2F5F9"/>
          </w:tcPr>
          <w:p>
            <w:pPr>
              <w:spacing w:after="0"/>
            </w:pPr>
            <w:r>
              <w:rPr>
                <w:b/>
                <w:sz w:val="16"/>
              </w:rPr>
              <w:t>P17</w:t>
            </w:r>
          </w:p>
        </w:tc>
        <w:tc>
          <w:tcPr>
            <w:tcW w:type="dxa" w:w="2041"/>
            <w:shd w:val="clear" w:color="auto" w:fill="F2F5F9"/>
          </w:tcPr>
          <w:p>
            <w:pPr>
              <w:spacing w:after="0"/>
            </w:pPr>
            <w:r>
              <w:rPr>
                <w:sz w:val="16"/>
              </w:rPr>
              <w:t>Engelen et al. 2021</w:t>
            </w:r>
          </w:p>
        </w:tc>
        <w:tc>
          <w:tcPr>
            <w:tcW w:type="dxa" w:w="1474"/>
            <w:shd w:val="clear" w:color="auto" w:fill="F2F5F9"/>
          </w:tcPr>
          <w:p>
            <w:pPr>
              <w:spacing w:after="0"/>
            </w:pPr>
            <w:r>
              <w:rPr>
                <w:sz w:val="16"/>
              </w:rPr>
              <w:t>No (CICIDS2017)</w:t>
            </w:r>
          </w:p>
        </w:tc>
        <w:tc>
          <w:tcPr>
            <w:tcW w:type="dxa" w:w="2154"/>
            <w:shd w:val="clear" w:color="auto" w:fill="F2F5F9"/>
          </w:tcPr>
          <w:p>
            <w:pPr>
              <w:spacing w:after="0"/>
            </w:pPr>
            <w:r>
              <w:rPr>
                <w:sz w:val="16"/>
              </w:rPr>
              <w:t>Dataset audit</w:t>
            </w:r>
          </w:p>
        </w:tc>
        <w:tc>
          <w:tcPr>
            <w:tcW w:type="dxa" w:w="5102"/>
            <w:shd w:val="clear" w:color="auto" w:fill="F2F5F9"/>
          </w:tcPr>
          <w:p>
            <w:pPr>
              <w:spacing w:after="0"/>
            </w:pPr>
            <w:r>
              <w:rPr>
                <w:sz w:val="16"/>
              </w:rPr>
              <w:t>Different dataset.</w:t>
            </w:r>
          </w:p>
        </w:tc>
        <w:tc>
          <w:tcPr>
            <w:tcW w:type="dxa" w:w="1474"/>
            <w:shd w:val="clear" w:color="auto" w:fill="F2F5F9"/>
          </w:tcPr>
          <w:p>
            <w:pPr>
              <w:spacing w:after="0"/>
            </w:pPr>
            <w:r>
              <w:rPr>
                <w:sz w:val="16"/>
              </w:rPr>
              <w:t>C4</w:t>
            </w:r>
          </w:p>
        </w:tc>
        <w:tc>
          <w:tcPr>
            <w:tcW w:type="dxa" w:w="1247"/>
            <w:shd w:val="clear" w:color="auto" w:fill="F2F5F9"/>
          </w:tcPr>
          <w:p>
            <w:pPr>
              <w:spacing w:after="0"/>
            </w:pPr>
            <w:r>
              <w:rPr>
                <w:sz w:val="16"/>
              </w:rPr>
              <w:t>Background</w:t>
            </w:r>
          </w:p>
        </w:tc>
      </w:tr>
      <w:tr>
        <w:trPr>
          <w:cantSplit w:val="true"/>
        </w:trPr>
        <w:tc>
          <w:tcPr>
            <w:tcW w:type="dxa" w:w="794"/>
          </w:tcPr>
          <w:p>
            <w:pPr>
              <w:spacing w:after="0"/>
            </w:pPr>
            <w:r>
              <w:rPr>
                <w:b/>
                <w:sz w:val="16"/>
              </w:rPr>
              <w:t>P18</w:t>
            </w:r>
          </w:p>
        </w:tc>
        <w:tc>
          <w:tcPr>
            <w:tcW w:type="dxa" w:w="2041"/>
          </w:tcPr>
          <w:p>
            <w:pPr>
              <w:spacing w:after="0"/>
            </w:pPr>
            <w:r>
              <w:rPr>
                <w:sz w:val="16"/>
              </w:rPr>
              <w:t>Northcutt et al. 2021</w:t>
            </w:r>
          </w:p>
        </w:tc>
        <w:tc>
          <w:tcPr>
            <w:tcW w:type="dxa" w:w="1474"/>
          </w:tcPr>
          <w:p>
            <w:pPr>
              <w:spacing w:after="0"/>
            </w:pPr>
            <w:r>
              <w:rPr>
                <w:sz w:val="16"/>
              </w:rPr>
              <w:t>No</w:t>
            </w:r>
          </w:p>
        </w:tc>
        <w:tc>
          <w:tcPr>
            <w:tcW w:type="dxa" w:w="2154"/>
          </w:tcPr>
          <w:p>
            <w:pPr>
              <w:spacing w:after="0"/>
            </w:pPr>
            <w:r>
              <w:rPr>
                <w:sz w:val="16"/>
              </w:rPr>
              <w:t>Label errors in general</w:t>
            </w:r>
          </w:p>
        </w:tc>
        <w:tc>
          <w:tcPr>
            <w:tcW w:type="dxa" w:w="5102"/>
          </w:tcPr>
          <w:p>
            <w:pPr>
              <w:spacing w:after="0"/>
            </w:pPr>
            <w:r>
              <w:rPr>
                <w:sz w:val="16"/>
              </w:rPr>
              <w:t>No intrusion data.</w:t>
            </w:r>
          </w:p>
        </w:tc>
        <w:tc>
          <w:tcPr>
            <w:tcW w:type="dxa" w:w="1474"/>
          </w:tcPr>
          <w:p>
            <w:pPr>
              <w:spacing w:after="0"/>
            </w:pPr>
            <w:r>
              <w:rPr>
                <w:sz w:val="16"/>
              </w:rPr>
              <w:t>C4</w:t>
            </w:r>
          </w:p>
        </w:tc>
        <w:tc>
          <w:tcPr>
            <w:tcW w:type="dxa" w:w="1247"/>
          </w:tcPr>
          <w:p>
            <w:pPr>
              <w:spacing w:after="0"/>
            </w:pPr>
            <w:r>
              <w:rPr>
                <w:sz w:val="16"/>
              </w:rPr>
              <w:t>Background</w:t>
            </w:r>
          </w:p>
        </w:tc>
      </w:tr>
    </w:tbl>
    <w:p>
      <w:pPr>
        <w:spacing w:after="80"/>
      </w:pPr>
    </w:p>
    <w:p>
      <w:pPr>
        <w:pStyle w:val="Heading1"/>
      </w:pPr>
      <w:r>
        <w:t>5. Table 3: Our findings against the papers</w:t>
      </w:r>
    </w:p>
    <w:p>
      <w:pPr>
        <w:spacing w:after="120"/>
      </w:pPr>
      <w:r>
        <w:rPr>
          <w:b w:val="0"/>
          <w:i w:val="0"/>
        </w:rPr>
        <w:t>'Agreement' is a plain statement of what we can say from what we read. 'Consistent' means the direction matches; it does not mean the paper confirms our number. 'No direct evidence' means we found no paper that tested the same thing.</w:t>
      </w:r>
    </w:p>
    <w:tbl>
      <w:tblPr>
        <w:tblStyle w:val="TableGrid"/>
        <w:tblW w:type="auto" w:w="0"/>
        <w:tblLayout w:type="fixed"/>
        <w:tblLook w:firstColumn="1" w:firstRow="1" w:lastColumn="0" w:lastRow="0" w:noHBand="0" w:noVBand="1" w:val="04A0"/>
      </w:tblPr>
      <w:tblGrid>
        <w:gridCol w:w="3028"/>
        <w:gridCol w:w="3028"/>
        <w:gridCol w:w="3028"/>
        <w:gridCol w:w="3028"/>
        <w:gridCol w:w="3028"/>
      </w:tblGrid>
      <w:tr>
        <w:trPr>
          <w:tblHeader w:val="true"/>
        </w:trPr>
        <w:tc>
          <w:tcPr>
            <w:tcW w:type="dxa" w:w="2154"/>
            <w:shd w:val="clear" w:color="auto" w:fill="1F3A5F"/>
          </w:tcPr>
          <w:p>
            <w:r>
              <w:rPr>
                <w:b/>
                <w:color w:val="FFFFFF"/>
                <w:sz w:val="17"/>
              </w:rPr>
              <w:t>Claim</w:t>
            </w:r>
          </w:p>
        </w:tc>
        <w:tc>
          <w:tcPr>
            <w:tcW w:type="dxa" w:w="1247"/>
            <w:shd w:val="clear" w:color="auto" w:fill="1F3A5F"/>
          </w:tcPr>
          <w:p>
            <w:r>
              <w:rPr>
                <w:b/>
                <w:color w:val="FFFFFF"/>
                <w:sz w:val="17"/>
              </w:rPr>
              <w:t>Papers that bear on it</w:t>
            </w:r>
          </w:p>
        </w:tc>
        <w:tc>
          <w:tcPr>
            <w:tcW w:type="dxa" w:w="4876"/>
            <w:shd w:val="clear" w:color="auto" w:fill="1F3A5F"/>
          </w:tcPr>
          <w:p>
            <w:r>
              <w:rPr>
                <w:b/>
                <w:color w:val="FFFFFF"/>
                <w:sz w:val="17"/>
              </w:rPr>
              <w:t>What those papers report</w:t>
            </w:r>
          </w:p>
        </w:tc>
        <w:tc>
          <w:tcPr>
            <w:tcW w:type="dxa" w:w="1928"/>
            <w:shd w:val="clear" w:color="auto" w:fill="1F3A5F"/>
          </w:tcPr>
          <w:p>
            <w:r>
              <w:rPr>
                <w:b/>
                <w:color w:val="FFFFFF"/>
                <w:sz w:val="17"/>
              </w:rPr>
              <w:t>Agreement</w:t>
            </w:r>
          </w:p>
        </w:tc>
        <w:tc>
          <w:tcPr>
            <w:tcW w:type="dxa" w:w="4649"/>
            <w:shd w:val="clear" w:color="auto" w:fill="1F3A5F"/>
          </w:tcPr>
          <w:p>
            <w:r>
              <w:rPr>
                <w:b/>
                <w:color w:val="FFFFFF"/>
                <w:sz w:val="17"/>
              </w:rPr>
              <w:t>Note</w:t>
            </w:r>
          </w:p>
        </w:tc>
      </w:tr>
      <w:tr>
        <w:trPr>
          <w:cantSplit w:val="true"/>
        </w:trPr>
        <w:tc>
          <w:tcPr>
            <w:tcW w:type="dxa" w:w="2154"/>
          </w:tcPr>
          <w:p>
            <w:pPr>
              <w:spacing w:after="0"/>
            </w:pPr>
            <w:r>
              <w:rPr>
                <w:b/>
                <w:sz w:val="16"/>
              </w:rPr>
              <w:t>C1 Class weights gave the largest gain</w:t>
            </w:r>
          </w:p>
        </w:tc>
        <w:tc>
          <w:tcPr>
            <w:tcW w:type="dxa" w:w="1247"/>
          </w:tcPr>
          <w:p>
            <w:pPr>
              <w:spacing w:after="0"/>
            </w:pPr>
            <w:r>
              <w:rPr>
                <w:sz w:val="16"/>
              </w:rPr>
              <w:t>P2, P4, P16</w:t>
            </w:r>
          </w:p>
        </w:tc>
        <w:tc>
          <w:tcPr>
            <w:tcW w:type="dxa" w:w="4876"/>
          </w:tcPr>
          <w:p>
            <w:pPr>
              <w:spacing w:after="0"/>
            </w:pPr>
            <w:r>
              <w:rPr>
                <w:sz w:val="16"/>
              </w:rPr>
              <w:t>P2 used class weights for its Extra Trees but did not report their effect. P4 targets imbalance with Balanced Bagging and a Hellinger-based forest (abstract only). P16 finds that resampling does not help strong classifiers.</w:t>
            </w:r>
          </w:p>
        </w:tc>
        <w:tc>
          <w:tcPr>
            <w:tcW w:type="dxa" w:w="1928"/>
          </w:tcPr>
          <w:p>
            <w:pPr>
              <w:spacing w:after="0"/>
            </w:pPr>
            <w:r>
              <w:rPr>
                <w:b/>
                <w:sz w:val="16"/>
              </w:rPr>
              <w:t>No direct evidence</w:t>
            </w:r>
          </w:p>
        </w:tc>
        <w:tc>
          <w:tcPr>
            <w:tcW w:type="dxa" w:w="4649"/>
          </w:tcPr>
          <w:p>
            <w:pPr>
              <w:spacing w:after="0"/>
            </w:pPr>
            <w:r>
              <w:rPr>
                <w:sz w:val="16"/>
              </w:rPr>
              <w:t>We found no paper that measures the weighted vs unweighted gap on UNSW-NB15. P16 is about resampling, not weights.</w:t>
            </w:r>
          </w:p>
        </w:tc>
      </w:tr>
      <w:tr>
        <w:trPr>
          <w:cantSplit w:val="true"/>
        </w:trPr>
        <w:tc>
          <w:tcPr>
            <w:tcW w:type="dxa" w:w="2154"/>
            <w:shd w:val="clear" w:color="auto" w:fill="F2F5F9"/>
          </w:tcPr>
          <w:p>
            <w:pPr>
              <w:spacing w:after="0"/>
            </w:pPr>
            <w:r>
              <w:rPr>
                <w:b/>
                <w:sz w:val="16"/>
              </w:rPr>
              <w:t>C2 Two-stage design adds a small gain</w:t>
            </w:r>
          </w:p>
        </w:tc>
        <w:tc>
          <w:tcPr>
            <w:tcW w:type="dxa" w:w="1247"/>
            <w:shd w:val="clear" w:color="auto" w:fill="F2F5F9"/>
          </w:tcPr>
          <w:p>
            <w:pPr>
              <w:spacing w:after="0"/>
            </w:pPr>
            <w:r>
              <w:rPr>
                <w:sz w:val="16"/>
              </w:rPr>
              <w:t>P4</w:t>
            </w:r>
          </w:p>
        </w:tc>
        <w:tc>
          <w:tcPr>
            <w:tcW w:type="dxa" w:w="4876"/>
            <w:shd w:val="clear" w:color="auto" w:fill="F2F5F9"/>
          </w:tcPr>
          <w:p>
            <w:pPr>
              <w:spacing w:after="0"/>
            </w:pPr>
            <w:r>
              <w:rPr>
                <w:sz w:val="16"/>
              </w:rPr>
              <w:t>P4 builds an ensemble for imbalance, which is a different design.</w:t>
            </w:r>
          </w:p>
        </w:tc>
        <w:tc>
          <w:tcPr>
            <w:tcW w:type="dxa" w:w="1928"/>
            <w:shd w:val="clear" w:color="auto" w:fill="F2F5F9"/>
          </w:tcPr>
          <w:p>
            <w:pPr>
              <w:spacing w:after="0"/>
            </w:pPr>
            <w:r>
              <w:rPr>
                <w:b/>
                <w:sz w:val="16"/>
              </w:rPr>
              <w:t>No direct evidence</w:t>
            </w:r>
          </w:p>
        </w:tc>
        <w:tc>
          <w:tcPr>
            <w:tcW w:type="dxa" w:w="4649"/>
            <w:shd w:val="clear" w:color="auto" w:fill="F2F5F9"/>
          </w:tcPr>
          <w:p>
            <w:pPr>
              <w:spacing w:after="0"/>
            </w:pPr>
            <w:r>
              <w:rPr>
                <w:sz w:val="16"/>
              </w:rPr>
              <w:t>We found no paper testing attack-or-not followed by attack-type on this dataset.</w:t>
            </w:r>
          </w:p>
        </w:tc>
      </w:tr>
      <w:tr>
        <w:trPr>
          <w:cantSplit w:val="true"/>
        </w:trPr>
        <w:tc>
          <w:tcPr>
            <w:tcW w:type="dxa" w:w="2154"/>
          </w:tcPr>
          <w:p>
            <w:pPr>
              <w:spacing w:after="0"/>
            </w:pPr>
            <w:r>
              <w:rPr>
                <w:b/>
                <w:sz w:val="16"/>
              </w:rPr>
              <w:t>C3 Synthetic rows did not help</w:t>
            </w:r>
          </w:p>
        </w:tc>
        <w:tc>
          <w:tcPr>
            <w:tcW w:type="dxa" w:w="1247"/>
          </w:tcPr>
          <w:p>
            <w:pPr>
              <w:spacing w:after="0"/>
            </w:pPr>
            <w:r>
              <w:rPr>
                <w:sz w:val="16"/>
              </w:rPr>
              <w:t>P16</w:t>
            </w:r>
          </w:p>
        </w:tc>
        <w:tc>
          <w:tcPr>
            <w:tcW w:type="dxa" w:w="4876"/>
          </w:tcPr>
          <w:p>
            <w:pPr>
              <w:spacing w:after="0"/>
            </w:pPr>
            <w:r>
              <w:rPr>
                <w:sz w:val="16"/>
              </w:rPr>
              <w:t>P16 reports that balancing, including synthetic samples, does not improve strong classifiers.</w:t>
            </w:r>
          </w:p>
        </w:tc>
        <w:tc>
          <w:tcPr>
            <w:tcW w:type="dxa" w:w="1928"/>
          </w:tcPr>
          <w:p>
            <w:pPr>
              <w:spacing w:after="0"/>
            </w:pPr>
            <w:r>
              <w:rPr>
                <w:b/>
                <w:sz w:val="16"/>
              </w:rPr>
              <w:t>Consistent (direction)</w:t>
            </w:r>
          </w:p>
        </w:tc>
        <w:tc>
          <w:tcPr>
            <w:tcW w:type="dxa" w:w="4649"/>
          </w:tcPr>
          <w:p>
            <w:pPr>
              <w:spacing w:after="0"/>
            </w:pPr>
            <w:r>
              <w:rPr>
                <w:sz w:val="16"/>
              </w:rPr>
              <w:t>P16 uses binary tabular data. Our result is on one split and one SMOTE setup, with a gain of 0.011 to 0.015.</w:t>
            </w:r>
          </w:p>
        </w:tc>
      </w:tr>
      <w:tr>
        <w:trPr>
          <w:cantSplit w:val="true"/>
        </w:trPr>
        <w:tc>
          <w:tcPr>
            <w:tcW w:type="dxa" w:w="2154"/>
            <w:shd w:val="clear" w:color="auto" w:fill="F2F5F9"/>
          </w:tcPr>
          <w:p>
            <w:pPr>
              <w:spacing w:after="0"/>
            </w:pPr>
            <w:r>
              <w:rPr>
                <w:b/>
                <w:sz w:val="16"/>
              </w:rPr>
              <w:t>C4 Analysis and Backdoor are limited by overlapping labels</w:t>
            </w:r>
          </w:p>
        </w:tc>
        <w:tc>
          <w:tcPr>
            <w:tcW w:type="dxa" w:w="1247"/>
            <w:shd w:val="clear" w:color="auto" w:fill="F2F5F9"/>
          </w:tcPr>
          <w:p>
            <w:pPr>
              <w:spacing w:after="0"/>
            </w:pPr>
            <w:r>
              <w:rPr>
                <w:sz w:val="16"/>
              </w:rPr>
              <w:t>P2, P4, P17, P18</w:t>
            </w:r>
          </w:p>
        </w:tc>
        <w:tc>
          <w:tcPr>
            <w:tcW w:type="dxa" w:w="4876"/>
            <w:shd w:val="clear" w:color="auto" w:fill="F2F5F9"/>
          </w:tcPr>
          <w:p>
            <w:pPr>
              <w:spacing w:after="0"/>
            </w:pPr>
            <w:r>
              <w:rPr>
                <w:sz w:val="16"/>
              </w:rPr>
              <w:t>P2: Analysis F1 0.03, Backdoor 0.08, DoS 0.18 with a different classifier. P4 names class overlap and imbalance as the problem for UNSW-NB15 (abstract). P17 and P18 show label problems in other data.</w:t>
            </w:r>
          </w:p>
        </w:tc>
        <w:tc>
          <w:tcPr>
            <w:tcW w:type="dxa" w:w="1928"/>
            <w:shd w:val="clear" w:color="auto" w:fill="F2F5F9"/>
          </w:tcPr>
          <w:p>
            <w:pPr>
              <w:spacing w:after="0"/>
            </w:pPr>
            <w:r>
              <w:rPr>
                <w:b/>
                <w:sz w:val="16"/>
              </w:rPr>
              <w:t>Consistent (these classes are hard in other setups)</w:t>
            </w:r>
          </w:p>
        </w:tc>
        <w:tc>
          <w:tcPr>
            <w:tcW w:type="dxa" w:w="4649"/>
            <w:shd w:val="clear" w:color="auto" w:fill="F2F5F9"/>
          </w:tcPr>
          <w:p>
            <w:pPr>
              <w:spacing w:after="0"/>
            </w:pPr>
            <w:r>
              <w:rPr>
                <w:sz w:val="16"/>
              </w:rPr>
              <w:t>None of the papers measured the share of rows with a feature twin of another label. That measurement is ours.</w:t>
            </w:r>
          </w:p>
        </w:tc>
      </w:tr>
      <w:tr>
        <w:trPr>
          <w:cantSplit w:val="true"/>
        </w:trPr>
        <w:tc>
          <w:tcPr>
            <w:tcW w:type="dxa" w:w="2154"/>
          </w:tcPr>
          <w:p>
            <w:pPr>
              <w:spacing w:after="0"/>
            </w:pPr>
            <w:r>
              <w:rPr>
                <w:b/>
                <w:sz w:val="16"/>
              </w:rPr>
              <w:t>C5 Graph gave a small GNN gain only with matched density</w:t>
            </w:r>
          </w:p>
        </w:tc>
        <w:tc>
          <w:tcPr>
            <w:tcW w:type="dxa" w:w="1247"/>
          </w:tcPr>
          <w:p>
            <w:pPr>
              <w:spacing w:after="0"/>
            </w:pPr>
            <w:r>
              <w:rPr>
                <w:sz w:val="16"/>
              </w:rPr>
              <w:t>P6, P7, P8</w:t>
            </w:r>
          </w:p>
        </w:tc>
        <w:tc>
          <w:tcPr>
            <w:tcW w:type="dxa" w:w="4876"/>
          </w:tcPr>
          <w:p>
            <w:pPr>
              <w:spacing w:after="0"/>
            </w:pPr>
            <w:r>
              <w:rPr>
                <w:sz w:val="16"/>
              </w:rPr>
              <w:t>P6 and P7 report graph models on other data; P8 compares a graph model with ML baselines on CIC-IDS2017.</w:t>
            </w:r>
          </w:p>
        </w:tc>
        <w:tc>
          <w:tcPr>
            <w:tcW w:type="dxa" w:w="1928"/>
          </w:tcPr>
          <w:p>
            <w:pPr>
              <w:spacing w:after="0"/>
            </w:pPr>
            <w:r>
              <w:rPr>
                <w:b/>
                <w:sz w:val="16"/>
              </w:rPr>
              <w:t>No direct evidence</w:t>
            </w:r>
          </w:p>
        </w:tc>
        <w:tc>
          <w:tcPr>
            <w:tcW w:type="dxa" w:w="4649"/>
          </w:tcPr>
          <w:p>
            <w:pPr>
              <w:spacing w:after="0"/>
            </w:pPr>
            <w:r>
              <w:rPr>
                <w:sz w:val="16"/>
              </w:rPr>
              <w:t>We did not find a no-graph or shuffled-graph control in P6, P7 or P8 as read. Their baselines are other classifiers, not the same model without the graph. When we ran that control ourselves, a paper-style E-GraphSAGE showed no gain from the real graph (-0.008 to -0.010 macro F1), while our first GNN showed +0.017, so the answer depends on the design.</w:t>
            </w:r>
          </w:p>
        </w:tc>
      </w:tr>
      <w:tr>
        <w:trPr>
          <w:cantSplit w:val="true"/>
        </w:trPr>
        <w:tc>
          <w:tcPr>
            <w:tcW w:type="dxa" w:w="2154"/>
            <w:shd w:val="clear" w:color="auto" w:fill="F2F5F9"/>
          </w:tcPr>
          <w:p>
            <w:pPr>
              <w:spacing w:after="0"/>
            </w:pPr>
            <w:r>
              <w:rPr>
                <w:b/>
                <w:sz w:val="16"/>
              </w:rPr>
              <w:t>C6 GNN stays below the best tree model</w:t>
            </w:r>
          </w:p>
        </w:tc>
        <w:tc>
          <w:tcPr>
            <w:tcW w:type="dxa" w:w="1247"/>
            <w:shd w:val="clear" w:color="auto" w:fill="F2F5F9"/>
          </w:tcPr>
          <w:p>
            <w:pPr>
              <w:spacing w:after="0"/>
            </w:pPr>
            <w:r>
              <w:rPr>
                <w:sz w:val="16"/>
              </w:rPr>
              <w:t>P6, P12, P15</w:t>
            </w:r>
          </w:p>
        </w:tc>
        <w:tc>
          <w:tcPr>
            <w:tcW w:type="dxa" w:w="4876"/>
            <w:shd w:val="clear" w:color="auto" w:fill="F2F5F9"/>
          </w:tcPr>
          <w:p>
            <w:pPr>
              <w:spacing w:after="0"/>
            </w:pPr>
            <w:r>
              <w:rPr>
                <w:sz w:val="16"/>
              </w:rPr>
              <w:t>P6 reports weighted F1 equal to or slightly above Extra Trees numbers copied from P2 on NF-BoT-IoT (0.81 vs 0.77), ToN-IoT (0.87 vs 0.87) and NF-ToN-IoT (0.63 vs 0.60). P12 has no tree baseline. P15 finds trees ahead of neural networks on medium-sized tabular data.</w:t>
            </w:r>
          </w:p>
        </w:tc>
        <w:tc>
          <w:tcPr>
            <w:tcW w:type="dxa" w:w="1928"/>
            <w:shd w:val="clear" w:color="auto" w:fill="F2F5F9"/>
          </w:tcPr>
          <w:p>
            <w:pPr>
              <w:spacing w:after="0"/>
            </w:pPr>
            <w:r>
              <w:rPr>
                <w:b/>
                <w:sz w:val="16"/>
              </w:rPr>
              <w:t>Mixed</w:t>
            </w:r>
          </w:p>
        </w:tc>
        <w:tc>
          <w:tcPr>
            <w:tcW w:type="dxa" w:w="4649"/>
            <w:shd w:val="clear" w:color="auto" w:fill="F2F5F9"/>
          </w:tcPr>
          <w:p>
            <w:pPr>
              <w:spacing w:after="0"/>
            </w:pPr>
            <w:r>
              <w:rPr>
                <w:sz w:val="16"/>
              </w:rPr>
              <w:t>P6 suggests GNN is level with trees on IoT data under weighted F1; P15 points the other way but for smaller data. Different metrics and datasets, so neither settles it. On UNSW-NB15 under macro F1 our trees are 0.07 to 0.08 ahead; under weighted F1 the difference is at most 0.003.</w:t>
            </w:r>
          </w:p>
        </w:tc>
      </w:tr>
      <w:tr>
        <w:trPr>
          <w:cantSplit w:val="true"/>
        </w:trPr>
        <w:tc>
          <w:tcPr>
            <w:tcW w:type="dxa" w:w="2154"/>
          </w:tcPr>
          <w:p>
            <w:pPr>
              <w:spacing w:after="0"/>
            </w:pPr>
            <w:r>
              <w:rPr>
                <w:b/>
                <w:sz w:val="16"/>
              </w:rPr>
              <w:t>C7 Graph features did not help LightGBM</w:t>
            </w:r>
          </w:p>
        </w:tc>
        <w:tc>
          <w:tcPr>
            <w:tcW w:type="dxa" w:w="1247"/>
          </w:tcPr>
          <w:p>
            <w:pPr>
              <w:spacing w:after="0"/>
            </w:pPr>
            <w:r>
              <w:rPr>
                <w:sz w:val="16"/>
              </w:rPr>
              <w:t>P13</w:t>
            </w:r>
          </w:p>
        </w:tc>
        <w:tc>
          <w:tcPr>
            <w:tcW w:type="dxa" w:w="4876"/>
          </w:tcPr>
          <w:p>
            <w:pPr>
              <w:spacing w:after="0"/>
            </w:pPr>
            <w:r>
              <w:rPr>
                <w:sz w:val="16"/>
              </w:rPr>
              <w:t>P13: hybrid F1 97.69% vs flow-only 97.49%; McNemar p = 0.295; paired t-test across folds p = 0.026. The authors withdrew a larger claim after restricting graph statistics to training data.</w:t>
            </w:r>
          </w:p>
        </w:tc>
        <w:tc>
          <w:tcPr>
            <w:tcW w:type="dxa" w:w="1928"/>
          </w:tcPr>
          <w:p>
            <w:pPr>
              <w:spacing w:after="0"/>
            </w:pPr>
            <w:r>
              <w:rPr>
                <w:b/>
                <w:sz w:val="16"/>
              </w:rPr>
              <w:t>Consistent (small or unclear gain)</w:t>
            </w:r>
          </w:p>
        </w:tc>
        <w:tc>
          <w:tcPr>
            <w:tcW w:type="dxa" w:w="4649"/>
          </w:tcPr>
          <w:p>
            <w:pPr>
              <w:spacing w:after="0"/>
            </w:pPr>
            <w:r>
              <w:rPr>
                <w:sz w:val="16"/>
              </w:rPr>
              <w:t>P13 is binary, uses a 40,000-flow sample and a graph of 47 IP nodes.</w:t>
            </w:r>
          </w:p>
        </w:tc>
      </w:tr>
      <w:tr>
        <w:trPr>
          <w:cantSplit w:val="true"/>
        </w:trPr>
        <w:tc>
          <w:tcPr>
            <w:tcW w:type="dxa" w:w="2154"/>
            <w:shd w:val="clear" w:color="auto" w:fill="F2F5F9"/>
          </w:tcPr>
          <w:p>
            <w:pPr>
              <w:spacing w:after="0"/>
            </w:pPr>
            <w:r>
              <w:rPr>
                <w:b/>
                <w:sz w:val="16"/>
              </w:rPr>
              <w:t>C8 Test-set noise matters, especially for Worms</w:t>
            </w:r>
          </w:p>
        </w:tc>
        <w:tc>
          <w:tcPr>
            <w:tcW w:type="dxa" w:w="1247"/>
            <w:shd w:val="clear" w:color="auto" w:fill="F2F5F9"/>
          </w:tcPr>
          <w:p>
            <w:pPr>
              <w:spacing w:after="0"/>
            </w:pPr>
            <w:r>
              <w:rPr>
                <w:sz w:val="16"/>
              </w:rPr>
              <w:t>P2, P11, P14</w:t>
            </w:r>
          </w:p>
        </w:tc>
        <w:tc>
          <w:tcPr>
            <w:tcW w:type="dxa" w:w="4876"/>
            <w:shd w:val="clear" w:color="auto" w:fill="F2F5F9"/>
          </w:tcPr>
          <w:p>
            <w:pPr>
              <w:spacing w:after="0"/>
            </w:pPr>
            <w:r>
              <w:rPr>
                <w:sz w:val="16"/>
              </w:rPr>
              <w:t>P2 reports Worms F1 0.09 on UNSW-NB15 but 0.55 on the NetFlow version. P11 shows reported metrics shift with thresholds and settings. P14 lists data splitting and leakage as common failure modes.</w:t>
            </w:r>
          </w:p>
        </w:tc>
        <w:tc>
          <w:tcPr>
            <w:tcW w:type="dxa" w:w="1928"/>
            <w:shd w:val="clear" w:color="auto" w:fill="F2F5F9"/>
          </w:tcPr>
          <w:p>
            <w:pPr>
              <w:spacing w:after="0"/>
            </w:pPr>
            <w:r>
              <w:rPr>
                <w:b/>
                <w:sz w:val="16"/>
              </w:rPr>
              <w:t>Consistent</w:t>
            </w:r>
          </w:p>
        </w:tc>
        <w:tc>
          <w:tcPr>
            <w:tcW w:type="dxa" w:w="4649"/>
            <w:shd w:val="clear" w:color="auto" w:fill="F2F5F9"/>
          </w:tcPr>
          <w:p>
            <w:pPr>
              <w:spacing w:after="0"/>
            </w:pPr>
            <w:r>
              <w:rPr>
                <w:sz w:val="16"/>
              </w:rPr>
              <w:t>P2 suggests Worms scores move a lot across setups. It does not tell us why.</w:t>
            </w:r>
          </w:p>
        </w:tc>
      </w:tr>
      <w:tr>
        <w:trPr>
          <w:cantSplit w:val="true"/>
        </w:trPr>
        <w:tc>
          <w:tcPr>
            <w:tcW w:type="dxa" w:w="2154"/>
          </w:tcPr>
          <w:p>
            <w:pPr>
              <w:spacing w:after="0"/>
            </w:pPr>
            <w:r>
              <w:rPr>
                <w:b/>
                <w:sz w:val="16"/>
              </w:rPr>
              <w:t>C9 Train and test graph density differ</w:t>
            </w:r>
          </w:p>
        </w:tc>
        <w:tc>
          <w:tcPr>
            <w:tcW w:type="dxa" w:w="1247"/>
          </w:tcPr>
          <w:p>
            <w:pPr>
              <w:spacing w:after="0"/>
            </w:pPr>
            <w:r>
              <w:rPr>
                <w:sz w:val="16"/>
              </w:rPr>
              <w:t>P14</w:t>
            </w:r>
          </w:p>
        </w:tc>
        <w:tc>
          <w:tcPr>
            <w:tcW w:type="dxa" w:w="4876"/>
          </w:tcPr>
          <w:p>
            <w:pPr>
              <w:spacing w:after="0"/>
            </w:pPr>
            <w:r>
              <w:rPr>
                <w:sz w:val="16"/>
              </w:rPr>
              <w:t>P14 lists evaluation failure modes in general (leakage, data splitting, dataset design).</w:t>
            </w:r>
          </w:p>
        </w:tc>
        <w:tc>
          <w:tcPr>
            <w:tcW w:type="dxa" w:w="1928"/>
          </w:tcPr>
          <w:p>
            <w:pPr>
              <w:spacing w:after="0"/>
            </w:pPr>
            <w:r>
              <w:rPr>
                <w:b/>
                <w:sz w:val="16"/>
              </w:rPr>
              <w:t>No direct evidence</w:t>
            </w:r>
          </w:p>
        </w:tc>
        <w:tc>
          <w:tcPr>
            <w:tcW w:type="dxa" w:w="4649"/>
          </w:tcPr>
          <w:p>
            <w:pPr>
              <w:spacing w:after="0"/>
            </w:pPr>
            <w:r>
              <w:rPr>
                <w:sz w:val="16"/>
              </w:rPr>
              <w:t>We found no paper that measures training-graph vs test-graph density for an inductive flow GNN.</w:t>
            </w:r>
          </w:p>
        </w:tc>
      </w:tr>
      <w:tr>
        <w:trPr>
          <w:cantSplit w:val="true"/>
        </w:trPr>
        <w:tc>
          <w:tcPr>
            <w:tcW w:type="dxa" w:w="2154"/>
            <w:shd w:val="clear" w:color="auto" w:fill="F2F5F9"/>
          </w:tcPr>
          <w:p>
            <w:pPr>
              <w:spacing w:after="0"/>
            </w:pPr>
            <w:r>
              <w:rPr>
                <w:b/>
                <w:sz w:val="16"/>
              </w:rPr>
              <w:t>C10 TTL features carry strong label information</w:t>
            </w:r>
          </w:p>
        </w:tc>
        <w:tc>
          <w:tcPr>
            <w:tcW w:type="dxa" w:w="1247"/>
            <w:shd w:val="clear" w:color="auto" w:fill="F2F5F9"/>
          </w:tcPr>
          <w:p>
            <w:pPr>
              <w:spacing w:after="0"/>
            </w:pPr>
            <w:r>
              <w:rPr>
                <w:sz w:val="16"/>
              </w:rPr>
              <w:t>P2</w:t>
            </w:r>
          </w:p>
        </w:tc>
        <w:tc>
          <w:tcPr>
            <w:tcW w:type="dxa" w:w="4876"/>
            <w:shd w:val="clear" w:color="auto" w:fill="F2F5F9"/>
          </w:tcPr>
          <w:p>
            <w:pPr>
              <w:spacing w:after="0"/>
            </w:pPr>
            <w:r>
              <w:rPr>
                <w:sz w:val="16"/>
              </w:rPr>
              <w:t>P2 dropped the three TTL features because of 'extreme correlation with the labels'.</w:t>
            </w:r>
          </w:p>
        </w:tc>
        <w:tc>
          <w:tcPr>
            <w:tcW w:type="dxa" w:w="1928"/>
            <w:shd w:val="clear" w:color="auto" w:fill="F2F5F9"/>
          </w:tcPr>
          <w:p>
            <w:pPr>
              <w:spacing w:after="0"/>
            </w:pPr>
            <w:r>
              <w:rPr>
                <w:b/>
                <w:sz w:val="16"/>
              </w:rPr>
              <w:t>Consistent</w:t>
            </w:r>
          </w:p>
        </w:tc>
        <w:tc>
          <w:tcPr>
            <w:tcW w:type="dxa" w:w="4649"/>
            <w:shd w:val="clear" w:color="auto" w:fill="F2F5F9"/>
          </w:tcPr>
          <w:p>
            <w:pPr>
              <w:spacing w:after="0"/>
            </w:pPr>
            <w:r>
              <w:rPr>
                <w:sz w:val="16"/>
              </w:rPr>
              <w:t>Our ablation shows TTL removal costs 0.017 macro F1. We only measured the cost on our model.</w:t>
            </w:r>
          </w:p>
        </w:tc>
      </w:tr>
      <w:tr>
        <w:trPr>
          <w:cantSplit w:val="true"/>
        </w:trPr>
        <w:tc>
          <w:tcPr>
            <w:tcW w:type="dxa" w:w="2154"/>
          </w:tcPr>
          <w:p>
            <w:pPr>
              <w:spacing w:after="0"/>
            </w:pPr>
            <w:r>
              <w:rPr>
                <w:b/>
                <w:sz w:val="16"/>
              </w:rPr>
              <w:t>C11 Weighted F1 cannot separate the models</w:t>
            </w:r>
          </w:p>
        </w:tc>
        <w:tc>
          <w:tcPr>
            <w:tcW w:type="dxa" w:w="1247"/>
          </w:tcPr>
          <w:p>
            <w:pPr>
              <w:spacing w:after="0"/>
            </w:pPr>
            <w:r>
              <w:rPr>
                <w:sz w:val="16"/>
              </w:rPr>
              <w:t>P2, P6, P12</w:t>
            </w:r>
          </w:p>
        </w:tc>
        <w:tc>
          <w:tcPr>
            <w:tcW w:type="dxa" w:w="4876"/>
          </w:tcPr>
          <w:p>
            <w:pPr>
              <w:spacing w:after="0"/>
            </w:pPr>
            <w:r>
              <w:rPr>
                <w:sz w:val="16"/>
              </w:rPr>
              <w:t>P2 reports weighted-average F1 0.98 on UNSW-NB15 while Analysis and Backdoor have F1 0.03 and 0.08. P6 and P12 report weighted F1 only (P12: 0.8934 to 0.9512 on UNSW-NB15).</w:t>
            </w:r>
          </w:p>
        </w:tc>
        <w:tc>
          <w:tcPr>
            <w:tcW w:type="dxa" w:w="1928"/>
          </w:tcPr>
          <w:p>
            <w:pPr>
              <w:spacing w:after="0"/>
            </w:pPr>
            <w:r>
              <w:rPr>
                <w:b/>
                <w:sz w:val="16"/>
              </w:rPr>
              <w:t>Consistent</w:t>
            </w:r>
          </w:p>
        </w:tc>
        <w:tc>
          <w:tcPr>
            <w:tcW w:type="dxa" w:w="4649"/>
          </w:tcPr>
          <w:p>
            <w:pPr>
              <w:spacing w:after="0"/>
            </w:pPr>
            <w:r>
              <w:rPr>
                <w:sz w:val="16"/>
              </w:rPr>
              <w:t>P2's own table shows the same effect for a tree model. The GNN papers' scores may hide per-class failures, but we have not seen their per-class UNSW-NB15 results.</w:t>
            </w:r>
          </w:p>
        </w:tc>
      </w:tr>
    </w:tbl>
    <w:p>
      <w:pPr>
        <w:spacing w:after="80"/>
      </w:pPr>
    </w:p>
    <w:p>
      <w:pPr>
        <w:pStyle w:val="Heading1"/>
      </w:pPr>
      <w:r>
        <w:t>6. Table 4: Per-class F1 next to the published reference (P2)</w:t>
      </w:r>
    </w:p>
    <w:p>
      <w:pPr>
        <w:spacing w:after="120"/>
      </w:pPr>
      <w:r>
        <w:rPr>
          <w:b w:val="0"/>
          <w:i w:val="0"/>
        </w:rPr>
        <w:t>P2 is the only paper we read that reports F1 for all ten UNSW-NB15 classes. The two columns are not a like-for-like comparison: P2 uses Extra Trees with 5-fold cross-validation, drops the TTL features and uses a different feature set, while our column is the two-stage weighted LightGBM on our split with TTL kept. The 'mean' row is the plain mean of the ten values in each column, calculated by us.</w:t>
      </w:r>
    </w:p>
    <w:tbl>
      <w:tblPr>
        <w:tblStyle w:val="TableGrid"/>
        <w:tblW w:type="auto" w:w="0"/>
        <w:tblLayout w:type="fixed"/>
        <w:tblLook w:firstColumn="1" w:firstRow="1" w:lastColumn="0" w:lastRow="0" w:noHBand="0" w:noVBand="1" w:val="04A0"/>
      </w:tblPr>
      <w:tblGrid>
        <w:gridCol w:w="3784"/>
        <w:gridCol w:w="3784"/>
        <w:gridCol w:w="3784"/>
        <w:gridCol w:w="3784"/>
      </w:tblGrid>
      <w:tr>
        <w:trPr>
          <w:tblHeader w:val="true"/>
        </w:trPr>
        <w:tc>
          <w:tcPr>
            <w:tcW w:type="dxa" w:w="2835"/>
            <w:shd w:val="clear" w:color="auto" w:fill="1F3A5F"/>
          </w:tcPr>
          <w:p>
            <w:r>
              <w:rPr>
                <w:b/>
                <w:color w:val="FFFFFF"/>
                <w:sz w:val="19"/>
              </w:rPr>
              <w:t>Class</w:t>
            </w:r>
          </w:p>
        </w:tc>
        <w:tc>
          <w:tcPr>
            <w:tcW w:type="dxa" w:w="2551"/>
            <w:shd w:val="clear" w:color="auto" w:fill="1F3A5F"/>
          </w:tcPr>
          <w:p>
            <w:r>
              <w:rPr>
                <w:b/>
                <w:color w:val="FFFFFF"/>
                <w:sz w:val="19"/>
              </w:rPr>
              <w:t>P2 UNSW-NB15 (F1)</w:t>
            </w:r>
          </w:p>
        </w:tc>
        <w:tc>
          <w:tcPr>
            <w:tcW w:type="dxa" w:w="2551"/>
            <w:shd w:val="clear" w:color="auto" w:fill="1F3A5F"/>
          </w:tcPr>
          <w:p>
            <w:r>
              <w:rPr>
                <w:b/>
                <w:color w:val="FFFFFF"/>
                <w:sz w:val="19"/>
              </w:rPr>
              <w:t>P2 NF-UNSW-NB15 (F1)</w:t>
            </w:r>
          </w:p>
        </w:tc>
        <w:tc>
          <w:tcPr>
            <w:tcW w:type="dxa" w:w="2551"/>
            <w:shd w:val="clear" w:color="auto" w:fill="1F3A5F"/>
          </w:tcPr>
          <w:p>
            <w:r>
              <w:rPr>
                <w:b/>
                <w:color w:val="FFFFFF"/>
                <w:sz w:val="19"/>
              </w:rPr>
              <w:t>Ours, LightGBM (F1)</w:t>
            </w:r>
          </w:p>
        </w:tc>
      </w:tr>
      <w:tr>
        <w:trPr>
          <w:cantSplit w:val="true"/>
        </w:trPr>
        <w:tc>
          <w:tcPr>
            <w:tcW w:type="dxa" w:w="2835"/>
          </w:tcPr>
          <w:p>
            <w:pPr>
              <w:spacing w:after="0"/>
            </w:pPr>
            <w:r>
              <w:rPr>
                <w:b/>
                <w:sz w:val="18"/>
              </w:rPr>
              <w:t>Normal</w:t>
            </w:r>
          </w:p>
        </w:tc>
        <w:tc>
          <w:tcPr>
            <w:tcW w:type="dxa" w:w="2551"/>
          </w:tcPr>
          <w:p>
            <w:pPr>
              <w:spacing w:after="0"/>
            </w:pPr>
            <w:r>
              <w:rPr>
                <w:sz w:val="18"/>
              </w:rPr>
              <w:t>1.00</w:t>
            </w:r>
          </w:p>
        </w:tc>
        <w:tc>
          <w:tcPr>
            <w:tcW w:type="dxa" w:w="2551"/>
          </w:tcPr>
          <w:p>
            <w:pPr>
              <w:spacing w:after="0"/>
            </w:pPr>
            <w:r>
              <w:rPr>
                <w:sz w:val="18"/>
              </w:rPr>
              <w:t>0.99</w:t>
            </w:r>
          </w:p>
        </w:tc>
        <w:tc>
          <w:tcPr>
            <w:tcW w:type="dxa" w:w="2551"/>
          </w:tcPr>
          <w:p>
            <w:pPr>
              <w:spacing w:after="0"/>
            </w:pPr>
            <w:r>
              <w:rPr>
                <w:sz w:val="18"/>
              </w:rPr>
              <w:t>0.993</w:t>
            </w:r>
          </w:p>
        </w:tc>
      </w:tr>
      <w:tr>
        <w:trPr>
          <w:cantSplit w:val="true"/>
        </w:trPr>
        <w:tc>
          <w:tcPr>
            <w:tcW w:type="dxa" w:w="2835"/>
            <w:shd w:val="clear" w:color="auto" w:fill="F2F5F9"/>
          </w:tcPr>
          <w:p>
            <w:pPr>
              <w:spacing w:after="0"/>
            </w:pPr>
            <w:r>
              <w:rPr>
                <w:b/>
                <w:sz w:val="18"/>
              </w:rPr>
              <w:t>Generic</w:t>
            </w:r>
          </w:p>
        </w:tc>
        <w:tc>
          <w:tcPr>
            <w:tcW w:type="dxa" w:w="2551"/>
            <w:shd w:val="clear" w:color="auto" w:fill="F2F5F9"/>
          </w:tcPr>
          <w:p>
            <w:pPr>
              <w:spacing w:after="0"/>
            </w:pPr>
            <w:r>
              <w:rPr>
                <w:sz w:val="18"/>
              </w:rPr>
              <w:t>0.91</w:t>
            </w:r>
          </w:p>
        </w:tc>
        <w:tc>
          <w:tcPr>
            <w:tcW w:type="dxa" w:w="2551"/>
            <w:shd w:val="clear" w:color="auto" w:fill="F2F5F9"/>
          </w:tcPr>
          <w:p>
            <w:pPr>
              <w:spacing w:after="0"/>
            </w:pPr>
            <w:r>
              <w:rPr>
                <w:sz w:val="18"/>
              </w:rPr>
              <w:t>0.66</w:t>
            </w:r>
          </w:p>
        </w:tc>
        <w:tc>
          <w:tcPr>
            <w:tcW w:type="dxa" w:w="2551"/>
            <w:shd w:val="clear" w:color="auto" w:fill="F2F5F9"/>
          </w:tcPr>
          <w:p>
            <w:pPr>
              <w:spacing w:after="0"/>
            </w:pPr>
            <w:r>
              <w:rPr>
                <w:sz w:val="18"/>
              </w:rPr>
              <w:t>0.930</w:t>
            </w:r>
          </w:p>
        </w:tc>
      </w:tr>
      <w:tr>
        <w:trPr>
          <w:cantSplit w:val="true"/>
        </w:trPr>
        <w:tc>
          <w:tcPr>
            <w:tcW w:type="dxa" w:w="2835"/>
          </w:tcPr>
          <w:p>
            <w:pPr>
              <w:spacing w:after="0"/>
            </w:pPr>
            <w:r>
              <w:rPr>
                <w:b/>
                <w:sz w:val="18"/>
              </w:rPr>
              <w:t>Shellcode</w:t>
            </w:r>
          </w:p>
        </w:tc>
        <w:tc>
          <w:tcPr>
            <w:tcW w:type="dxa" w:w="2551"/>
          </w:tcPr>
          <w:p>
            <w:pPr>
              <w:spacing w:after="0"/>
            </w:pPr>
            <w:r>
              <w:rPr>
                <w:sz w:val="18"/>
              </w:rPr>
              <w:t>0.59</w:t>
            </w:r>
          </w:p>
        </w:tc>
        <w:tc>
          <w:tcPr>
            <w:tcW w:type="dxa" w:w="2551"/>
          </w:tcPr>
          <w:p>
            <w:pPr>
              <w:spacing w:after="0"/>
            </w:pPr>
            <w:r>
              <w:rPr>
                <w:sz w:val="18"/>
              </w:rPr>
              <w:t>0.75</w:t>
            </w:r>
          </w:p>
        </w:tc>
        <w:tc>
          <w:tcPr>
            <w:tcW w:type="dxa" w:w="2551"/>
          </w:tcPr>
          <w:p>
            <w:pPr>
              <w:spacing w:after="0"/>
            </w:pPr>
            <w:r>
              <w:rPr>
                <w:sz w:val="18"/>
              </w:rPr>
              <w:t>0.879</w:t>
            </w:r>
          </w:p>
        </w:tc>
      </w:tr>
      <w:tr>
        <w:trPr>
          <w:cantSplit w:val="true"/>
        </w:trPr>
        <w:tc>
          <w:tcPr>
            <w:tcW w:type="dxa" w:w="2835"/>
            <w:shd w:val="clear" w:color="auto" w:fill="F2F5F9"/>
          </w:tcPr>
          <w:p>
            <w:pPr>
              <w:spacing w:after="0"/>
            </w:pPr>
            <w:r>
              <w:rPr>
                <w:b/>
                <w:sz w:val="18"/>
              </w:rPr>
              <w:t>Reconnaissance</w:t>
            </w:r>
          </w:p>
        </w:tc>
        <w:tc>
          <w:tcPr>
            <w:tcW w:type="dxa" w:w="2551"/>
            <w:shd w:val="clear" w:color="auto" w:fill="F2F5F9"/>
          </w:tcPr>
          <w:p>
            <w:pPr>
              <w:spacing w:after="0"/>
            </w:pPr>
            <w:r>
              <w:rPr>
                <w:sz w:val="18"/>
              </w:rPr>
              <w:t>0.80</w:t>
            </w:r>
          </w:p>
        </w:tc>
        <w:tc>
          <w:tcPr>
            <w:tcW w:type="dxa" w:w="2551"/>
            <w:shd w:val="clear" w:color="auto" w:fill="F2F5F9"/>
          </w:tcPr>
          <w:p>
            <w:pPr>
              <w:spacing w:after="0"/>
            </w:pPr>
            <w:r>
              <w:rPr>
                <w:sz w:val="18"/>
              </w:rPr>
              <w:t>0.82</w:t>
            </w:r>
          </w:p>
        </w:tc>
        <w:tc>
          <w:tcPr>
            <w:tcW w:type="dxa" w:w="2551"/>
            <w:shd w:val="clear" w:color="auto" w:fill="F2F5F9"/>
          </w:tcPr>
          <w:p>
            <w:pPr>
              <w:spacing w:after="0"/>
            </w:pPr>
            <w:r>
              <w:rPr>
                <w:sz w:val="18"/>
              </w:rPr>
              <w:t>0.860</w:t>
            </w:r>
          </w:p>
        </w:tc>
      </w:tr>
      <w:tr>
        <w:trPr>
          <w:cantSplit w:val="true"/>
        </w:trPr>
        <w:tc>
          <w:tcPr>
            <w:tcW w:type="dxa" w:w="2835"/>
          </w:tcPr>
          <w:p>
            <w:pPr>
              <w:spacing w:after="0"/>
            </w:pPr>
            <w:r>
              <w:rPr>
                <w:b/>
                <w:sz w:val="18"/>
              </w:rPr>
              <w:t>Exploits</w:t>
            </w:r>
          </w:p>
        </w:tc>
        <w:tc>
          <w:tcPr>
            <w:tcW w:type="dxa" w:w="2551"/>
          </w:tcPr>
          <w:p>
            <w:pPr>
              <w:spacing w:after="0"/>
            </w:pPr>
            <w:r>
              <w:rPr>
                <w:sz w:val="18"/>
              </w:rPr>
              <w:t>0.80</w:t>
            </w:r>
          </w:p>
        </w:tc>
        <w:tc>
          <w:tcPr>
            <w:tcW w:type="dxa" w:w="2551"/>
          </w:tcPr>
          <w:p>
            <w:pPr>
              <w:spacing w:after="0"/>
            </w:pPr>
            <w:r>
              <w:rPr>
                <w:sz w:val="18"/>
              </w:rPr>
              <w:t>0.82</w:t>
            </w:r>
          </w:p>
        </w:tc>
        <w:tc>
          <w:tcPr>
            <w:tcW w:type="dxa" w:w="2551"/>
          </w:tcPr>
          <w:p>
            <w:pPr>
              <w:spacing w:after="0"/>
            </w:pPr>
            <w:r>
              <w:rPr>
                <w:sz w:val="18"/>
              </w:rPr>
              <w:t>0.827</w:t>
            </w:r>
          </w:p>
        </w:tc>
      </w:tr>
      <w:tr>
        <w:trPr>
          <w:cantSplit w:val="true"/>
        </w:trPr>
        <w:tc>
          <w:tcPr>
            <w:tcW w:type="dxa" w:w="2835"/>
            <w:shd w:val="clear" w:color="auto" w:fill="F2F5F9"/>
          </w:tcPr>
          <w:p>
            <w:pPr>
              <w:spacing w:after="0"/>
            </w:pPr>
            <w:r>
              <w:rPr>
                <w:b/>
                <w:sz w:val="18"/>
              </w:rPr>
              <w:t>Worms</w:t>
            </w:r>
          </w:p>
        </w:tc>
        <w:tc>
          <w:tcPr>
            <w:tcW w:type="dxa" w:w="2551"/>
            <w:shd w:val="clear" w:color="auto" w:fill="F2F5F9"/>
          </w:tcPr>
          <w:p>
            <w:pPr>
              <w:spacing w:after="0"/>
            </w:pPr>
            <w:r>
              <w:rPr>
                <w:sz w:val="18"/>
              </w:rPr>
              <w:t>0.09</w:t>
            </w:r>
          </w:p>
        </w:tc>
        <w:tc>
          <w:tcPr>
            <w:tcW w:type="dxa" w:w="2551"/>
            <w:shd w:val="clear" w:color="auto" w:fill="F2F5F9"/>
          </w:tcPr>
          <w:p>
            <w:pPr>
              <w:spacing w:after="0"/>
            </w:pPr>
            <w:r>
              <w:rPr>
                <w:sz w:val="18"/>
              </w:rPr>
              <w:t>0.55</w:t>
            </w:r>
          </w:p>
        </w:tc>
        <w:tc>
          <w:tcPr>
            <w:tcW w:type="dxa" w:w="2551"/>
            <w:shd w:val="clear" w:color="auto" w:fill="F2F5F9"/>
          </w:tcPr>
          <w:p>
            <w:pPr>
              <w:spacing w:after="0"/>
            </w:pPr>
            <w:r>
              <w:rPr>
                <w:sz w:val="18"/>
              </w:rPr>
              <w:t>0.787</w:t>
            </w:r>
          </w:p>
        </w:tc>
      </w:tr>
      <w:tr>
        <w:trPr>
          <w:cantSplit w:val="true"/>
        </w:trPr>
        <w:tc>
          <w:tcPr>
            <w:tcW w:type="dxa" w:w="2835"/>
          </w:tcPr>
          <w:p>
            <w:pPr>
              <w:spacing w:after="0"/>
            </w:pPr>
            <w:r>
              <w:rPr>
                <w:b/>
                <w:sz w:val="18"/>
              </w:rPr>
              <w:t>Fuzzers</w:t>
            </w:r>
          </w:p>
        </w:tc>
        <w:tc>
          <w:tcPr>
            <w:tcW w:type="dxa" w:w="2551"/>
          </w:tcPr>
          <w:p>
            <w:pPr>
              <w:spacing w:after="0"/>
            </w:pPr>
            <w:r>
              <w:rPr>
                <w:sz w:val="18"/>
              </w:rPr>
              <w:t>0.57</w:t>
            </w:r>
          </w:p>
        </w:tc>
        <w:tc>
          <w:tcPr>
            <w:tcW w:type="dxa" w:w="2551"/>
          </w:tcPr>
          <w:p>
            <w:pPr>
              <w:spacing w:after="0"/>
            </w:pPr>
            <w:r>
              <w:rPr>
                <w:sz w:val="18"/>
              </w:rPr>
              <w:t>0.55</w:t>
            </w:r>
          </w:p>
        </w:tc>
        <w:tc>
          <w:tcPr>
            <w:tcW w:type="dxa" w:w="2551"/>
          </w:tcPr>
          <w:p>
            <w:pPr>
              <w:spacing w:after="0"/>
            </w:pPr>
            <w:r>
              <w:rPr>
                <w:sz w:val="18"/>
              </w:rPr>
              <w:t>0.611</w:t>
            </w:r>
          </w:p>
        </w:tc>
      </w:tr>
      <w:tr>
        <w:trPr>
          <w:cantSplit w:val="true"/>
        </w:trPr>
        <w:tc>
          <w:tcPr>
            <w:tcW w:type="dxa" w:w="2835"/>
            <w:shd w:val="clear" w:color="auto" w:fill="F2F5F9"/>
          </w:tcPr>
          <w:p>
            <w:pPr>
              <w:spacing w:after="0"/>
            </w:pPr>
            <w:r>
              <w:rPr>
                <w:b/>
                <w:sz w:val="18"/>
              </w:rPr>
              <w:t>DoS</w:t>
            </w:r>
          </w:p>
        </w:tc>
        <w:tc>
          <w:tcPr>
            <w:tcW w:type="dxa" w:w="2551"/>
            <w:shd w:val="clear" w:color="auto" w:fill="F2F5F9"/>
          </w:tcPr>
          <w:p>
            <w:pPr>
              <w:spacing w:after="0"/>
            </w:pPr>
            <w:r>
              <w:rPr>
                <w:sz w:val="18"/>
              </w:rPr>
              <w:t>0.18</w:t>
            </w:r>
          </w:p>
        </w:tc>
        <w:tc>
          <w:tcPr>
            <w:tcW w:type="dxa" w:w="2551"/>
            <w:shd w:val="clear" w:color="auto" w:fill="F2F5F9"/>
          </w:tcPr>
          <w:p>
            <w:pPr>
              <w:spacing w:after="0"/>
            </w:pPr>
            <w:r>
              <w:rPr>
                <w:sz w:val="18"/>
              </w:rPr>
              <w:t>0.41</w:t>
            </w:r>
          </w:p>
        </w:tc>
        <w:tc>
          <w:tcPr>
            <w:tcW w:type="dxa" w:w="2551"/>
            <w:shd w:val="clear" w:color="auto" w:fill="F2F5F9"/>
          </w:tcPr>
          <w:p>
            <w:pPr>
              <w:spacing w:after="0"/>
            </w:pPr>
            <w:r>
              <w:rPr>
                <w:sz w:val="18"/>
              </w:rPr>
              <w:t>0.458</w:t>
            </w:r>
          </w:p>
        </w:tc>
      </w:tr>
      <w:tr>
        <w:trPr>
          <w:cantSplit w:val="true"/>
        </w:trPr>
        <w:tc>
          <w:tcPr>
            <w:tcW w:type="dxa" w:w="2835"/>
          </w:tcPr>
          <w:p>
            <w:pPr>
              <w:spacing w:after="0"/>
            </w:pPr>
            <w:r>
              <w:rPr>
                <w:b/>
                <w:sz w:val="18"/>
              </w:rPr>
              <w:t>Backdoor</w:t>
            </w:r>
          </w:p>
        </w:tc>
        <w:tc>
          <w:tcPr>
            <w:tcW w:type="dxa" w:w="2551"/>
          </w:tcPr>
          <w:p>
            <w:pPr>
              <w:spacing w:after="0"/>
            </w:pPr>
            <w:r>
              <w:rPr>
                <w:sz w:val="18"/>
              </w:rPr>
              <w:t>0.08</w:t>
            </w:r>
          </w:p>
        </w:tc>
        <w:tc>
          <w:tcPr>
            <w:tcW w:type="dxa" w:w="2551"/>
          </w:tcPr>
          <w:p>
            <w:pPr>
              <w:spacing w:after="0"/>
            </w:pPr>
            <w:r>
              <w:rPr>
                <w:sz w:val="18"/>
              </w:rPr>
              <w:t>0.17</w:t>
            </w:r>
          </w:p>
        </w:tc>
        <w:tc>
          <w:tcPr>
            <w:tcW w:type="dxa" w:w="2551"/>
          </w:tcPr>
          <w:p>
            <w:pPr>
              <w:spacing w:after="0"/>
            </w:pPr>
            <w:r>
              <w:rPr>
                <w:sz w:val="18"/>
              </w:rPr>
              <w:t>0.179</w:t>
            </w:r>
          </w:p>
        </w:tc>
      </w:tr>
      <w:tr>
        <w:trPr>
          <w:cantSplit w:val="true"/>
        </w:trPr>
        <w:tc>
          <w:tcPr>
            <w:tcW w:type="dxa" w:w="2835"/>
            <w:shd w:val="clear" w:color="auto" w:fill="F2F5F9"/>
          </w:tcPr>
          <w:p>
            <w:pPr>
              <w:spacing w:after="0"/>
            </w:pPr>
            <w:r>
              <w:rPr>
                <w:b/>
                <w:sz w:val="18"/>
              </w:rPr>
              <w:t>Analysis</w:t>
            </w:r>
          </w:p>
        </w:tc>
        <w:tc>
          <w:tcPr>
            <w:tcW w:type="dxa" w:w="2551"/>
            <w:shd w:val="clear" w:color="auto" w:fill="F2F5F9"/>
          </w:tcPr>
          <w:p>
            <w:pPr>
              <w:spacing w:after="0"/>
            </w:pPr>
            <w:r>
              <w:rPr>
                <w:sz w:val="18"/>
              </w:rPr>
              <w:t>0.03</w:t>
            </w:r>
          </w:p>
        </w:tc>
        <w:tc>
          <w:tcPr>
            <w:tcW w:type="dxa" w:w="2551"/>
            <w:shd w:val="clear" w:color="auto" w:fill="F2F5F9"/>
          </w:tcPr>
          <w:p>
            <w:pPr>
              <w:spacing w:after="0"/>
            </w:pPr>
            <w:r>
              <w:rPr>
                <w:sz w:val="18"/>
              </w:rPr>
              <w:t>0.15</w:t>
            </w:r>
          </w:p>
        </w:tc>
        <w:tc>
          <w:tcPr>
            <w:tcW w:type="dxa" w:w="2551"/>
            <w:shd w:val="clear" w:color="auto" w:fill="F2F5F9"/>
          </w:tcPr>
          <w:p>
            <w:pPr>
              <w:spacing w:after="0"/>
            </w:pPr>
            <w:r>
              <w:rPr>
                <w:sz w:val="18"/>
              </w:rPr>
              <w:t>0.172</w:t>
            </w:r>
          </w:p>
        </w:tc>
      </w:tr>
      <w:tr>
        <w:trPr>
          <w:cantSplit w:val="true"/>
        </w:trPr>
        <w:tc>
          <w:tcPr>
            <w:tcW w:type="dxa" w:w="2835"/>
          </w:tcPr>
          <w:p>
            <w:pPr>
              <w:spacing w:after="0"/>
            </w:pPr>
            <w:r>
              <w:rPr>
                <w:b/>
                <w:sz w:val="18"/>
              </w:rPr>
              <w:t>Mean of ten classes</w:t>
            </w:r>
          </w:p>
        </w:tc>
        <w:tc>
          <w:tcPr>
            <w:tcW w:type="dxa" w:w="2551"/>
          </w:tcPr>
          <w:p>
            <w:pPr>
              <w:spacing w:after="0"/>
            </w:pPr>
            <w:r>
              <w:rPr>
                <w:sz w:val="18"/>
              </w:rPr>
              <w:t>0.505</w:t>
            </w:r>
          </w:p>
        </w:tc>
        <w:tc>
          <w:tcPr>
            <w:tcW w:type="dxa" w:w="2551"/>
          </w:tcPr>
          <w:p>
            <w:pPr>
              <w:spacing w:after="0"/>
            </w:pPr>
            <w:r>
              <w:rPr>
                <w:sz w:val="18"/>
              </w:rPr>
              <w:t>0.587</w:t>
            </w:r>
          </w:p>
        </w:tc>
        <w:tc>
          <w:tcPr>
            <w:tcW w:type="dxa" w:w="2551"/>
          </w:tcPr>
          <w:p>
            <w:pPr>
              <w:spacing w:after="0"/>
            </w:pPr>
            <w:r>
              <w:rPr>
                <w:sz w:val="18"/>
              </w:rPr>
              <w:t>0.670</w:t>
            </w:r>
          </w:p>
        </w:tc>
      </w:tr>
    </w:tbl>
    <w:p>
      <w:pPr>
        <w:spacing w:after="80"/>
      </w:pPr>
    </w:p>
    <w:p>
      <w:pPr>
        <w:spacing w:after="40"/>
      </w:pPr>
      <w:r>
        <w:rPr>
          <w:b/>
          <w:i w:val="0"/>
        </w:rPr>
        <w:t>What this table shows, and does not show:</w:t>
      </w:r>
    </w:p>
    <w:p>
      <w:pPr>
        <w:pStyle w:val="ListBullet"/>
        <w:spacing w:after="40"/>
      </w:pPr>
      <w:r>
        <w:t>In all three columns Analysis and Backdoor are the two lowest classes, and DoS is also low (in the first column Worms is just as low). This fits the idea that Analysis and Backdoor are hard for reasons beyond one model or one pipeline, but the table does not show the reason.</w:t>
      </w:r>
    </w:p>
    <w:p>
      <w:pPr>
        <w:pStyle w:val="ListBullet"/>
        <w:spacing w:after="40"/>
      </w:pPr>
      <w:r>
        <w:t>Our scores are higher on most classes. Several things differ at once (classifier, split, features, TTL handling), so we do not attribute the gap to any one of them. Class weighting is used in both (P2 uses a balanced weight formula).</w:t>
      </w:r>
    </w:p>
    <w:p>
      <w:pPr>
        <w:pStyle w:val="ListBullet"/>
        <w:spacing w:after="40"/>
      </w:pPr>
      <w:r>
        <w:t>Worms differs most (0.09 and 0.55 in P2, 0.787 for us). With 34 test rows in our split, one Worms result is noisy; we did not find the number of Worms test rows in P2, so we cannot say how much of this is sampling.</w:t>
      </w:r>
    </w:p>
    <w:p>
      <w:pPr>
        <w:pStyle w:val="Heading1"/>
      </w:pPr>
      <w:r>
        <w:t>7. What we did not find, and what still needs checking</w:t>
      </w:r>
    </w:p>
    <w:p>
      <w:pPr>
        <w:spacing w:after="80"/>
      </w:pPr>
      <w:r>
        <w:rPr>
          <w:b w:val="0"/>
          <w:i/>
        </w:rPr>
        <w:t>These gaps come from a limited search (about twenty queries). They do not show that such work does not exist.</w:t>
      </w:r>
    </w:p>
    <w:p>
      <w:pPr>
        <w:spacing w:after="40"/>
      </w:pPr>
      <w:r>
        <w:rPr>
          <w:b/>
          <w:i w:val="0"/>
        </w:rPr>
        <w:t>Not found in our search:</w:t>
      </w:r>
    </w:p>
    <w:p>
      <w:pPr>
        <w:pStyle w:val="ListBullet"/>
        <w:spacing w:after="40"/>
      </w:pPr>
      <w:r>
        <w:t>A paper that compares an edge-classification GNN with a tuned, class-weighted tree model on UNSW-NB15 using macro F1.</w:t>
      </w:r>
    </w:p>
    <w:p>
      <w:pPr>
        <w:pStyle w:val="ListBullet"/>
        <w:spacing w:after="40"/>
      </w:pPr>
      <w:r>
        <w:t>A flow-GNN paper that runs its own no-graph or shuffled-edge control (P6, P7 and P8 compare against other classifiers instead). We ran this control ourselves on UNSW-NB15 for two GNN designs.</w:t>
      </w:r>
    </w:p>
    <w:p>
      <w:pPr>
        <w:pStyle w:val="ListBullet"/>
        <w:spacing w:after="40"/>
      </w:pPr>
      <w:r>
        <w:t>A paper that reports training-graph and test-graph density for an inductive flow GNN.</w:t>
      </w:r>
    </w:p>
    <w:p>
      <w:pPr>
        <w:pStyle w:val="ListBullet"/>
        <w:spacing w:after="40"/>
      </w:pPr>
      <w:r>
        <w:t>A paper that measures how many UNSW-NB15 rows share identical features with a different label.</w:t>
      </w:r>
    </w:p>
    <w:p>
      <w:pPr>
        <w:pStyle w:val="ListBullet"/>
        <w:spacing w:after="40"/>
      </w:pPr>
      <w:r>
        <w:t>A direct measurement of the effect of class weights, or of a two-stage design, on UNSW-NB15 multi-class macro F1.</w:t>
      </w:r>
    </w:p>
    <w:p>
      <w:pPr>
        <w:spacing w:after="40"/>
      </w:pPr>
      <w:r>
        <w:rPr>
          <w:b/>
          <w:i w:val="0"/>
        </w:rPr>
        <w:t>Still to do before these papers are cited in the final report:</w:t>
      </w:r>
    </w:p>
    <w:p>
      <w:pPr>
        <w:pStyle w:val="ListBullet"/>
        <w:spacing w:after="40"/>
      </w:pPr>
      <w:r>
        <w:t>Open the full text of every paper marked 'Abstract only' (P1, P3 to P5, P9, P10, P14 to P18) and confirm the details marked 'not checked'.</w:t>
      </w:r>
    </w:p>
    <w:p>
      <w:pPr>
        <w:pStyle w:val="ListBullet"/>
        <w:spacing w:after="40"/>
      </w:pPr>
      <w:r>
        <w:t>Open the journal versions of P6 and P7, since we read the arXiv versions.</w:t>
      </w:r>
    </w:p>
    <w:p>
      <w:pPr>
        <w:pStyle w:val="ListBullet"/>
        <w:spacing w:after="40"/>
      </w:pPr>
      <w:r>
        <w:t>Check whether P12 (a preprint) has been published, and whether its UNSW-NB15 split is described in enough detail to reproduce.</w:t>
      </w:r>
    </w:p>
    <w:p>
      <w:pPr>
        <w:pStyle w:val="ListBullet"/>
        <w:spacing w:after="40"/>
      </w:pPr>
      <w:r>
        <w:t>Not yet searched: method references we may cite for our own settings (GraphSAGE, LightGBM, SMOTE) and the original dataset paper's DOI.</w:t>
      </w:r>
    </w:p>
    <w:p>
      <w:pPr>
        <w:pStyle w:val="ListBullet"/>
        <w:spacing w:after="40"/>
      </w:pPr>
      <w:r>
        <w:t>Optional like-for-like check: compute weighted F1 from our saved predictions, so that our results can be set beside P6 and P12, which report weighted F1.</w:t>
      </w:r>
    </w:p>
    <w:p>
      <w:pPr>
        <w:pStyle w:val="Heading1"/>
      </w:pPr>
      <w:r>
        <w:t>8. Suggested wording for the report</w:t>
      </w:r>
    </w:p>
    <w:p>
      <w:pPr>
        <w:spacing w:after="40"/>
      </w:pPr>
      <w:r>
        <w:rPr>
          <w:b w:val="0"/>
          <w:i w:val="0"/>
        </w:rPr>
        <w:t>Examples that stay within what the table supports:</w:t>
      </w:r>
    </w:p>
    <w:p>
      <w:pPr>
        <w:pStyle w:val="ListBullet"/>
        <w:spacing w:after="40"/>
      </w:pPr>
      <w:r>
        <w:t>"The per-class pattern we see, with Analysis and Backdoor lowest, also appears in the per-class results of Sarhan et al., who used a different classifier and feature set. We read this as a sign that the difficulty is not specific to our pipeline."</w:t>
      </w:r>
    </w:p>
    <w:p>
      <w:pPr>
        <w:pStyle w:val="ListBullet"/>
        <w:spacing w:after="40"/>
      </w:pPr>
      <w:r>
        <w:t>"We did not find earlier work that reports a no-graph control for a flow-level GNN on this dataset, so we cannot say whether our small graph gain (+0.017 macro F1) is typical."</w:t>
      </w:r>
    </w:p>
    <w:p>
      <w:pPr>
        <w:pStyle w:val="ListBullet"/>
        <w:spacing w:after="40"/>
      </w:pPr>
      <w:r>
        <w:t>"Mohamed and Taherdoost also found only a small gain from graph-derived features for a Random Forest on UNSW-NB15 once graph statistics were computed from training data only. Their task was binary and their sample smaller, so the two results are consistent in direction, not in size."</w:t>
      </w:r>
    </w:p>
    <w:p>
      <w:pPr>
        <w:pStyle w:val="ListBullet"/>
        <w:spacing w:after="40"/>
      </w:pPr>
      <w:r>
        <w:t>"Published GNN results usually report weighted F1, which Normal and Generic dominate. Our macro F1 values are therefore not directly comparable with those papers."</w:t>
      </w:r>
    </w:p>
    <w:p>
      <w:pPr>
        <w:pStyle w:val="Heading1"/>
      </w:pPr>
      <w:r>
        <w:t>9. How to describe our contribution</w:t>
      </w:r>
    </w:p>
    <w:p>
      <w:pPr>
        <w:spacing w:after="80"/>
      </w:pPr>
      <w:r>
        <w:rPr>
          <w:b w:val="0"/>
          <w:i w:val="0"/>
        </w:rPr>
        <w:t>One question ties the work together: does the graph help a flow-level GNN for multi-class intrusion detection on UNSW-NB15? Our experiments give a cautious answer: little or no gain under controlled comparisons, and the answer depended on the GNN design.</w:t>
      </w:r>
    </w:p>
    <w:p>
      <w:pPr>
        <w:spacing w:after="40"/>
      </w:pPr>
      <w:r>
        <w:rPr>
          <w:b/>
          <w:i w:val="0"/>
        </w:rPr>
        <w:t>Findings that support the question, each with its limits:</w:t>
      </w:r>
    </w:p>
    <w:p>
      <w:pPr>
        <w:pStyle w:val="ListBullet"/>
        <w:spacing w:after="40"/>
      </w:pPr>
      <w:r>
        <w:t>No-graph and shuffled-edge controls for two GNN designs. We did not find these controls in the GNN papers we read.</w:t>
      </w:r>
    </w:p>
    <w:p>
      <w:pPr>
        <w:pStyle w:val="ListBullet"/>
        <w:spacing w:after="40"/>
      </w:pPr>
      <w:r>
        <w:t>A check of training-graph versus test-graph density (43.1% versus 78.0% single-flow nodes) and its effect on the score (+0.006 for matching).</w:t>
      </w:r>
    </w:p>
    <w:p>
      <w:pPr>
        <w:pStyle w:val="ListBullet"/>
        <w:spacing w:after="40"/>
      </w:pPr>
      <w:r>
        <w:t>Macro and per-class F1 next to weighted F1, which was about 0.98 for every model we trained and so hides the differences.</w:t>
      </w:r>
    </w:p>
    <w:p>
      <w:pPr>
        <w:pStyle w:val="ListBullet"/>
        <w:spacing w:after="40"/>
      </w:pPr>
      <w:r>
        <w:t>Label overlap as a likely reason Analysis and Backdoor stay near F1 0.17 (about 80% of their rows have a feature twin with another label). This fits the pattern but is not proven as the cause.</w:t>
      </w:r>
    </w:p>
    <w:p>
      <w:pPr>
        <w:spacing w:after="120"/>
      </w:pPr>
      <w:r>
        <w:rPr>
          <w:b w:val="0"/>
          <w:i w:val="0"/>
        </w:rPr>
        <w:t>Limits to state with it: one dataset, one split, GNNs without tuning (the paper-style one trained for at most 500 full-batch epochs), and a literature search of about twenty-five queries in which most papers were read at abstract level only.</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search.unsw.edu.au/projects/unsw-nb15-dataset" TargetMode="External"/><Relationship Id="rId10" Type="http://schemas.openxmlformats.org/officeDocument/2006/relationships/hyperlink" Target="https://arxiv.org/abs/2011.09144" TargetMode="External"/><Relationship Id="rId11" Type="http://schemas.openxmlformats.org/officeDocument/2006/relationships/hyperlink" Target="https://arxiv.org/abs/2101.11315" TargetMode="External"/><Relationship Id="rId12" Type="http://schemas.openxmlformats.org/officeDocument/2006/relationships/hyperlink" Target="https://onlinelibrary.wiley.com/doi/full/10.1002/cpe.8242" TargetMode="External"/><Relationship Id="rId13" Type="http://schemas.openxmlformats.org/officeDocument/2006/relationships/hyperlink" Target="https://doi.org/10.1186/s40537-020-00379-6" TargetMode="External"/><Relationship Id="rId14" Type="http://schemas.openxmlformats.org/officeDocument/2006/relationships/hyperlink" Target="https://arxiv.org/abs/2103.16329" TargetMode="External"/><Relationship Id="rId15" Type="http://schemas.openxmlformats.org/officeDocument/2006/relationships/hyperlink" Target="https://arxiv.org/abs/2207.06819" TargetMode="External"/><Relationship Id="rId16" Type="http://schemas.openxmlformats.org/officeDocument/2006/relationships/hyperlink" Target="https://arxiv.org/abs/2107.14756" TargetMode="External"/><Relationship Id="rId17" Type="http://schemas.openxmlformats.org/officeDocument/2006/relationships/hyperlink" Target="https://doi.org/10.1109/ACCESS.2023.3275789" TargetMode="External"/><Relationship Id="rId18" Type="http://schemas.openxmlformats.org/officeDocument/2006/relationships/hyperlink" Target="https://doi.org/10.1016/j.cose.2024.103821" TargetMode="External"/><Relationship Id="rId19" Type="http://schemas.openxmlformats.org/officeDocument/2006/relationships/hyperlink" Target="https://arxiv.org/abs/2503.20281" TargetMode="External"/><Relationship Id="rId20" Type="http://schemas.openxmlformats.org/officeDocument/2006/relationships/hyperlink" Target="https://arxiv.org/abs/2510.07285" TargetMode="External"/><Relationship Id="rId21" Type="http://schemas.openxmlformats.org/officeDocument/2006/relationships/hyperlink" Target="https://www.frontiersin.org/journals/big-data/articles/10.3389/fdata.2026.1885965/full" TargetMode="External"/><Relationship Id="rId22" Type="http://schemas.openxmlformats.org/officeDocument/2006/relationships/hyperlink" Target="https://arxiv.org/abs/2602.05594" TargetMode="External"/><Relationship Id="rId23" Type="http://schemas.openxmlformats.org/officeDocument/2006/relationships/hyperlink" Target="https://arxiv.org/abs/2207.08815" TargetMode="External"/><Relationship Id="rId24" Type="http://schemas.openxmlformats.org/officeDocument/2006/relationships/hyperlink" Target="https://arxiv.org/abs/2201.08528" TargetMode="External"/><Relationship Id="rId25" Type="http://schemas.openxmlformats.org/officeDocument/2006/relationships/hyperlink" Target="https://www.researchgate.net/publication/353107141_Troubleshooting_an_Intrusion_Detection_Dataset_the_CICIDS2017_Case_Study" TargetMode="External"/><Relationship Id="rId26" Type="http://schemas.openxmlformats.org/officeDocument/2006/relationships/hyperlink" Target="https://arxiv.org/abs/2103.147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